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10" w:rsidRPr="008B201B" w:rsidRDefault="006D4C98" w:rsidP="00E81C05">
      <w:pPr>
        <w:pStyle w:val="Heading1"/>
        <w:jc w:val="center"/>
        <w:rPr>
          <w:rFonts w:ascii="Lucida Bright" w:hAnsi="Lucida Bright"/>
          <w:sz w:val="32"/>
        </w:rPr>
      </w:pPr>
      <w:r w:rsidRPr="008B201B">
        <w:rPr>
          <w:rFonts w:ascii="Lucida Bright" w:hAnsi="Lucida Bright"/>
          <w:noProof/>
          <w:sz w:val="32"/>
        </w:rPr>
        <w:drawing>
          <wp:anchor distT="0" distB="0" distL="114300" distR="114300" simplePos="0" relativeHeight="251657728" behindDoc="0" locked="0" layoutInCell="1" allowOverlap="1" wp14:anchorId="69FEAC02" wp14:editId="6A19C66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1066800"/>
            <wp:effectExtent l="0" t="0" r="9525" b="0"/>
            <wp:wrapSquare wrapText="right"/>
            <wp:docPr id="3" name="Picture 3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EQ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A8" w:rsidRPr="008B201B">
        <w:rPr>
          <w:rFonts w:ascii="Lucida Bright" w:hAnsi="Lucida Bright"/>
          <w:sz w:val="32"/>
        </w:rPr>
        <w:t>National Comments</w:t>
      </w:r>
    </w:p>
    <w:p w:rsidR="00971E10" w:rsidRPr="008B201B" w:rsidRDefault="00DA4BA8" w:rsidP="00E81C05">
      <w:pPr>
        <w:pStyle w:val="Heading1"/>
        <w:jc w:val="center"/>
        <w:rPr>
          <w:rFonts w:ascii="Lucida Bright" w:hAnsi="Lucida Bright"/>
          <w:sz w:val="32"/>
        </w:rPr>
      </w:pPr>
      <w:r w:rsidRPr="008B201B">
        <w:rPr>
          <w:rFonts w:ascii="Lucida Bright" w:hAnsi="Lucida Bright"/>
          <w:sz w:val="32"/>
        </w:rPr>
        <w:t>Executive Review Summary</w:t>
      </w:r>
    </w:p>
    <w:p w:rsidR="00971E10" w:rsidRPr="008B201B" w:rsidRDefault="00971E10">
      <w:pPr>
        <w:jc w:val="center"/>
        <w:rPr>
          <w:rFonts w:ascii="Lucida Bright" w:hAnsi="Lucida Bright"/>
          <w:b/>
          <w:bCs/>
          <w:sz w:val="22"/>
          <w:szCs w:val="22"/>
        </w:rPr>
      </w:pPr>
    </w:p>
    <w:p w:rsidR="00E81C05" w:rsidRDefault="00E81C05" w:rsidP="00E81C05">
      <w:pPr>
        <w:pStyle w:val="Heading1"/>
        <w:rPr>
          <w:rStyle w:val="Strong"/>
          <w:rFonts w:ascii="Lucida Bright" w:hAnsi="Lucida Bright"/>
          <w:b/>
          <w:bCs/>
          <w:sz w:val="22"/>
          <w:szCs w:val="22"/>
        </w:rPr>
      </w:pPr>
    </w:p>
    <w:p w:rsidR="008B201B" w:rsidRPr="008B201B" w:rsidRDefault="008B201B" w:rsidP="008B201B"/>
    <w:p w:rsidR="001312CB" w:rsidRPr="008B201B" w:rsidRDefault="00DA4BA8" w:rsidP="00947976">
      <w:pPr>
        <w:pStyle w:val="Heading1"/>
        <w:rPr>
          <w:rFonts w:ascii="Lucida Bright" w:eastAsiaTheme="minorHAnsi" w:hAnsi="Lucida Bright"/>
          <w:sz w:val="22"/>
          <w:szCs w:val="22"/>
        </w:rPr>
      </w:pPr>
      <w:r w:rsidRPr="008B201B">
        <w:rPr>
          <w:rStyle w:val="Strong"/>
          <w:rFonts w:ascii="Lucida Bright" w:hAnsi="Lucida Bright"/>
          <w:b/>
          <w:bCs/>
          <w:sz w:val="22"/>
          <w:szCs w:val="22"/>
        </w:rPr>
        <w:t>TCEQ Proposed Comments On</w:t>
      </w:r>
      <w:r w:rsidR="00C21680" w:rsidRPr="008B201B">
        <w:rPr>
          <w:rStyle w:val="Strong"/>
          <w:rFonts w:ascii="Lucida Bright" w:hAnsi="Lucida Bright"/>
          <w:b/>
          <w:bCs/>
          <w:sz w:val="22"/>
          <w:szCs w:val="22"/>
        </w:rPr>
        <w:t>:</w:t>
      </w:r>
      <w:r w:rsidR="00BA541B" w:rsidRPr="008B201B">
        <w:rPr>
          <w:rStyle w:val="Strong"/>
          <w:rFonts w:ascii="Lucida Bright" w:hAnsi="Lucida Bright"/>
          <w:b/>
          <w:bCs/>
          <w:sz w:val="22"/>
          <w:szCs w:val="22"/>
        </w:rPr>
        <w:t xml:space="preserve"> </w:t>
      </w:r>
    </w:p>
    <w:p w:rsidR="00662966" w:rsidRDefault="005F1027" w:rsidP="008B201B">
      <w:pPr>
        <w:pStyle w:val="BodyText"/>
        <w:spacing w:before="80"/>
        <w:rPr>
          <w:rFonts w:ascii="Lucida Bright" w:hAnsi="Lucida Bright"/>
          <w:szCs w:val="22"/>
        </w:rPr>
      </w:pPr>
      <w:r w:rsidRPr="008B201B">
        <w:rPr>
          <w:rFonts w:ascii="Lucida Bright" w:hAnsi="Lucida Bright"/>
          <w:szCs w:val="22"/>
        </w:rPr>
        <w:t>Docket ID No. E</w:t>
      </w:r>
      <w:bookmarkStart w:id="0" w:name="_GoBack"/>
      <w:r w:rsidRPr="008B201B">
        <w:rPr>
          <w:rFonts w:ascii="Lucida Bright" w:hAnsi="Lucida Bright"/>
          <w:szCs w:val="22"/>
        </w:rPr>
        <w:t>PA–HQ–OAR–201</w:t>
      </w:r>
      <w:r w:rsidR="008B201B" w:rsidRPr="008B201B">
        <w:rPr>
          <w:rFonts w:ascii="Lucida Bright" w:hAnsi="Lucida Bright"/>
          <w:szCs w:val="22"/>
        </w:rPr>
        <w:t>6</w:t>
      </w:r>
      <w:r w:rsidR="00C20EE0" w:rsidRPr="008B201B">
        <w:rPr>
          <w:rFonts w:ascii="Lucida Bright" w:hAnsi="Lucida Bright"/>
          <w:szCs w:val="22"/>
        </w:rPr>
        <w:t>–0</w:t>
      </w:r>
      <w:r w:rsidR="00E735F5">
        <w:rPr>
          <w:rFonts w:ascii="Lucida Bright" w:hAnsi="Lucida Bright"/>
          <w:szCs w:val="22"/>
        </w:rPr>
        <w:t>751</w:t>
      </w:r>
      <w:bookmarkEnd w:id="0"/>
      <w:r w:rsidR="00C20EE0" w:rsidRPr="008B201B">
        <w:rPr>
          <w:rFonts w:ascii="Lucida Bright" w:hAnsi="Lucida Bright"/>
          <w:szCs w:val="22"/>
        </w:rPr>
        <w:t>, 8</w:t>
      </w:r>
      <w:r w:rsidR="00E735F5">
        <w:rPr>
          <w:rFonts w:ascii="Lucida Bright" w:hAnsi="Lucida Bright"/>
          <w:szCs w:val="22"/>
        </w:rPr>
        <w:t>2</w:t>
      </w:r>
      <w:r w:rsidR="00C20EE0" w:rsidRPr="008B201B">
        <w:rPr>
          <w:rFonts w:ascii="Lucida Bright" w:hAnsi="Lucida Bright"/>
          <w:szCs w:val="22"/>
        </w:rPr>
        <w:t xml:space="preserve"> </w:t>
      </w:r>
      <w:r w:rsidR="00662966" w:rsidRPr="008B201B">
        <w:rPr>
          <w:rFonts w:ascii="Lucida Bright" w:hAnsi="Lucida Bright"/>
          <w:i/>
          <w:szCs w:val="22"/>
        </w:rPr>
        <w:t>Federal Register</w:t>
      </w:r>
      <w:r w:rsidR="00662966" w:rsidRPr="008B201B">
        <w:rPr>
          <w:rFonts w:ascii="Lucida Bright" w:hAnsi="Lucida Bright"/>
          <w:szCs w:val="22"/>
        </w:rPr>
        <w:t xml:space="preserve"> </w:t>
      </w:r>
      <w:r w:rsidR="00E735F5">
        <w:rPr>
          <w:rFonts w:ascii="Lucida Bright" w:hAnsi="Lucida Bright"/>
          <w:szCs w:val="22"/>
        </w:rPr>
        <w:t>1733</w:t>
      </w:r>
      <w:r w:rsidR="00662966" w:rsidRPr="008B201B">
        <w:rPr>
          <w:rFonts w:ascii="Lucida Bright" w:hAnsi="Lucida Bright"/>
          <w:szCs w:val="22"/>
        </w:rPr>
        <w:t xml:space="preserve">, </w:t>
      </w:r>
      <w:r w:rsidR="00E735F5">
        <w:rPr>
          <w:rFonts w:ascii="Lucida Bright" w:hAnsi="Lucida Bright"/>
          <w:szCs w:val="22"/>
        </w:rPr>
        <w:t>January 6</w:t>
      </w:r>
      <w:r w:rsidR="00662966" w:rsidRPr="008B201B">
        <w:rPr>
          <w:rFonts w:ascii="Lucida Bright" w:hAnsi="Lucida Bright"/>
          <w:szCs w:val="22"/>
        </w:rPr>
        <w:t>, 201</w:t>
      </w:r>
      <w:r w:rsidR="00E735F5">
        <w:rPr>
          <w:rFonts w:ascii="Lucida Bright" w:hAnsi="Lucida Bright"/>
          <w:szCs w:val="22"/>
        </w:rPr>
        <w:t>7</w:t>
      </w:r>
      <w:r w:rsidR="00C20EE0" w:rsidRPr="008B201B">
        <w:rPr>
          <w:rFonts w:ascii="Lucida Bright" w:hAnsi="Lucida Bright"/>
          <w:szCs w:val="22"/>
        </w:rPr>
        <w:t>,</w:t>
      </w:r>
      <w:r w:rsidR="00662966" w:rsidRPr="008B201B">
        <w:rPr>
          <w:rFonts w:ascii="Lucida Bright" w:hAnsi="Lucida Bright"/>
          <w:szCs w:val="22"/>
        </w:rPr>
        <w:t xml:space="preserve"> </w:t>
      </w:r>
      <w:r w:rsidR="00E735F5" w:rsidRPr="00E735F5">
        <w:rPr>
          <w:rFonts w:ascii="Lucida Bright" w:hAnsi="Lucida Bright"/>
          <w:szCs w:val="22"/>
        </w:rPr>
        <w:t xml:space="preserve">Notice </w:t>
      </w:r>
      <w:r w:rsidR="00EC0D53">
        <w:rPr>
          <w:rFonts w:ascii="Lucida Bright" w:hAnsi="Lucida Bright"/>
          <w:szCs w:val="22"/>
        </w:rPr>
        <w:t>o</w:t>
      </w:r>
      <w:r w:rsidR="00E735F5" w:rsidRPr="00E735F5">
        <w:rPr>
          <w:rFonts w:ascii="Lucida Bright" w:hAnsi="Lucida Bright"/>
          <w:szCs w:val="22"/>
        </w:rPr>
        <w:t xml:space="preserve">f Availability </w:t>
      </w:r>
      <w:r w:rsidR="00EC0D53">
        <w:rPr>
          <w:rFonts w:ascii="Lucida Bright" w:hAnsi="Lucida Bright"/>
          <w:szCs w:val="22"/>
        </w:rPr>
        <w:t>o</w:t>
      </w:r>
      <w:r w:rsidR="00E735F5" w:rsidRPr="00E735F5">
        <w:rPr>
          <w:rFonts w:ascii="Lucida Bright" w:hAnsi="Lucida Bright"/>
          <w:szCs w:val="22"/>
        </w:rPr>
        <w:t xml:space="preserve">f </w:t>
      </w:r>
      <w:r w:rsidR="00EC0D53">
        <w:rPr>
          <w:rFonts w:ascii="Lucida Bright" w:hAnsi="Lucida Bright"/>
          <w:szCs w:val="22"/>
        </w:rPr>
        <w:t>t</w:t>
      </w:r>
      <w:r w:rsidR="00E735F5" w:rsidRPr="00E735F5">
        <w:rPr>
          <w:rFonts w:ascii="Lucida Bright" w:hAnsi="Lucida Bright"/>
          <w:szCs w:val="22"/>
        </w:rPr>
        <w:t xml:space="preserve">he Environmental Protection Agency’s Preliminary Interstate Ozone Transport Modeling Data </w:t>
      </w:r>
      <w:r w:rsidR="00EC0D53">
        <w:rPr>
          <w:rFonts w:ascii="Lucida Bright" w:hAnsi="Lucida Bright"/>
          <w:szCs w:val="22"/>
        </w:rPr>
        <w:t>f</w:t>
      </w:r>
      <w:r w:rsidR="00E735F5" w:rsidRPr="00E735F5">
        <w:rPr>
          <w:rFonts w:ascii="Lucida Bright" w:hAnsi="Lucida Bright"/>
          <w:szCs w:val="22"/>
        </w:rPr>
        <w:t xml:space="preserve">or </w:t>
      </w:r>
      <w:r w:rsidR="00EC0D53">
        <w:rPr>
          <w:rFonts w:ascii="Lucida Bright" w:hAnsi="Lucida Bright"/>
          <w:szCs w:val="22"/>
        </w:rPr>
        <w:t>t</w:t>
      </w:r>
      <w:r w:rsidR="00E735F5" w:rsidRPr="00E735F5">
        <w:rPr>
          <w:rFonts w:ascii="Lucida Bright" w:hAnsi="Lucida Bright"/>
          <w:szCs w:val="22"/>
        </w:rPr>
        <w:t>he 2015 Ozone National Ambient Air Quality Standard</w:t>
      </w:r>
    </w:p>
    <w:p w:rsidR="00E735F5" w:rsidRPr="008B201B" w:rsidRDefault="00E735F5" w:rsidP="008B201B">
      <w:pPr>
        <w:pStyle w:val="BodyText"/>
        <w:spacing w:before="80"/>
        <w:rPr>
          <w:rFonts w:ascii="Lucida Bright" w:hAnsi="Lucida Bright"/>
          <w:szCs w:val="22"/>
        </w:rPr>
      </w:pPr>
    </w:p>
    <w:p w:rsidR="00971E10" w:rsidRDefault="00DA4BA8" w:rsidP="00947976">
      <w:pPr>
        <w:pStyle w:val="Heading1"/>
        <w:tabs>
          <w:tab w:val="left" w:pos="2610"/>
        </w:tabs>
        <w:rPr>
          <w:rStyle w:val="Strong"/>
          <w:rFonts w:ascii="Lucida Bright" w:hAnsi="Lucida Bright"/>
          <w:b/>
          <w:bCs/>
          <w:sz w:val="22"/>
          <w:szCs w:val="22"/>
        </w:rPr>
      </w:pPr>
      <w:r w:rsidRPr="008B201B">
        <w:rPr>
          <w:rStyle w:val="Strong"/>
          <w:rFonts w:ascii="Lucida Bright" w:hAnsi="Lucida Bright"/>
          <w:b/>
          <w:bCs/>
          <w:sz w:val="22"/>
          <w:szCs w:val="22"/>
        </w:rPr>
        <w:t>Overview of Proposal</w:t>
      </w:r>
      <w:r w:rsidR="00C21680" w:rsidRPr="008B201B">
        <w:rPr>
          <w:rStyle w:val="Strong"/>
          <w:rFonts w:ascii="Lucida Bright" w:hAnsi="Lucida Bright"/>
          <w:b/>
          <w:bCs/>
          <w:sz w:val="22"/>
          <w:szCs w:val="22"/>
        </w:rPr>
        <w:t>:</w:t>
      </w:r>
    </w:p>
    <w:p w:rsidR="008B201B" w:rsidRPr="008B201B" w:rsidRDefault="008B201B" w:rsidP="008B201B">
      <w:pPr>
        <w:rPr>
          <w:rFonts w:ascii="Lucida Bright" w:hAnsi="Lucida Bright"/>
          <w:sz w:val="22"/>
          <w:szCs w:val="22"/>
        </w:rPr>
      </w:pPr>
      <w:r w:rsidRPr="008B201B">
        <w:rPr>
          <w:rFonts w:ascii="Lucida Bright" w:hAnsi="Lucida Bright"/>
          <w:sz w:val="22"/>
          <w:szCs w:val="22"/>
        </w:rPr>
        <w:t xml:space="preserve">On </w:t>
      </w:r>
      <w:r w:rsidR="00E735F5">
        <w:rPr>
          <w:rFonts w:ascii="Lucida Bright" w:hAnsi="Lucida Bright"/>
          <w:sz w:val="22"/>
          <w:szCs w:val="22"/>
        </w:rPr>
        <w:t>January 6</w:t>
      </w:r>
      <w:r w:rsidRPr="008B201B">
        <w:rPr>
          <w:rFonts w:ascii="Lucida Bright" w:hAnsi="Lucida Bright"/>
          <w:sz w:val="22"/>
          <w:szCs w:val="22"/>
        </w:rPr>
        <w:t>, 201</w:t>
      </w:r>
      <w:r w:rsidR="00E735F5">
        <w:rPr>
          <w:rFonts w:ascii="Lucida Bright" w:hAnsi="Lucida Bright"/>
          <w:sz w:val="22"/>
          <w:szCs w:val="22"/>
        </w:rPr>
        <w:t>7</w:t>
      </w:r>
      <w:r w:rsidRPr="008B201B">
        <w:rPr>
          <w:rFonts w:ascii="Lucida Bright" w:hAnsi="Lucida Bright"/>
          <w:sz w:val="22"/>
          <w:szCs w:val="22"/>
        </w:rPr>
        <w:t xml:space="preserve">, the United States (U.S.) Environmental Protection Agency (EPA) published in the </w:t>
      </w:r>
      <w:r w:rsidRPr="000F235B">
        <w:rPr>
          <w:rFonts w:ascii="Lucida Bright" w:hAnsi="Lucida Bright"/>
          <w:i/>
          <w:sz w:val="22"/>
          <w:szCs w:val="22"/>
        </w:rPr>
        <w:t>Federal Register</w:t>
      </w:r>
      <w:r w:rsidRPr="008B201B">
        <w:rPr>
          <w:rFonts w:ascii="Lucida Bright" w:hAnsi="Lucida Bright"/>
          <w:sz w:val="22"/>
          <w:szCs w:val="22"/>
        </w:rPr>
        <w:t xml:space="preserve"> a</w:t>
      </w:r>
      <w:r w:rsidR="00E735F5">
        <w:rPr>
          <w:rFonts w:ascii="Lucida Bright" w:hAnsi="Lucida Bright"/>
          <w:sz w:val="22"/>
          <w:szCs w:val="22"/>
        </w:rPr>
        <w:t xml:space="preserve"> </w:t>
      </w:r>
      <w:r w:rsidR="00EC0D53">
        <w:rPr>
          <w:rFonts w:ascii="Lucida Bright" w:hAnsi="Lucida Bright"/>
          <w:sz w:val="22"/>
          <w:szCs w:val="22"/>
        </w:rPr>
        <w:t>n</w:t>
      </w:r>
      <w:r w:rsidR="00E735F5" w:rsidRPr="00E735F5">
        <w:rPr>
          <w:rFonts w:ascii="Lucida Bright" w:hAnsi="Lucida Bright"/>
          <w:sz w:val="22"/>
          <w:szCs w:val="22"/>
        </w:rPr>
        <w:t xml:space="preserve">otice </w:t>
      </w:r>
      <w:r w:rsidR="00EC0D53">
        <w:rPr>
          <w:rFonts w:ascii="Lucida Bright" w:hAnsi="Lucida Bright"/>
          <w:sz w:val="22"/>
          <w:szCs w:val="22"/>
        </w:rPr>
        <w:t>o</w:t>
      </w:r>
      <w:r w:rsidR="00E735F5" w:rsidRPr="00E735F5">
        <w:rPr>
          <w:rFonts w:ascii="Lucida Bright" w:hAnsi="Lucida Bright"/>
          <w:sz w:val="22"/>
          <w:szCs w:val="22"/>
        </w:rPr>
        <w:t xml:space="preserve">f </w:t>
      </w:r>
      <w:r w:rsidR="00EC0D53">
        <w:rPr>
          <w:rFonts w:ascii="Lucida Bright" w:hAnsi="Lucida Bright"/>
          <w:sz w:val="22"/>
          <w:szCs w:val="22"/>
        </w:rPr>
        <w:t>a</w:t>
      </w:r>
      <w:r w:rsidR="00E735F5" w:rsidRPr="00E735F5">
        <w:rPr>
          <w:rFonts w:ascii="Lucida Bright" w:hAnsi="Lucida Bright"/>
          <w:sz w:val="22"/>
          <w:szCs w:val="22"/>
        </w:rPr>
        <w:t xml:space="preserve">vailability </w:t>
      </w:r>
      <w:r w:rsidR="00EC0D53">
        <w:rPr>
          <w:rFonts w:ascii="Lucida Bright" w:hAnsi="Lucida Bright"/>
          <w:sz w:val="22"/>
          <w:szCs w:val="22"/>
        </w:rPr>
        <w:t>of t</w:t>
      </w:r>
      <w:r w:rsidR="00E735F5" w:rsidRPr="00E735F5">
        <w:rPr>
          <w:rFonts w:ascii="Lucida Bright" w:hAnsi="Lucida Bright"/>
          <w:sz w:val="22"/>
          <w:szCs w:val="22"/>
        </w:rPr>
        <w:t>he EP</w:t>
      </w:r>
      <w:r w:rsidR="007B621E">
        <w:rPr>
          <w:rFonts w:ascii="Lucida Bright" w:hAnsi="Lucida Bright"/>
          <w:sz w:val="22"/>
          <w:szCs w:val="22"/>
        </w:rPr>
        <w:t>A</w:t>
      </w:r>
      <w:r w:rsidR="00E735F5" w:rsidRPr="00E735F5">
        <w:rPr>
          <w:rFonts w:ascii="Lucida Bright" w:hAnsi="Lucida Bright"/>
          <w:sz w:val="22"/>
          <w:szCs w:val="22"/>
        </w:rPr>
        <w:t>’s Preliminary Interstate</w:t>
      </w:r>
      <w:r w:rsidR="00EC0D53">
        <w:rPr>
          <w:rFonts w:ascii="Lucida Bright" w:hAnsi="Lucida Bright"/>
          <w:sz w:val="22"/>
          <w:szCs w:val="22"/>
        </w:rPr>
        <w:t xml:space="preserve"> Ozone Transport Modeling Data for t</w:t>
      </w:r>
      <w:r w:rsidR="00E735F5" w:rsidRPr="00E735F5">
        <w:rPr>
          <w:rFonts w:ascii="Lucida Bright" w:hAnsi="Lucida Bright"/>
          <w:sz w:val="22"/>
          <w:szCs w:val="22"/>
        </w:rPr>
        <w:t>he 2015 Ozone National Ambient Air Quality Standard</w:t>
      </w:r>
      <w:r w:rsidR="00E735F5">
        <w:rPr>
          <w:rFonts w:ascii="Lucida Bright" w:hAnsi="Lucida Bright"/>
          <w:sz w:val="22"/>
          <w:szCs w:val="22"/>
        </w:rPr>
        <w:t xml:space="preserve"> (NAAQS). </w:t>
      </w:r>
      <w:r w:rsidR="00E735F5" w:rsidRPr="00E735F5">
        <w:rPr>
          <w:rFonts w:ascii="Lucida Bright" w:hAnsi="Lucida Bright"/>
          <w:sz w:val="22"/>
          <w:szCs w:val="22"/>
        </w:rPr>
        <w:t>This information is used to develop state implementation plans (SIP).</w:t>
      </w:r>
    </w:p>
    <w:p w:rsidR="00C21680" w:rsidRPr="008B201B" w:rsidRDefault="00DA4BA8" w:rsidP="00947976">
      <w:pPr>
        <w:pStyle w:val="Heading1"/>
        <w:rPr>
          <w:rStyle w:val="Strong"/>
          <w:rFonts w:ascii="Lucida Bright" w:hAnsi="Lucida Bright"/>
          <w:b/>
          <w:bCs/>
          <w:sz w:val="22"/>
          <w:szCs w:val="22"/>
        </w:rPr>
      </w:pPr>
      <w:r w:rsidRPr="008B201B">
        <w:rPr>
          <w:rStyle w:val="Strong"/>
          <w:rFonts w:ascii="Lucida Bright" w:hAnsi="Lucida Bright"/>
          <w:b/>
          <w:bCs/>
          <w:sz w:val="22"/>
          <w:szCs w:val="22"/>
        </w:rPr>
        <w:t>Summary of Comments</w:t>
      </w:r>
      <w:r w:rsidR="00C21680" w:rsidRPr="008B201B">
        <w:rPr>
          <w:rStyle w:val="Strong"/>
          <w:rFonts w:ascii="Lucida Bright" w:hAnsi="Lucida Bright"/>
          <w:b/>
          <w:bCs/>
          <w:sz w:val="22"/>
          <w:szCs w:val="22"/>
        </w:rPr>
        <w:t>:</w:t>
      </w:r>
    </w:p>
    <w:p w:rsidR="00413E2E" w:rsidRDefault="00E735F5" w:rsidP="00E735F5">
      <w:pPr>
        <w:pStyle w:val="ListParagraph"/>
        <w:numPr>
          <w:ilvl w:val="0"/>
          <w:numId w:val="9"/>
        </w:numPr>
        <w:spacing w:before="60"/>
        <w:rPr>
          <w:rFonts w:ascii="Lucida Bright" w:hAnsi="Lucida Bright"/>
          <w:sz w:val="22"/>
          <w:szCs w:val="22"/>
        </w:rPr>
      </w:pPr>
      <w:r w:rsidRPr="00E735F5">
        <w:rPr>
          <w:rFonts w:ascii="Lucida Bright" w:hAnsi="Lucida Bright"/>
          <w:sz w:val="22"/>
          <w:szCs w:val="22"/>
        </w:rPr>
        <w:t>The EPA should not include the Clean Power Plan (CPP) in the updated electric generating unit (EGU) projections.</w:t>
      </w:r>
      <w:r>
        <w:rPr>
          <w:rFonts w:ascii="Lucida Bright" w:hAnsi="Lucida Bright"/>
          <w:sz w:val="22"/>
          <w:szCs w:val="22"/>
        </w:rPr>
        <w:t xml:space="preserve"> </w:t>
      </w:r>
    </w:p>
    <w:p w:rsidR="008B201B" w:rsidRDefault="00E735F5" w:rsidP="008B201B">
      <w:pPr>
        <w:pStyle w:val="ListParagraph"/>
        <w:numPr>
          <w:ilvl w:val="0"/>
          <w:numId w:val="9"/>
        </w:numPr>
        <w:spacing w:before="60"/>
        <w:rPr>
          <w:rFonts w:ascii="Lucida Bright" w:hAnsi="Lucida Bright"/>
          <w:sz w:val="22"/>
          <w:szCs w:val="22"/>
        </w:rPr>
      </w:pPr>
      <w:r w:rsidRPr="00E735F5">
        <w:rPr>
          <w:rFonts w:ascii="Lucida Bright" w:hAnsi="Lucida Bright"/>
          <w:sz w:val="22"/>
          <w:szCs w:val="22"/>
        </w:rPr>
        <w:t xml:space="preserve">The EPA has not proven that a contribution by upwind states of 1% of the relevant NAAQS will “interfere with” maintenance in identified maintenance areas. </w:t>
      </w:r>
    </w:p>
    <w:p w:rsidR="00E735F5" w:rsidRDefault="00E735F5" w:rsidP="00E735F5">
      <w:pPr>
        <w:pStyle w:val="ListParagraph"/>
        <w:numPr>
          <w:ilvl w:val="0"/>
          <w:numId w:val="9"/>
        </w:numPr>
        <w:spacing w:before="60"/>
        <w:rPr>
          <w:rFonts w:ascii="Lucida Bright" w:hAnsi="Lucida Bright"/>
          <w:sz w:val="22"/>
          <w:szCs w:val="22"/>
        </w:rPr>
      </w:pPr>
      <w:r w:rsidRPr="00E735F5">
        <w:rPr>
          <w:rFonts w:ascii="Lucida Bright" w:hAnsi="Lucida Bright"/>
          <w:sz w:val="22"/>
          <w:szCs w:val="22"/>
        </w:rPr>
        <w:t>The EPA does not provide a rationale for using the attainment deadline for moderate nonattainment areas as the projected analysis year.</w:t>
      </w:r>
    </w:p>
    <w:p w:rsidR="00E735F5" w:rsidRDefault="00E735F5" w:rsidP="00E735F5">
      <w:pPr>
        <w:pStyle w:val="ListParagraph"/>
        <w:numPr>
          <w:ilvl w:val="0"/>
          <w:numId w:val="9"/>
        </w:numPr>
        <w:spacing w:before="60"/>
        <w:rPr>
          <w:rFonts w:ascii="Lucida Bright" w:hAnsi="Lucida Bright"/>
          <w:sz w:val="22"/>
          <w:szCs w:val="22"/>
        </w:rPr>
      </w:pPr>
      <w:r w:rsidRPr="00E735F5">
        <w:rPr>
          <w:rFonts w:ascii="Lucida Bright" w:hAnsi="Lucida Bright"/>
          <w:sz w:val="22"/>
          <w:szCs w:val="22"/>
        </w:rPr>
        <w:t>The TCEQ has updated nonpoint source oil and gas emissions estimates for drilling rig engines based on a study completed in 2015 and will provide this data to the EPA. The EPA should revise its 2017 and 2023 future-year inventories to incorporate these updates.</w:t>
      </w:r>
    </w:p>
    <w:p w:rsidR="00E735F5" w:rsidRDefault="00E735F5" w:rsidP="00E735F5">
      <w:pPr>
        <w:pStyle w:val="ListParagraph"/>
        <w:numPr>
          <w:ilvl w:val="0"/>
          <w:numId w:val="9"/>
        </w:numPr>
        <w:spacing w:before="60"/>
        <w:rPr>
          <w:rFonts w:ascii="Lucida Bright" w:hAnsi="Lucida Bright"/>
          <w:sz w:val="22"/>
          <w:szCs w:val="22"/>
        </w:rPr>
      </w:pPr>
      <w:r w:rsidRPr="00E735F5">
        <w:rPr>
          <w:rFonts w:ascii="Lucida Bright" w:hAnsi="Lucida Bright"/>
          <w:sz w:val="22"/>
          <w:szCs w:val="22"/>
        </w:rPr>
        <w:t>In general for Texas EGUs, the EPA should use TCEQ-reported emissions rates for the 2011 base-year emissions inventory, and ensure future-year EGU emissions are reasonable based upon individual EGU characteristics and representative historic emissions data. Otherwise, the EPA risks over-predicting criteria pollutant formation by modeling unrealistically high emissions data.</w:t>
      </w:r>
    </w:p>
    <w:p w:rsidR="00E735F5" w:rsidRDefault="00E735F5" w:rsidP="00E735F5">
      <w:pPr>
        <w:pStyle w:val="ListParagraph"/>
        <w:numPr>
          <w:ilvl w:val="0"/>
          <w:numId w:val="9"/>
        </w:numPr>
        <w:spacing w:before="60"/>
        <w:rPr>
          <w:rFonts w:ascii="Lucida Bright" w:hAnsi="Lucida Bright"/>
          <w:sz w:val="22"/>
          <w:szCs w:val="22"/>
        </w:rPr>
      </w:pPr>
      <w:r w:rsidRPr="00E735F5">
        <w:rPr>
          <w:rFonts w:ascii="Lucida Bright" w:hAnsi="Lucida Bright"/>
          <w:sz w:val="22"/>
          <w:szCs w:val="22"/>
        </w:rPr>
        <w:t>The TCEQ continues to support flexibility in the approach used by states when addressing interstate ozone transport.</w:t>
      </w:r>
    </w:p>
    <w:p w:rsidR="00E735F5" w:rsidRDefault="00E735F5" w:rsidP="00E735F5">
      <w:pPr>
        <w:pStyle w:val="ListParagraph"/>
        <w:numPr>
          <w:ilvl w:val="0"/>
          <w:numId w:val="9"/>
        </w:numPr>
        <w:spacing w:before="60"/>
        <w:rPr>
          <w:rFonts w:ascii="Lucida Bright" w:hAnsi="Lucida Bright"/>
          <w:sz w:val="22"/>
          <w:szCs w:val="22"/>
        </w:rPr>
      </w:pPr>
      <w:r w:rsidRPr="00E735F5">
        <w:rPr>
          <w:rFonts w:ascii="Lucida Bright" w:hAnsi="Lucida Bright"/>
          <w:sz w:val="22"/>
          <w:szCs w:val="22"/>
        </w:rPr>
        <w:t>The EPA should not apply boundary conditions developed for 2011 for modeling a 2023 future year.</w:t>
      </w:r>
    </w:p>
    <w:p w:rsidR="00E735F5" w:rsidRDefault="00E735F5" w:rsidP="00E735F5">
      <w:pPr>
        <w:pStyle w:val="ListParagraph"/>
        <w:numPr>
          <w:ilvl w:val="0"/>
          <w:numId w:val="9"/>
        </w:numPr>
        <w:spacing w:before="60"/>
        <w:rPr>
          <w:rFonts w:ascii="Lucida Bright" w:hAnsi="Lucida Bright"/>
          <w:sz w:val="22"/>
          <w:szCs w:val="22"/>
        </w:rPr>
      </w:pPr>
      <w:r w:rsidRPr="00E735F5">
        <w:rPr>
          <w:rFonts w:ascii="Lucida Bright" w:hAnsi="Lucida Bright"/>
          <w:sz w:val="22"/>
          <w:szCs w:val="22"/>
        </w:rPr>
        <w:t>2011 is not representative of historical ozone formation for Texas and surrounding states because of the atypical meteorology (e.g., extreme temperatures) and related events (e.g., wildfires</w:t>
      </w:r>
      <w:r w:rsidR="007B621E">
        <w:rPr>
          <w:rFonts w:ascii="Lucida Bright" w:hAnsi="Lucida Bright"/>
          <w:sz w:val="22"/>
          <w:szCs w:val="22"/>
        </w:rPr>
        <w:t xml:space="preserve"> and</w:t>
      </w:r>
      <w:r w:rsidRPr="00E735F5">
        <w:rPr>
          <w:rFonts w:ascii="Lucida Bright" w:hAnsi="Lucida Bright"/>
          <w:sz w:val="22"/>
          <w:szCs w:val="22"/>
        </w:rPr>
        <w:t xml:space="preserve"> exceptional drought</w:t>
      </w:r>
      <w:r w:rsidR="007B621E">
        <w:rPr>
          <w:rFonts w:ascii="Lucida Bright" w:hAnsi="Lucida Bright"/>
          <w:sz w:val="22"/>
          <w:szCs w:val="22"/>
        </w:rPr>
        <w:t>)</w:t>
      </w:r>
      <w:r w:rsidRPr="00E735F5">
        <w:rPr>
          <w:rFonts w:ascii="Lucida Bright" w:hAnsi="Lucida Bright"/>
          <w:sz w:val="22"/>
          <w:szCs w:val="22"/>
        </w:rPr>
        <w:t>.</w:t>
      </w:r>
    </w:p>
    <w:p w:rsidR="00E735F5" w:rsidRDefault="00E735F5" w:rsidP="00E735F5">
      <w:pPr>
        <w:pStyle w:val="ListParagraph"/>
        <w:numPr>
          <w:ilvl w:val="0"/>
          <w:numId w:val="9"/>
        </w:numPr>
        <w:spacing w:before="60"/>
        <w:rPr>
          <w:rFonts w:ascii="Lucida Bright" w:hAnsi="Lucida Bright"/>
          <w:sz w:val="22"/>
          <w:szCs w:val="22"/>
        </w:rPr>
      </w:pPr>
      <w:r w:rsidRPr="00E735F5">
        <w:rPr>
          <w:rFonts w:ascii="Lucida Bright" w:hAnsi="Lucida Bright"/>
          <w:sz w:val="22"/>
          <w:szCs w:val="22"/>
        </w:rPr>
        <w:t xml:space="preserve">2011 </w:t>
      </w:r>
      <w:r w:rsidR="00EE4BB9">
        <w:rPr>
          <w:rFonts w:ascii="Lucida Bright" w:hAnsi="Lucida Bright"/>
          <w:sz w:val="22"/>
          <w:szCs w:val="22"/>
        </w:rPr>
        <w:t>is</w:t>
      </w:r>
      <w:r w:rsidR="00EE4BB9" w:rsidRPr="00E735F5">
        <w:rPr>
          <w:rFonts w:ascii="Lucida Bright" w:hAnsi="Lucida Bright"/>
          <w:sz w:val="22"/>
          <w:szCs w:val="22"/>
        </w:rPr>
        <w:t xml:space="preserve"> </w:t>
      </w:r>
      <w:r w:rsidRPr="00E735F5">
        <w:rPr>
          <w:rFonts w:ascii="Lucida Bright" w:hAnsi="Lucida Bright"/>
          <w:sz w:val="22"/>
          <w:szCs w:val="22"/>
        </w:rPr>
        <w:t>not conducive to good model performance</w:t>
      </w:r>
      <w:r w:rsidR="00EE4BB9">
        <w:rPr>
          <w:rFonts w:ascii="Lucida Bright" w:hAnsi="Lucida Bright"/>
          <w:sz w:val="22"/>
          <w:szCs w:val="22"/>
        </w:rPr>
        <w:t xml:space="preserve"> in Texas</w:t>
      </w:r>
      <w:r w:rsidRPr="00E735F5">
        <w:rPr>
          <w:rFonts w:ascii="Lucida Bright" w:hAnsi="Lucida Bright"/>
          <w:sz w:val="22"/>
          <w:szCs w:val="22"/>
        </w:rPr>
        <w:t>, and relatively poor model performance increases uncertainty surrounding estimates of contribution.</w:t>
      </w:r>
    </w:p>
    <w:p w:rsidR="00E735F5" w:rsidRDefault="00E735F5" w:rsidP="00E735F5">
      <w:pPr>
        <w:pStyle w:val="ListParagraph"/>
        <w:numPr>
          <w:ilvl w:val="0"/>
          <w:numId w:val="9"/>
        </w:numPr>
        <w:spacing w:before="60"/>
        <w:rPr>
          <w:rFonts w:ascii="Lucida Bright" w:hAnsi="Lucida Bright"/>
          <w:sz w:val="22"/>
          <w:szCs w:val="22"/>
        </w:rPr>
      </w:pPr>
      <w:r w:rsidRPr="00E735F5">
        <w:rPr>
          <w:rFonts w:ascii="Lucida Bright" w:hAnsi="Lucida Bright"/>
          <w:sz w:val="22"/>
          <w:szCs w:val="22"/>
        </w:rPr>
        <w:t>The EPA should optimize meteorological parameters used for subsequent photochemical modeling.</w:t>
      </w:r>
    </w:p>
    <w:p w:rsidR="00E735F5" w:rsidRDefault="00E735F5" w:rsidP="00E735F5">
      <w:pPr>
        <w:pStyle w:val="ListParagraph"/>
        <w:numPr>
          <w:ilvl w:val="0"/>
          <w:numId w:val="9"/>
        </w:numPr>
        <w:spacing w:before="60"/>
        <w:rPr>
          <w:rFonts w:ascii="Lucida Bright" w:hAnsi="Lucida Bright"/>
          <w:sz w:val="22"/>
          <w:szCs w:val="22"/>
        </w:rPr>
      </w:pPr>
      <w:r w:rsidRPr="00E735F5">
        <w:rPr>
          <w:rFonts w:ascii="Lucida Bright" w:hAnsi="Lucida Bright"/>
          <w:sz w:val="22"/>
          <w:szCs w:val="22"/>
        </w:rPr>
        <w:t>The EPA has not demonstrated the appropriateness of a 1% threshold to identify significant contribution to nonattainment and interference with maintenance.</w:t>
      </w:r>
    </w:p>
    <w:p w:rsidR="00E735F5" w:rsidRDefault="00E735F5" w:rsidP="00EE4BB9">
      <w:pPr>
        <w:pStyle w:val="ListParagraph"/>
        <w:numPr>
          <w:ilvl w:val="0"/>
          <w:numId w:val="9"/>
        </w:numPr>
        <w:spacing w:before="60"/>
        <w:rPr>
          <w:rFonts w:ascii="Lucida Bright" w:hAnsi="Lucida Bright"/>
          <w:sz w:val="22"/>
          <w:szCs w:val="22"/>
        </w:rPr>
      </w:pPr>
      <w:r w:rsidRPr="00E735F5">
        <w:rPr>
          <w:rFonts w:ascii="Lucida Bright" w:hAnsi="Lucida Bright"/>
          <w:sz w:val="22"/>
          <w:szCs w:val="22"/>
        </w:rPr>
        <w:t xml:space="preserve">The EPA </w:t>
      </w:r>
      <w:r w:rsidR="00EE4BB9" w:rsidRPr="00EE4BB9">
        <w:rPr>
          <w:rFonts w:ascii="Lucida Bright" w:hAnsi="Lucida Bright"/>
          <w:sz w:val="22"/>
          <w:szCs w:val="22"/>
        </w:rPr>
        <w:t xml:space="preserve">should appropriately differentiate action necessary for </w:t>
      </w:r>
      <w:r w:rsidRPr="00E735F5">
        <w:rPr>
          <w:rFonts w:ascii="Lucida Bright" w:hAnsi="Lucida Bright"/>
          <w:sz w:val="22"/>
          <w:szCs w:val="22"/>
        </w:rPr>
        <w:t xml:space="preserve">nonattainment and </w:t>
      </w:r>
      <w:r w:rsidRPr="00E735F5">
        <w:rPr>
          <w:rFonts w:ascii="Lucida Bright" w:hAnsi="Lucida Bright"/>
          <w:sz w:val="22"/>
          <w:szCs w:val="22"/>
        </w:rPr>
        <w:lastRenderedPageBreak/>
        <w:t xml:space="preserve">maintenance </w:t>
      </w:r>
      <w:r w:rsidR="007B621E">
        <w:rPr>
          <w:rFonts w:ascii="Lucida Bright" w:hAnsi="Lucida Bright"/>
          <w:sz w:val="22"/>
          <w:szCs w:val="22"/>
        </w:rPr>
        <w:t xml:space="preserve">monitoring </w:t>
      </w:r>
      <w:r w:rsidRPr="00E735F5">
        <w:rPr>
          <w:rFonts w:ascii="Lucida Bright" w:hAnsi="Lucida Bright"/>
          <w:sz w:val="22"/>
          <w:szCs w:val="22"/>
        </w:rPr>
        <w:t>sites.</w:t>
      </w:r>
    </w:p>
    <w:p w:rsidR="00E735F5" w:rsidRDefault="00E735F5" w:rsidP="00E735F5">
      <w:pPr>
        <w:pStyle w:val="ListParagraph"/>
        <w:numPr>
          <w:ilvl w:val="0"/>
          <w:numId w:val="9"/>
        </w:numPr>
        <w:spacing w:before="60"/>
        <w:rPr>
          <w:rFonts w:ascii="Lucida Bright" w:hAnsi="Lucida Bright"/>
          <w:sz w:val="22"/>
          <w:szCs w:val="22"/>
        </w:rPr>
      </w:pPr>
      <w:r w:rsidRPr="00E735F5">
        <w:rPr>
          <w:rFonts w:ascii="Lucida Bright" w:hAnsi="Lucida Bright"/>
          <w:sz w:val="22"/>
          <w:szCs w:val="22"/>
        </w:rPr>
        <w:t>The EPA should account for air quality trends when identifying maintenance areas.</w:t>
      </w:r>
    </w:p>
    <w:p w:rsidR="00E735F5" w:rsidRDefault="00E735F5" w:rsidP="00E735F5">
      <w:pPr>
        <w:pStyle w:val="ListParagraph"/>
        <w:numPr>
          <w:ilvl w:val="0"/>
          <w:numId w:val="9"/>
        </w:numPr>
        <w:spacing w:before="60"/>
        <w:rPr>
          <w:rFonts w:ascii="Lucida Bright" w:hAnsi="Lucida Bright"/>
          <w:sz w:val="22"/>
          <w:szCs w:val="22"/>
        </w:rPr>
      </w:pPr>
      <w:r w:rsidRPr="00E735F5">
        <w:rPr>
          <w:rFonts w:ascii="Lucida Bright" w:hAnsi="Lucida Bright"/>
          <w:sz w:val="22"/>
          <w:szCs w:val="22"/>
        </w:rPr>
        <w:t>The EPA should use a consistent approach for assessing future attainment status and for calculating state contributions to future design values.</w:t>
      </w:r>
    </w:p>
    <w:p w:rsidR="00E735F5" w:rsidRDefault="00E735F5" w:rsidP="00E735F5">
      <w:pPr>
        <w:pStyle w:val="ListParagraph"/>
        <w:numPr>
          <w:ilvl w:val="0"/>
          <w:numId w:val="9"/>
        </w:numPr>
        <w:spacing w:before="60"/>
        <w:rPr>
          <w:rFonts w:ascii="Lucida Bright" w:hAnsi="Lucida Bright"/>
          <w:sz w:val="22"/>
          <w:szCs w:val="22"/>
        </w:rPr>
      </w:pPr>
      <w:r w:rsidRPr="00E735F5">
        <w:rPr>
          <w:rFonts w:ascii="Lucida Bright" w:hAnsi="Lucida Bright"/>
          <w:sz w:val="22"/>
          <w:szCs w:val="22"/>
        </w:rPr>
        <w:t>The EPA should finalize the applicable modeling guidance.</w:t>
      </w:r>
    </w:p>
    <w:p w:rsidR="00E735F5" w:rsidRDefault="00E735F5" w:rsidP="00E735F5">
      <w:pPr>
        <w:pStyle w:val="ListParagraph"/>
        <w:numPr>
          <w:ilvl w:val="0"/>
          <w:numId w:val="9"/>
        </w:numPr>
        <w:spacing w:before="60"/>
        <w:rPr>
          <w:rFonts w:ascii="Lucida Bright" w:hAnsi="Lucida Bright"/>
          <w:sz w:val="22"/>
          <w:szCs w:val="22"/>
        </w:rPr>
      </w:pPr>
      <w:r w:rsidRPr="00E735F5">
        <w:rPr>
          <w:rFonts w:ascii="Lucida Bright" w:hAnsi="Lucida Bright"/>
          <w:sz w:val="22"/>
          <w:szCs w:val="22"/>
        </w:rPr>
        <w:t xml:space="preserve">The EPA should evaluate </w:t>
      </w:r>
      <w:r w:rsidR="00EE4BB9">
        <w:rPr>
          <w:rFonts w:ascii="Lucida Bright" w:hAnsi="Lucida Bright"/>
          <w:sz w:val="22"/>
          <w:szCs w:val="22"/>
        </w:rPr>
        <w:t xml:space="preserve">and publish </w:t>
      </w:r>
      <w:r w:rsidRPr="00E735F5">
        <w:rPr>
          <w:rFonts w:ascii="Lucida Bright" w:hAnsi="Lucida Bright"/>
          <w:sz w:val="22"/>
          <w:szCs w:val="22"/>
        </w:rPr>
        <w:t xml:space="preserve">model performance for ozone and ozone precursors to </w:t>
      </w:r>
      <w:r w:rsidR="00EE4BB9">
        <w:rPr>
          <w:rFonts w:ascii="Lucida Bright" w:hAnsi="Lucida Bright"/>
          <w:sz w:val="22"/>
          <w:szCs w:val="22"/>
        </w:rPr>
        <w:t>demonstrate</w:t>
      </w:r>
      <w:r w:rsidR="00EE4BB9" w:rsidRPr="00E735F5">
        <w:rPr>
          <w:rFonts w:ascii="Lucida Bright" w:hAnsi="Lucida Bright"/>
          <w:sz w:val="22"/>
          <w:szCs w:val="22"/>
        </w:rPr>
        <w:t xml:space="preserve"> </w:t>
      </w:r>
      <w:r w:rsidRPr="00E735F5">
        <w:rPr>
          <w:rFonts w:ascii="Lucida Bright" w:hAnsi="Lucida Bright"/>
          <w:sz w:val="22"/>
          <w:szCs w:val="22"/>
        </w:rPr>
        <w:t>that the model is getting the “right answer for the right reason.”</w:t>
      </w:r>
    </w:p>
    <w:p w:rsidR="00EC0D53" w:rsidRDefault="00EC0D53" w:rsidP="00EC0D53">
      <w:pPr>
        <w:pStyle w:val="ListParagraph"/>
        <w:numPr>
          <w:ilvl w:val="0"/>
          <w:numId w:val="9"/>
        </w:numPr>
        <w:spacing w:before="60"/>
        <w:rPr>
          <w:rFonts w:ascii="Lucida Bright" w:hAnsi="Lucida Bright"/>
          <w:sz w:val="22"/>
          <w:szCs w:val="22"/>
        </w:rPr>
      </w:pPr>
      <w:r w:rsidRPr="00EC0D53">
        <w:rPr>
          <w:rFonts w:ascii="Lucida Bright" w:hAnsi="Lucida Bright"/>
          <w:sz w:val="22"/>
          <w:szCs w:val="22"/>
        </w:rPr>
        <w:t>Upwind states should not be required to compensate for international emissions.</w:t>
      </w:r>
    </w:p>
    <w:p w:rsidR="00E735F5" w:rsidRPr="00E735F5" w:rsidRDefault="00E735F5" w:rsidP="00E735F5">
      <w:pPr>
        <w:spacing w:before="60"/>
        <w:rPr>
          <w:rFonts w:ascii="Lucida Bright" w:hAnsi="Lucida Bright"/>
          <w:sz w:val="22"/>
          <w:szCs w:val="22"/>
        </w:rPr>
      </w:pPr>
    </w:p>
    <w:p w:rsidR="00DA5C55" w:rsidRPr="008B201B" w:rsidRDefault="0059440F" w:rsidP="00947976">
      <w:pPr>
        <w:spacing w:before="60"/>
        <w:rPr>
          <w:rFonts w:ascii="Lucida Bright" w:hAnsi="Lucida Bright"/>
          <w:sz w:val="22"/>
          <w:szCs w:val="22"/>
        </w:rPr>
      </w:pPr>
      <w:r w:rsidRPr="008B201B">
        <w:rPr>
          <w:rStyle w:val="Strong"/>
          <w:rFonts w:ascii="Lucida Bright" w:hAnsi="Lucida Bright"/>
          <w:sz w:val="22"/>
          <w:szCs w:val="22"/>
        </w:rPr>
        <w:t xml:space="preserve">Lead Office: </w:t>
      </w:r>
      <w:r w:rsidRPr="008B201B">
        <w:rPr>
          <w:rStyle w:val="Strong"/>
          <w:rFonts w:ascii="Lucida Bright" w:hAnsi="Lucida Bright"/>
          <w:b w:val="0"/>
          <w:sz w:val="22"/>
          <w:szCs w:val="22"/>
        </w:rPr>
        <w:t>Office of Air/Air Quality Division</w:t>
      </w:r>
    </w:p>
    <w:p w:rsidR="0059440F" w:rsidRPr="008B201B" w:rsidRDefault="0059440F" w:rsidP="00947976">
      <w:pPr>
        <w:spacing w:before="60"/>
        <w:rPr>
          <w:rStyle w:val="Strong"/>
          <w:rFonts w:ascii="Lucida Bright" w:hAnsi="Lucida Bright"/>
          <w:b w:val="0"/>
          <w:sz w:val="22"/>
          <w:szCs w:val="22"/>
        </w:rPr>
      </w:pPr>
      <w:r w:rsidRPr="008B201B">
        <w:rPr>
          <w:rStyle w:val="Strong"/>
          <w:rFonts w:ascii="Lucida Bright" w:hAnsi="Lucida Bright"/>
          <w:sz w:val="22"/>
          <w:szCs w:val="22"/>
        </w:rPr>
        <w:t xml:space="preserve">Internal Coordination: </w:t>
      </w:r>
      <w:r w:rsidR="00BB0782" w:rsidRPr="008B201B">
        <w:rPr>
          <w:rStyle w:val="Strong"/>
          <w:rFonts w:ascii="Lucida Bright" w:hAnsi="Lucida Bright"/>
          <w:b w:val="0"/>
          <w:sz w:val="22"/>
          <w:szCs w:val="22"/>
        </w:rPr>
        <w:t>D</w:t>
      </w:r>
      <w:r w:rsidR="0031646A" w:rsidRPr="008B201B">
        <w:rPr>
          <w:rStyle w:val="Strong"/>
          <w:rFonts w:ascii="Lucida Bright" w:hAnsi="Lucida Bright"/>
          <w:b w:val="0"/>
          <w:sz w:val="22"/>
          <w:szCs w:val="22"/>
        </w:rPr>
        <w:t>aphne McMurrer</w:t>
      </w:r>
      <w:r w:rsidRPr="008B201B">
        <w:rPr>
          <w:rStyle w:val="Strong"/>
          <w:rFonts w:ascii="Lucida Bright" w:hAnsi="Lucida Bright"/>
          <w:b w:val="0"/>
          <w:sz w:val="22"/>
          <w:szCs w:val="22"/>
        </w:rPr>
        <w:t>/OA/AQD/Air Quality Planning Section</w:t>
      </w:r>
    </w:p>
    <w:p w:rsidR="0059440F" w:rsidRPr="008B201B" w:rsidRDefault="0059440F" w:rsidP="00947976">
      <w:pPr>
        <w:spacing w:before="60"/>
        <w:rPr>
          <w:rStyle w:val="Strong"/>
          <w:rFonts w:ascii="Lucida Bright" w:hAnsi="Lucida Bright"/>
          <w:b w:val="0"/>
          <w:sz w:val="22"/>
          <w:szCs w:val="22"/>
        </w:rPr>
      </w:pPr>
      <w:r w:rsidRPr="008B201B">
        <w:rPr>
          <w:rStyle w:val="Strong"/>
          <w:rFonts w:ascii="Lucida Bright" w:hAnsi="Lucida Bright"/>
          <w:sz w:val="22"/>
          <w:szCs w:val="22"/>
        </w:rPr>
        <w:t>Office of Legal Services:</w:t>
      </w:r>
      <w:r w:rsidR="00BA3756" w:rsidRPr="008B201B">
        <w:rPr>
          <w:rStyle w:val="Strong"/>
          <w:rFonts w:ascii="Lucida Bright" w:hAnsi="Lucida Bright"/>
          <w:b w:val="0"/>
          <w:sz w:val="22"/>
          <w:szCs w:val="22"/>
        </w:rPr>
        <w:t xml:space="preserve"> </w:t>
      </w:r>
      <w:r w:rsidR="00E735F5">
        <w:rPr>
          <w:rStyle w:val="Strong"/>
          <w:rFonts w:ascii="Lucida Bright" w:hAnsi="Lucida Bright"/>
          <w:b w:val="0"/>
          <w:sz w:val="22"/>
          <w:szCs w:val="22"/>
        </w:rPr>
        <w:t xml:space="preserve">Terry Salem &amp; </w:t>
      </w:r>
      <w:r w:rsidR="00BB0782" w:rsidRPr="008B201B">
        <w:rPr>
          <w:rStyle w:val="Strong"/>
          <w:rFonts w:ascii="Lucida Bright" w:hAnsi="Lucida Bright"/>
          <w:b w:val="0"/>
          <w:sz w:val="22"/>
          <w:szCs w:val="22"/>
        </w:rPr>
        <w:t>Amy Brow</w:t>
      </w:r>
      <w:r w:rsidR="0060395E" w:rsidRPr="008B201B">
        <w:rPr>
          <w:rStyle w:val="Strong"/>
          <w:rFonts w:ascii="Lucida Bright" w:hAnsi="Lucida Bright"/>
          <w:b w:val="0"/>
          <w:sz w:val="22"/>
          <w:szCs w:val="22"/>
        </w:rPr>
        <w:t>n</w:t>
      </w:r>
      <w:r w:rsidR="008B201B">
        <w:rPr>
          <w:rStyle w:val="Strong"/>
          <w:rFonts w:ascii="Lucida Bright" w:hAnsi="Lucida Bright"/>
          <w:b w:val="0"/>
          <w:sz w:val="22"/>
          <w:szCs w:val="22"/>
        </w:rPr>
        <w:t>ing</w:t>
      </w:r>
      <w:r w:rsidR="00F93214" w:rsidRPr="008B201B">
        <w:rPr>
          <w:rStyle w:val="Strong"/>
          <w:rFonts w:ascii="Lucida Bright" w:hAnsi="Lucida Bright"/>
          <w:b w:val="0"/>
          <w:sz w:val="22"/>
          <w:szCs w:val="22"/>
        </w:rPr>
        <w:t>/</w:t>
      </w:r>
      <w:r w:rsidRPr="008B201B">
        <w:rPr>
          <w:rStyle w:val="Strong"/>
          <w:rFonts w:ascii="Lucida Bright" w:hAnsi="Lucida Bright"/>
          <w:b w:val="0"/>
          <w:sz w:val="22"/>
          <w:szCs w:val="22"/>
        </w:rPr>
        <w:t>OLS/Environmental Law Division</w:t>
      </w:r>
    </w:p>
    <w:p w:rsidR="0059440F" w:rsidRPr="008B201B" w:rsidRDefault="0059440F" w:rsidP="00947976">
      <w:pPr>
        <w:spacing w:before="60"/>
        <w:rPr>
          <w:rStyle w:val="Strong"/>
          <w:rFonts w:ascii="Lucida Bright" w:hAnsi="Lucida Bright"/>
          <w:b w:val="0"/>
          <w:sz w:val="22"/>
          <w:szCs w:val="22"/>
        </w:rPr>
      </w:pPr>
      <w:r w:rsidRPr="008B201B">
        <w:rPr>
          <w:rStyle w:val="Strong"/>
          <w:rFonts w:ascii="Lucida Bright" w:hAnsi="Lucida Bright"/>
          <w:sz w:val="22"/>
          <w:szCs w:val="22"/>
        </w:rPr>
        <w:t xml:space="preserve">Deputy Director Approval: </w:t>
      </w:r>
      <w:r w:rsidRPr="008B201B">
        <w:rPr>
          <w:rStyle w:val="Strong"/>
          <w:rFonts w:ascii="Lucida Bright" w:hAnsi="Lucida Bright"/>
          <w:b w:val="0"/>
          <w:sz w:val="22"/>
          <w:szCs w:val="22"/>
        </w:rPr>
        <w:t>Steve Hagle, P.E./Office of Air</w:t>
      </w:r>
    </w:p>
    <w:p w:rsidR="00971E10" w:rsidRPr="008B201B" w:rsidRDefault="00DC5E8F" w:rsidP="00947976">
      <w:pPr>
        <w:spacing w:before="60"/>
        <w:rPr>
          <w:rFonts w:ascii="Lucida Bright" w:hAnsi="Lucida Bright"/>
          <w:sz w:val="22"/>
          <w:szCs w:val="22"/>
        </w:rPr>
      </w:pPr>
      <w:r w:rsidRPr="008B201B">
        <w:rPr>
          <w:rStyle w:val="Strong"/>
          <w:rFonts w:ascii="Lucida Bright" w:hAnsi="Lucida Bright"/>
          <w:sz w:val="22"/>
          <w:szCs w:val="22"/>
        </w:rPr>
        <w:t xml:space="preserve">EPA </w:t>
      </w:r>
      <w:r w:rsidR="00DA4BA8" w:rsidRPr="008B201B">
        <w:rPr>
          <w:rStyle w:val="Strong"/>
          <w:rFonts w:ascii="Lucida Bright" w:hAnsi="Lucida Bright"/>
          <w:sz w:val="22"/>
          <w:szCs w:val="22"/>
        </w:rPr>
        <w:t>Deadline</w:t>
      </w:r>
      <w:r w:rsidR="00C21680" w:rsidRPr="008B201B">
        <w:rPr>
          <w:rStyle w:val="Strong"/>
          <w:rFonts w:ascii="Lucida Bright" w:hAnsi="Lucida Bright"/>
          <w:sz w:val="22"/>
          <w:szCs w:val="22"/>
        </w:rPr>
        <w:t>:</w:t>
      </w:r>
      <w:r w:rsidR="00B863B6" w:rsidRPr="008B201B">
        <w:rPr>
          <w:rFonts w:ascii="Lucida Bright" w:hAnsi="Lucida Bright"/>
          <w:sz w:val="22"/>
          <w:szCs w:val="22"/>
        </w:rPr>
        <w:t xml:space="preserve"> </w:t>
      </w:r>
      <w:r w:rsidR="00E735F5">
        <w:rPr>
          <w:rFonts w:ascii="Lucida Bright" w:hAnsi="Lucida Bright"/>
          <w:sz w:val="22"/>
          <w:szCs w:val="22"/>
        </w:rPr>
        <w:t>April 5</w:t>
      </w:r>
      <w:r w:rsidR="002E045E" w:rsidRPr="008B201B">
        <w:rPr>
          <w:rStyle w:val="Strong"/>
          <w:rFonts w:ascii="Lucida Bright" w:hAnsi="Lucida Bright"/>
          <w:b w:val="0"/>
          <w:bCs w:val="0"/>
          <w:sz w:val="22"/>
          <w:szCs w:val="22"/>
        </w:rPr>
        <w:t>, 201</w:t>
      </w:r>
      <w:r w:rsidR="008B201B">
        <w:rPr>
          <w:rStyle w:val="Strong"/>
          <w:rFonts w:ascii="Lucida Bright" w:hAnsi="Lucida Bright"/>
          <w:b w:val="0"/>
          <w:bCs w:val="0"/>
          <w:sz w:val="22"/>
          <w:szCs w:val="22"/>
        </w:rPr>
        <w:t>7</w:t>
      </w:r>
    </w:p>
    <w:sectPr w:rsidR="00971E10" w:rsidRPr="008B201B" w:rsidSect="00F858E8">
      <w:footerReference w:type="default" r:id="rId9"/>
      <w:pgSz w:w="12240" w:h="15840"/>
      <w:pgMar w:top="1152" w:right="1152" w:bottom="1008" w:left="1440" w:header="720" w:footer="3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33B" w:rsidRDefault="009C433B">
      <w:r>
        <w:separator/>
      </w:r>
    </w:p>
  </w:endnote>
  <w:endnote w:type="continuationSeparator" w:id="0">
    <w:p w:rsidR="009C433B" w:rsidRDefault="009C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6A" w:rsidRPr="00B02E65" w:rsidRDefault="0031646A" w:rsidP="005B2D52">
    <w:pPr>
      <w:spacing w:before="240"/>
      <w:rPr>
        <w:rFonts w:ascii="Georgia" w:hAnsi="Georgia"/>
        <w:sz w:val="16"/>
        <w:szCs w:val="16"/>
      </w:rPr>
    </w:pPr>
    <w:r w:rsidRPr="00B02E65">
      <w:rPr>
        <w:rFonts w:ascii="Georgia" w:hAnsi="Georgia" w:cs="Tahoma"/>
        <w:sz w:val="16"/>
        <w:szCs w:val="16"/>
      </w:rPr>
      <w:t xml:space="preserve">TCEQ 20374 (Rev. </w:t>
    </w:r>
    <w:r>
      <w:rPr>
        <w:rFonts w:ascii="Georgia" w:hAnsi="Georgia" w:cs="Tahoma"/>
        <w:sz w:val="16"/>
        <w:szCs w:val="16"/>
      </w:rPr>
      <w:t>1</w:t>
    </w:r>
    <w:r w:rsidRPr="00B02E65">
      <w:rPr>
        <w:rFonts w:ascii="Georgia" w:hAnsi="Georgia" w:cs="Tahoma"/>
        <w:sz w:val="16"/>
        <w:szCs w:val="16"/>
      </w:rPr>
      <w:t>/20</w:t>
    </w:r>
    <w:r>
      <w:rPr>
        <w:rFonts w:ascii="Georgia" w:hAnsi="Georgia" w:cs="Tahoma"/>
        <w:sz w:val="16"/>
        <w:szCs w:val="16"/>
      </w:rPr>
      <w:t>11</w:t>
    </w:r>
    <w:r w:rsidRPr="00B02E65">
      <w:rPr>
        <w:rFonts w:ascii="Georgia" w:hAnsi="Georgia" w:cs="Tahoma"/>
        <w:sz w:val="16"/>
        <w:szCs w:val="16"/>
      </w:rPr>
      <w:t>)</w:t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  <w:t xml:space="preserve">Page </w:t>
    </w:r>
    <w:r w:rsidR="0051545E"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PAGE </w:instrText>
    </w:r>
    <w:r w:rsidR="0051545E" w:rsidRPr="00B02E65">
      <w:rPr>
        <w:rStyle w:val="PageNumber"/>
        <w:rFonts w:ascii="Georgia" w:hAnsi="Georgia"/>
        <w:sz w:val="16"/>
        <w:szCs w:val="16"/>
      </w:rPr>
      <w:fldChar w:fldCharType="separate"/>
    </w:r>
    <w:r w:rsidR="006104B3">
      <w:rPr>
        <w:rStyle w:val="PageNumber"/>
        <w:rFonts w:ascii="Georgia" w:hAnsi="Georgia"/>
        <w:noProof/>
        <w:sz w:val="16"/>
        <w:szCs w:val="16"/>
      </w:rPr>
      <w:t>1</w:t>
    </w:r>
    <w:r w:rsidR="0051545E" w:rsidRPr="00B02E65">
      <w:rPr>
        <w:rStyle w:val="PageNumber"/>
        <w:rFonts w:ascii="Georgia" w:hAnsi="Georgia"/>
        <w:sz w:val="16"/>
        <w:szCs w:val="16"/>
      </w:rPr>
      <w:fldChar w:fldCharType="end"/>
    </w:r>
    <w:r w:rsidRPr="00B02E65">
      <w:rPr>
        <w:rStyle w:val="PageNumber"/>
        <w:rFonts w:ascii="Georgia" w:hAnsi="Georgia"/>
        <w:sz w:val="16"/>
        <w:szCs w:val="16"/>
      </w:rPr>
      <w:t xml:space="preserve"> of </w:t>
    </w:r>
    <w:r w:rsidR="0051545E"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NUMPAGES </w:instrText>
    </w:r>
    <w:r w:rsidR="0051545E" w:rsidRPr="00B02E65">
      <w:rPr>
        <w:rStyle w:val="PageNumber"/>
        <w:rFonts w:ascii="Georgia" w:hAnsi="Georgia"/>
        <w:sz w:val="16"/>
        <w:szCs w:val="16"/>
      </w:rPr>
      <w:fldChar w:fldCharType="separate"/>
    </w:r>
    <w:r w:rsidR="006104B3">
      <w:rPr>
        <w:rStyle w:val="PageNumber"/>
        <w:rFonts w:ascii="Georgia" w:hAnsi="Georgia"/>
        <w:noProof/>
        <w:sz w:val="16"/>
        <w:szCs w:val="16"/>
      </w:rPr>
      <w:t>2</w:t>
    </w:r>
    <w:r w:rsidR="0051545E" w:rsidRPr="00B02E65">
      <w:rPr>
        <w:rStyle w:val="PageNumber"/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33B" w:rsidRDefault="009C433B">
      <w:r>
        <w:separator/>
      </w:r>
    </w:p>
  </w:footnote>
  <w:footnote w:type="continuationSeparator" w:id="0">
    <w:p w:rsidR="009C433B" w:rsidRDefault="009C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110A"/>
    <w:multiLevelType w:val="hybridMultilevel"/>
    <w:tmpl w:val="C402FBC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B2D6C48"/>
    <w:multiLevelType w:val="hybridMultilevel"/>
    <w:tmpl w:val="CB6A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0D01"/>
    <w:multiLevelType w:val="hybridMultilevel"/>
    <w:tmpl w:val="1848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5359"/>
    <w:multiLevelType w:val="hybridMultilevel"/>
    <w:tmpl w:val="97BC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D63E4"/>
    <w:multiLevelType w:val="multilevel"/>
    <w:tmpl w:val="40EC2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674F9"/>
    <w:multiLevelType w:val="hybridMultilevel"/>
    <w:tmpl w:val="40EC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C12DB"/>
    <w:multiLevelType w:val="hybridMultilevel"/>
    <w:tmpl w:val="EA661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C50F9"/>
    <w:multiLevelType w:val="hybridMultilevel"/>
    <w:tmpl w:val="56C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32083"/>
    <w:multiLevelType w:val="multilevel"/>
    <w:tmpl w:val="40EC2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3F"/>
    <w:rsid w:val="00011D32"/>
    <w:rsid w:val="000177D4"/>
    <w:rsid w:val="0004333F"/>
    <w:rsid w:val="000447C2"/>
    <w:rsid w:val="000470B1"/>
    <w:rsid w:val="000526C8"/>
    <w:rsid w:val="00053DC8"/>
    <w:rsid w:val="00067562"/>
    <w:rsid w:val="00074CF2"/>
    <w:rsid w:val="00076A20"/>
    <w:rsid w:val="00081A75"/>
    <w:rsid w:val="000853EB"/>
    <w:rsid w:val="000978B2"/>
    <w:rsid w:val="000A0B06"/>
    <w:rsid w:val="000B4A31"/>
    <w:rsid w:val="000B773F"/>
    <w:rsid w:val="000F0D5D"/>
    <w:rsid w:val="000F235B"/>
    <w:rsid w:val="001117C7"/>
    <w:rsid w:val="0011238E"/>
    <w:rsid w:val="00130D13"/>
    <w:rsid w:val="001312CB"/>
    <w:rsid w:val="0013156E"/>
    <w:rsid w:val="00137E33"/>
    <w:rsid w:val="00142CA0"/>
    <w:rsid w:val="00144E93"/>
    <w:rsid w:val="00155F25"/>
    <w:rsid w:val="001564D8"/>
    <w:rsid w:val="001641AE"/>
    <w:rsid w:val="001830BF"/>
    <w:rsid w:val="00187E2A"/>
    <w:rsid w:val="00192CF5"/>
    <w:rsid w:val="001A1A8C"/>
    <w:rsid w:val="001B52A2"/>
    <w:rsid w:val="001D7A3F"/>
    <w:rsid w:val="001E0C37"/>
    <w:rsid w:val="001E30AA"/>
    <w:rsid w:val="001F0990"/>
    <w:rsid w:val="00201622"/>
    <w:rsid w:val="002215B3"/>
    <w:rsid w:val="0022690B"/>
    <w:rsid w:val="002548D1"/>
    <w:rsid w:val="002549BE"/>
    <w:rsid w:val="0027436B"/>
    <w:rsid w:val="00277C88"/>
    <w:rsid w:val="002831F5"/>
    <w:rsid w:val="0029064F"/>
    <w:rsid w:val="00292651"/>
    <w:rsid w:val="002A3C1B"/>
    <w:rsid w:val="002A3CD9"/>
    <w:rsid w:val="002B7405"/>
    <w:rsid w:val="002D6471"/>
    <w:rsid w:val="002E045E"/>
    <w:rsid w:val="002E1719"/>
    <w:rsid w:val="002F0F9F"/>
    <w:rsid w:val="002F7957"/>
    <w:rsid w:val="00310527"/>
    <w:rsid w:val="00312A6E"/>
    <w:rsid w:val="0031646A"/>
    <w:rsid w:val="00320FFA"/>
    <w:rsid w:val="003335F0"/>
    <w:rsid w:val="0033789D"/>
    <w:rsid w:val="0034550A"/>
    <w:rsid w:val="00346F53"/>
    <w:rsid w:val="0036449D"/>
    <w:rsid w:val="00380A99"/>
    <w:rsid w:val="00380F2C"/>
    <w:rsid w:val="003849D6"/>
    <w:rsid w:val="00387539"/>
    <w:rsid w:val="003876EC"/>
    <w:rsid w:val="003A20C2"/>
    <w:rsid w:val="003B0573"/>
    <w:rsid w:val="003C3676"/>
    <w:rsid w:val="003D561C"/>
    <w:rsid w:val="003E16B7"/>
    <w:rsid w:val="003E5ED4"/>
    <w:rsid w:val="003E6281"/>
    <w:rsid w:val="003F3A63"/>
    <w:rsid w:val="003F407B"/>
    <w:rsid w:val="00413E2E"/>
    <w:rsid w:val="004251BB"/>
    <w:rsid w:val="004322DE"/>
    <w:rsid w:val="0044037C"/>
    <w:rsid w:val="0044795C"/>
    <w:rsid w:val="004609F1"/>
    <w:rsid w:val="004742BB"/>
    <w:rsid w:val="00484C93"/>
    <w:rsid w:val="00494828"/>
    <w:rsid w:val="004B4E63"/>
    <w:rsid w:val="004B611D"/>
    <w:rsid w:val="004C2421"/>
    <w:rsid w:val="004D60D6"/>
    <w:rsid w:val="004E282A"/>
    <w:rsid w:val="004E3C07"/>
    <w:rsid w:val="004E4EA5"/>
    <w:rsid w:val="004E5E58"/>
    <w:rsid w:val="004F7C03"/>
    <w:rsid w:val="0051545E"/>
    <w:rsid w:val="00517A6E"/>
    <w:rsid w:val="005358DB"/>
    <w:rsid w:val="005370EB"/>
    <w:rsid w:val="005535B0"/>
    <w:rsid w:val="00580B45"/>
    <w:rsid w:val="0059440F"/>
    <w:rsid w:val="005B2D52"/>
    <w:rsid w:val="005C2872"/>
    <w:rsid w:val="005C40F8"/>
    <w:rsid w:val="005D3373"/>
    <w:rsid w:val="005E360D"/>
    <w:rsid w:val="005E7EE7"/>
    <w:rsid w:val="005F1027"/>
    <w:rsid w:val="005F117F"/>
    <w:rsid w:val="005F2BA2"/>
    <w:rsid w:val="005F4009"/>
    <w:rsid w:val="0060395E"/>
    <w:rsid w:val="006104B3"/>
    <w:rsid w:val="006177B1"/>
    <w:rsid w:val="00655652"/>
    <w:rsid w:val="00662966"/>
    <w:rsid w:val="00665B9D"/>
    <w:rsid w:val="0066662F"/>
    <w:rsid w:val="00667BBA"/>
    <w:rsid w:val="006734F8"/>
    <w:rsid w:val="00674697"/>
    <w:rsid w:val="00677ADA"/>
    <w:rsid w:val="006852E2"/>
    <w:rsid w:val="006A21D8"/>
    <w:rsid w:val="006A423C"/>
    <w:rsid w:val="006B7DA2"/>
    <w:rsid w:val="006C40B0"/>
    <w:rsid w:val="006C6FD4"/>
    <w:rsid w:val="006C79E2"/>
    <w:rsid w:val="006D060D"/>
    <w:rsid w:val="006D23D5"/>
    <w:rsid w:val="006D4C98"/>
    <w:rsid w:val="006D7659"/>
    <w:rsid w:val="006D7842"/>
    <w:rsid w:val="006E207E"/>
    <w:rsid w:val="006E3EA3"/>
    <w:rsid w:val="006F2D94"/>
    <w:rsid w:val="006F79C6"/>
    <w:rsid w:val="00721413"/>
    <w:rsid w:val="007244E8"/>
    <w:rsid w:val="00732B0D"/>
    <w:rsid w:val="00747730"/>
    <w:rsid w:val="0075262F"/>
    <w:rsid w:val="00782A1B"/>
    <w:rsid w:val="00782EDA"/>
    <w:rsid w:val="0079119A"/>
    <w:rsid w:val="0079520E"/>
    <w:rsid w:val="007A3363"/>
    <w:rsid w:val="007A4F1E"/>
    <w:rsid w:val="007B3B1F"/>
    <w:rsid w:val="007B508E"/>
    <w:rsid w:val="007B621E"/>
    <w:rsid w:val="007B6E26"/>
    <w:rsid w:val="007D2371"/>
    <w:rsid w:val="007E0458"/>
    <w:rsid w:val="007E1189"/>
    <w:rsid w:val="00803C4E"/>
    <w:rsid w:val="0080604E"/>
    <w:rsid w:val="008101C7"/>
    <w:rsid w:val="00811420"/>
    <w:rsid w:val="00812197"/>
    <w:rsid w:val="00812E91"/>
    <w:rsid w:val="0082030C"/>
    <w:rsid w:val="00823645"/>
    <w:rsid w:val="00831F86"/>
    <w:rsid w:val="008329A5"/>
    <w:rsid w:val="0084084D"/>
    <w:rsid w:val="0084265B"/>
    <w:rsid w:val="00850C5E"/>
    <w:rsid w:val="008537E1"/>
    <w:rsid w:val="00854B81"/>
    <w:rsid w:val="00855BB3"/>
    <w:rsid w:val="00886ADD"/>
    <w:rsid w:val="008A0354"/>
    <w:rsid w:val="008A696D"/>
    <w:rsid w:val="008B0EEA"/>
    <w:rsid w:val="008B201B"/>
    <w:rsid w:val="008B71B1"/>
    <w:rsid w:val="008C5F15"/>
    <w:rsid w:val="008F29BA"/>
    <w:rsid w:val="00901E8F"/>
    <w:rsid w:val="00905A68"/>
    <w:rsid w:val="00910BF3"/>
    <w:rsid w:val="00912843"/>
    <w:rsid w:val="00913386"/>
    <w:rsid w:val="00947976"/>
    <w:rsid w:val="00960AE0"/>
    <w:rsid w:val="00964B57"/>
    <w:rsid w:val="00971E10"/>
    <w:rsid w:val="009814E8"/>
    <w:rsid w:val="009833D5"/>
    <w:rsid w:val="0099275A"/>
    <w:rsid w:val="00997A6F"/>
    <w:rsid w:val="009A6CDD"/>
    <w:rsid w:val="009B2B10"/>
    <w:rsid w:val="009C3CD3"/>
    <w:rsid w:val="009C433B"/>
    <w:rsid w:val="009D41CD"/>
    <w:rsid w:val="00A10845"/>
    <w:rsid w:val="00A14655"/>
    <w:rsid w:val="00A155FD"/>
    <w:rsid w:val="00A267CB"/>
    <w:rsid w:val="00A33818"/>
    <w:rsid w:val="00A34F4A"/>
    <w:rsid w:val="00A360A6"/>
    <w:rsid w:val="00A377B4"/>
    <w:rsid w:val="00A42A78"/>
    <w:rsid w:val="00A55362"/>
    <w:rsid w:val="00A92979"/>
    <w:rsid w:val="00A93648"/>
    <w:rsid w:val="00AA1EEE"/>
    <w:rsid w:val="00AA5353"/>
    <w:rsid w:val="00AE625B"/>
    <w:rsid w:val="00B02E65"/>
    <w:rsid w:val="00B07B7E"/>
    <w:rsid w:val="00B2259E"/>
    <w:rsid w:val="00B40E68"/>
    <w:rsid w:val="00B467B2"/>
    <w:rsid w:val="00B50E30"/>
    <w:rsid w:val="00B51D18"/>
    <w:rsid w:val="00B57CBE"/>
    <w:rsid w:val="00B660AB"/>
    <w:rsid w:val="00B7136F"/>
    <w:rsid w:val="00B863B6"/>
    <w:rsid w:val="00B93C46"/>
    <w:rsid w:val="00B94568"/>
    <w:rsid w:val="00BA3756"/>
    <w:rsid w:val="00BA3ADA"/>
    <w:rsid w:val="00BA3F3A"/>
    <w:rsid w:val="00BA541B"/>
    <w:rsid w:val="00BB0782"/>
    <w:rsid w:val="00BB446A"/>
    <w:rsid w:val="00BC4464"/>
    <w:rsid w:val="00BC5170"/>
    <w:rsid w:val="00BD0EE5"/>
    <w:rsid w:val="00BD6993"/>
    <w:rsid w:val="00BE5C6F"/>
    <w:rsid w:val="00C0623C"/>
    <w:rsid w:val="00C20EE0"/>
    <w:rsid w:val="00C21680"/>
    <w:rsid w:val="00C42449"/>
    <w:rsid w:val="00C425DE"/>
    <w:rsid w:val="00C43B38"/>
    <w:rsid w:val="00C54F5B"/>
    <w:rsid w:val="00C82849"/>
    <w:rsid w:val="00C857F0"/>
    <w:rsid w:val="00C9764A"/>
    <w:rsid w:val="00CB7382"/>
    <w:rsid w:val="00CC39C0"/>
    <w:rsid w:val="00CD2370"/>
    <w:rsid w:val="00CD33D5"/>
    <w:rsid w:val="00CF1BF0"/>
    <w:rsid w:val="00D13B18"/>
    <w:rsid w:val="00D141F3"/>
    <w:rsid w:val="00D17350"/>
    <w:rsid w:val="00D36D7C"/>
    <w:rsid w:val="00D4795E"/>
    <w:rsid w:val="00D63B78"/>
    <w:rsid w:val="00D704AB"/>
    <w:rsid w:val="00D957B7"/>
    <w:rsid w:val="00D972A9"/>
    <w:rsid w:val="00DA3750"/>
    <w:rsid w:val="00DA4BA8"/>
    <w:rsid w:val="00DA5C55"/>
    <w:rsid w:val="00DA6FA9"/>
    <w:rsid w:val="00DA78E6"/>
    <w:rsid w:val="00DC5E8F"/>
    <w:rsid w:val="00DD6D02"/>
    <w:rsid w:val="00DE3885"/>
    <w:rsid w:val="00DF3EDF"/>
    <w:rsid w:val="00DF56F7"/>
    <w:rsid w:val="00E01C5C"/>
    <w:rsid w:val="00E1088E"/>
    <w:rsid w:val="00E148D6"/>
    <w:rsid w:val="00E34EFF"/>
    <w:rsid w:val="00E40AC7"/>
    <w:rsid w:val="00E46F92"/>
    <w:rsid w:val="00E56F4E"/>
    <w:rsid w:val="00E61469"/>
    <w:rsid w:val="00E735F5"/>
    <w:rsid w:val="00E81C05"/>
    <w:rsid w:val="00EA6F39"/>
    <w:rsid w:val="00EC0CBE"/>
    <w:rsid w:val="00EC0D53"/>
    <w:rsid w:val="00EC29FC"/>
    <w:rsid w:val="00ED1574"/>
    <w:rsid w:val="00ED38F6"/>
    <w:rsid w:val="00ED6A4B"/>
    <w:rsid w:val="00EE11A5"/>
    <w:rsid w:val="00EE4620"/>
    <w:rsid w:val="00EE4BB9"/>
    <w:rsid w:val="00EE6CAA"/>
    <w:rsid w:val="00EF31C7"/>
    <w:rsid w:val="00EF48C7"/>
    <w:rsid w:val="00EF501E"/>
    <w:rsid w:val="00F06393"/>
    <w:rsid w:val="00F41491"/>
    <w:rsid w:val="00F467FB"/>
    <w:rsid w:val="00F50CF3"/>
    <w:rsid w:val="00F5627E"/>
    <w:rsid w:val="00F60EBD"/>
    <w:rsid w:val="00F61FF5"/>
    <w:rsid w:val="00F81DA7"/>
    <w:rsid w:val="00F85152"/>
    <w:rsid w:val="00F858E8"/>
    <w:rsid w:val="00F92C4D"/>
    <w:rsid w:val="00F93214"/>
    <w:rsid w:val="00F96515"/>
    <w:rsid w:val="00F96727"/>
    <w:rsid w:val="00FA6301"/>
    <w:rsid w:val="00FB59A1"/>
    <w:rsid w:val="00FB5DD5"/>
    <w:rsid w:val="00FB6233"/>
    <w:rsid w:val="00FE4942"/>
    <w:rsid w:val="00FE5095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FC7202B6-9272-49E7-8721-41DB0C29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1C05"/>
    <w:pPr>
      <w:keepNext/>
      <w:spacing w:before="120"/>
      <w:outlineLvl w:val="0"/>
    </w:pPr>
    <w:rPr>
      <w:rFonts w:ascii="Georgia" w:hAnsi="Georgia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7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4A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67B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852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D7659"/>
  </w:style>
  <w:style w:type="paragraph" w:styleId="Header">
    <w:name w:val="header"/>
    <w:basedOn w:val="Normal"/>
    <w:rsid w:val="006D76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76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7659"/>
  </w:style>
  <w:style w:type="character" w:customStyle="1" w:styleId="Heading1Char">
    <w:name w:val="Heading 1 Char"/>
    <w:basedOn w:val="DefaultParagraphFont"/>
    <w:link w:val="Heading1"/>
    <w:rsid w:val="00E81C05"/>
    <w:rPr>
      <w:rFonts w:ascii="Georgia" w:hAnsi="Georgia"/>
      <w:b/>
      <w:bCs/>
      <w:kern w:val="32"/>
      <w:sz w:val="24"/>
      <w:szCs w:val="32"/>
    </w:rPr>
  </w:style>
  <w:style w:type="character" w:styleId="Strong">
    <w:name w:val="Strong"/>
    <w:basedOn w:val="DefaultParagraphFont"/>
    <w:uiPriority w:val="22"/>
    <w:qFormat/>
    <w:rsid w:val="000B773F"/>
    <w:rPr>
      <w:b/>
      <w:bCs/>
    </w:rPr>
  </w:style>
  <w:style w:type="table" w:styleId="TableGrid">
    <w:name w:val="Table Grid"/>
    <w:basedOn w:val="TableNormal"/>
    <w:rsid w:val="00C2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qFormat/>
    <w:rsid w:val="00A377B4"/>
    <w:rPr>
      <w:rFonts w:ascii="Georgia" w:hAnsi="Georgia"/>
    </w:rPr>
  </w:style>
  <w:style w:type="paragraph" w:customStyle="1" w:styleId="Style2">
    <w:name w:val="Style2"/>
    <w:basedOn w:val="Heading2"/>
    <w:qFormat/>
    <w:rsid w:val="00A377B4"/>
    <w:rPr>
      <w:i w:val="0"/>
      <w:iCs w:val="0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77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Heading2"/>
    <w:qFormat/>
    <w:rsid w:val="00DA4BA8"/>
    <w:rPr>
      <w:rFonts w:ascii="Georgia" w:hAnsi="Georgia"/>
      <w:iCs w:val="0"/>
    </w:rPr>
  </w:style>
  <w:style w:type="paragraph" w:styleId="DocumentMap">
    <w:name w:val="Document Map"/>
    <w:basedOn w:val="Normal"/>
    <w:link w:val="DocumentMapChar"/>
    <w:rsid w:val="003E5E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E5ED4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qFormat/>
    <w:rsid w:val="00E81C05"/>
    <w:rPr>
      <w:rFonts w:ascii="Georgia" w:eastAsia="Calibri" w:hAnsi="Georgia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81C05"/>
    <w:rPr>
      <w:rFonts w:ascii="Georgia" w:eastAsia="Calibri" w:hAnsi="Georgia"/>
      <w:sz w:val="22"/>
      <w:szCs w:val="24"/>
    </w:rPr>
  </w:style>
  <w:style w:type="character" w:styleId="Emphasis">
    <w:name w:val="Emphasis"/>
    <w:uiPriority w:val="2"/>
    <w:qFormat/>
    <w:rsid w:val="00667BB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67BBA"/>
    <w:rPr>
      <w:rFonts w:ascii="Calibri" w:eastAsia="Times New Roman" w:hAnsi="Calibri" w:cs="Times New Roman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7BBA"/>
    <w:pPr>
      <w:widowControl/>
      <w:tabs>
        <w:tab w:val="left" w:pos="720"/>
      </w:tabs>
      <w:autoSpaceDE/>
      <w:autoSpaceDN/>
      <w:adjustRightInd/>
    </w:pPr>
    <w:rPr>
      <w:rFonts w:eastAsia="Calibri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67BBA"/>
    <w:rPr>
      <w:rFonts w:eastAsia="Calibri" w:cs="Times New Roman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E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2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62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6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6281"/>
  </w:style>
  <w:style w:type="paragraph" w:styleId="CommentSubject">
    <w:name w:val="annotation subject"/>
    <w:basedOn w:val="CommentText"/>
    <w:next w:val="CommentText"/>
    <w:link w:val="CommentSubjectChar"/>
    <w:rsid w:val="003E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6281"/>
    <w:rPr>
      <w:b/>
      <w:bCs/>
    </w:rPr>
  </w:style>
  <w:style w:type="paragraph" w:styleId="Closing">
    <w:name w:val="Closing"/>
    <w:basedOn w:val="Normal"/>
    <w:link w:val="ClosingChar"/>
    <w:uiPriority w:val="5"/>
    <w:qFormat/>
    <w:rsid w:val="0031646A"/>
    <w:pPr>
      <w:widowControl/>
      <w:autoSpaceDE/>
      <w:autoSpaceDN/>
      <w:adjustRightInd/>
      <w:spacing w:before="240"/>
    </w:pPr>
    <w:rPr>
      <w:rFonts w:ascii="Georgia" w:hAnsi="Georgia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5"/>
    <w:rsid w:val="0031646A"/>
    <w:rPr>
      <w:rFonts w:ascii="Georgia" w:hAnsi="Georgia"/>
      <w:sz w:val="22"/>
      <w:szCs w:val="22"/>
    </w:rPr>
  </w:style>
  <w:style w:type="paragraph" w:styleId="Signature">
    <w:name w:val="Signature"/>
    <w:basedOn w:val="Normal"/>
    <w:link w:val="SignatureChar"/>
    <w:rsid w:val="0031646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1646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B4A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51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852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34B6-841D-43CF-8966-666517CC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3530</CharactersWithSpaces>
  <SharedDoc>false</SharedDoc>
  <HLinks>
    <vt:vector size="6" baseType="variant">
      <vt:variant>
        <vt:i4>4259868</vt:i4>
      </vt:variant>
      <vt:variant>
        <vt:i4>-1</vt:i4>
      </vt:variant>
      <vt:variant>
        <vt:i4>1027</vt:i4>
      </vt:variant>
      <vt:variant>
        <vt:i4>1</vt:i4>
      </vt:variant>
      <vt:variant>
        <vt:lpwstr>http://home.tnrcc.state.tx.us/internal/exec/communication/gif/3C-TCEQ.gif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TCEQ</dc:creator>
  <cp:lastModifiedBy>Ken Sherry</cp:lastModifiedBy>
  <cp:revision>2</cp:revision>
  <cp:lastPrinted>2015-10-23T17:35:00Z</cp:lastPrinted>
  <dcterms:created xsi:type="dcterms:W3CDTF">2017-04-05T14:20:00Z</dcterms:created>
  <dcterms:modified xsi:type="dcterms:W3CDTF">2017-04-05T14:20:00Z</dcterms:modified>
</cp:coreProperties>
</file>