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CE8" w:rsidRPr="0001370D" w:rsidRDefault="00865CE8" w:rsidP="00203BA8">
      <w:pPr>
        <w:pStyle w:val="APDHeadingLevel1"/>
        <w:rPr>
          <w:rFonts w:asciiTheme="majorHAnsi" w:hAnsiTheme="majorHAnsi" w:cstheme="majorHAnsi"/>
        </w:rPr>
      </w:pPr>
      <w:r w:rsidRPr="0001370D">
        <w:rPr>
          <w:rFonts w:asciiTheme="majorHAnsi" w:hAnsiTheme="majorHAnsi" w:cstheme="majorHAnsi"/>
        </w:rPr>
        <w:t>Texas Commission on Environmental Quality</w:t>
      </w:r>
    </w:p>
    <w:p w:rsidR="00865CE8" w:rsidRPr="0001370D" w:rsidRDefault="00865CE8" w:rsidP="00865CE8">
      <w:pPr>
        <w:pStyle w:val="APDHeadingLevel1"/>
        <w:rPr>
          <w:rFonts w:asciiTheme="majorHAnsi" w:hAnsiTheme="majorHAnsi" w:cstheme="majorHAnsi"/>
        </w:rPr>
      </w:pPr>
      <w:r w:rsidRPr="0001370D">
        <w:rPr>
          <w:rFonts w:asciiTheme="majorHAnsi" w:hAnsiTheme="majorHAnsi" w:cstheme="majorHAnsi"/>
        </w:rPr>
        <w:t>Form OP-UA26</w:t>
      </w:r>
    </w:p>
    <w:p w:rsidR="00865CE8" w:rsidRPr="0001370D" w:rsidRDefault="00865CE8" w:rsidP="00865CE8">
      <w:pPr>
        <w:pStyle w:val="APDHeadingLevel1"/>
        <w:rPr>
          <w:rFonts w:asciiTheme="majorHAnsi" w:hAnsiTheme="majorHAnsi" w:cstheme="majorHAnsi"/>
        </w:rPr>
      </w:pPr>
      <w:r w:rsidRPr="0001370D">
        <w:rPr>
          <w:rFonts w:asciiTheme="majorHAnsi" w:hAnsiTheme="majorHAnsi" w:cstheme="majorHAnsi"/>
        </w:rPr>
        <w:t>Electroplating and Anodizing Unit Attributes</w:t>
      </w:r>
    </w:p>
    <w:p w:rsidR="00865CE8" w:rsidRPr="0001370D" w:rsidRDefault="00865CE8" w:rsidP="00865CE8">
      <w:pPr>
        <w:pStyle w:val="APDGeneral"/>
        <w:rPr>
          <w:rFonts w:asciiTheme="majorHAnsi" w:hAnsiTheme="majorHAnsi" w:cstheme="majorHAnsi"/>
        </w:rPr>
      </w:pPr>
      <w:r w:rsidRPr="0001370D">
        <w:rPr>
          <w:rFonts w:asciiTheme="majorHAnsi" w:hAnsiTheme="majorHAnsi" w:cstheme="majorHAnsi"/>
        </w:rPr>
        <w:t>General:</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This form is used to provide a description and data pertaining to all hard and decorative chromium electroplating and chromium anodizing tanks with potentially applicable requirements associated with a particular regulated entity number and application. Each table number, along with the possibility of a corresponding letter (i.e., Table 1a, Table 1b), corresponds to a certain state or federal rule. If the rule on the table is not potentially applicable to a hard and decorative chromium electroplating and chromium anodizing tank,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following is included in this form.</w:t>
      </w:r>
    </w:p>
    <w:p w:rsidR="00865CE8" w:rsidRPr="0001370D" w:rsidRDefault="00E56F78" w:rsidP="00865CE8">
      <w:pPr>
        <w:pStyle w:val="APDTable1stSpecific"/>
        <w:rPr>
          <w:rFonts w:asciiTheme="majorHAnsi" w:hAnsiTheme="majorHAnsi" w:cstheme="majorHAnsi"/>
        </w:rPr>
      </w:pPr>
      <w:hyperlink w:anchor="Table1a" w:tooltip="Link to instructions for Table 1a" w:history="1">
        <w:r w:rsidR="00865CE8" w:rsidRPr="0001370D">
          <w:rPr>
            <w:rStyle w:val="Hyperlink"/>
            <w:rFonts w:asciiTheme="majorHAnsi" w:hAnsiTheme="majorHAnsi" w:cstheme="majorHAnsi"/>
          </w:rPr>
          <w:t>Table 1a</w:t>
        </w:r>
      </w:hyperlink>
      <w:r w:rsidR="00865CE8" w:rsidRPr="0001370D">
        <w:rPr>
          <w:rFonts w:asciiTheme="majorHAnsi" w:hAnsiTheme="majorHAnsi" w:cstheme="majorHAnsi"/>
        </w:rPr>
        <w:t xml:space="preserve"> - </w:t>
      </w:r>
      <w:hyperlink w:anchor="Table1b" w:tooltip="Link to instructions for Table 1b" w:history="1">
        <w:r w:rsidR="00865CE8" w:rsidRPr="0001370D">
          <w:rPr>
            <w:rStyle w:val="Hyperlink"/>
            <w:rFonts w:asciiTheme="majorHAnsi" w:hAnsiTheme="majorHAnsi" w:cstheme="majorHAnsi"/>
          </w:rPr>
          <w:t>1b</w:t>
        </w:r>
      </w:hyperlink>
      <w:r w:rsidR="00865CE8" w:rsidRPr="0001370D">
        <w:rPr>
          <w:rFonts w:asciiTheme="majorHAnsi" w:hAnsiTheme="majorHAnsi" w:cstheme="majorHAnsi"/>
        </w:rPr>
        <w:t>:</w:t>
      </w:r>
      <w:r w:rsidR="00865CE8" w:rsidRPr="0001370D">
        <w:rPr>
          <w:rFonts w:asciiTheme="majorHAnsi" w:hAnsiTheme="majorHAnsi" w:cstheme="majorHAnsi"/>
        </w:rPr>
        <w:tab/>
        <w:t>Title 40 Code of Federal Regulations Part 63 (40 CFR Part 63)</w:t>
      </w:r>
    </w:p>
    <w:p w:rsidR="00865CE8" w:rsidRPr="0001370D" w:rsidRDefault="00865CE8" w:rsidP="00865CE8">
      <w:pPr>
        <w:pStyle w:val="APDTable2ndSpecific"/>
        <w:rPr>
          <w:rFonts w:asciiTheme="majorHAnsi" w:hAnsiTheme="majorHAnsi" w:cstheme="majorHAnsi"/>
        </w:rPr>
      </w:pPr>
      <w:r w:rsidRPr="0001370D">
        <w:rPr>
          <w:rFonts w:asciiTheme="majorHAnsi" w:hAnsiTheme="majorHAnsi" w:cstheme="majorHAnsi"/>
        </w:rPr>
        <w:t xml:space="preserve">Subpart N: National Emissions Standards for Hazardous Air Pollutants from Chromium Emissions from Hard and Decorative Chromium Electroplating and Chromium </w:t>
      </w:r>
      <w:r w:rsidR="00182B37">
        <w:rPr>
          <w:rFonts w:asciiTheme="majorHAnsi" w:hAnsiTheme="majorHAnsi" w:cstheme="majorHAnsi"/>
        </w:rPr>
        <w:br/>
      </w:r>
      <w:r w:rsidRPr="0001370D">
        <w:rPr>
          <w:rFonts w:asciiTheme="majorHAnsi" w:hAnsiTheme="majorHAnsi" w:cstheme="majorHAnsi"/>
        </w:rPr>
        <w:t>Anodizing Tanks</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The application area name from Form OP-1 (Site Information Summary) must appear in the header of each page for the purpose of identification for the initial submittal. The date of the initial form submittal must also be included and should be consistent throughout the application (</w:t>
      </w:r>
      <w:r w:rsidRPr="0001370D">
        <w:rPr>
          <w:rFonts w:asciiTheme="majorHAnsi" w:hAnsiTheme="majorHAnsi" w:cstheme="majorHAnsi"/>
          <w:i/>
        </w:rPr>
        <w:t>MM/DD/YYYY</w:t>
      </w:r>
      <w:r w:rsidRPr="0001370D">
        <w:rPr>
          <w:rFonts w:asciiTheme="majorHAnsi" w:hAnsiTheme="majorHAnsi" w:cstheme="majorHAnsi"/>
        </w:rPr>
        <w:t xml:space="preserve">). </w:t>
      </w:r>
      <w:r w:rsidRPr="0001370D">
        <w:rPr>
          <w:rFonts w:asciiTheme="majorHAnsi" w:hAnsiTheme="majorHAnsi" w:cstheme="majorHAnsi"/>
          <w:b/>
        </w:rPr>
        <w:t>Leave the permit number blank for the initial form submittal</w:t>
      </w:r>
      <w:r w:rsidRPr="0001370D">
        <w:rPr>
          <w:rFonts w:asciiTheme="majorHAnsi" w:hAnsiTheme="majorHAnsi" w:cstheme="majorHAnsi"/>
        </w:rPr>
        <w:t>. If this form is included as part of the permit revision process, enter the permit number assigned by the TCEQ, the area name (from Form OP-1), the date of the revision submittal.</w:t>
      </w:r>
    </w:p>
    <w:p w:rsidR="00865CE8" w:rsidRPr="0001370D" w:rsidRDefault="00865CE8" w:rsidP="00865CE8">
      <w:pPr>
        <w:pStyle w:val="APDBody"/>
        <w:suppressAutoHyphens/>
        <w:rPr>
          <w:rFonts w:asciiTheme="majorHAnsi" w:hAnsiTheme="majorHAnsi" w:cstheme="majorHAnsi"/>
          <w:b/>
        </w:rPr>
      </w:pPr>
      <w:r w:rsidRPr="0001370D">
        <w:rPr>
          <w:rFonts w:asciiTheme="majorHAnsi" w:hAnsiTheme="majorHAnsi" w:cstheme="majorHAnsi"/>
        </w:rPr>
        <w:t xml:space="preserve">Unit attribute questions that do not require a response from all applicants are preceded by qualification criteria in the instructions. If the unit does not meet the qualification criteria, a response to the question is not required. </w:t>
      </w:r>
      <w:r w:rsidRPr="0001370D">
        <w:rPr>
          <w:rFonts w:asciiTheme="majorHAnsi" w:hAnsiTheme="majorHAnsi" w:cstheme="majorHAnsi"/>
          <w:b/>
        </w:rPr>
        <w:t>Anytime a response is not required based on the qualification criteria, leave the space on the form blank.</w:t>
      </w:r>
    </w:p>
    <w:p w:rsidR="00865CE8" w:rsidRPr="0001370D" w:rsidRDefault="00865CE8" w:rsidP="00865CE8">
      <w:pPr>
        <w:pStyle w:val="APDBody"/>
        <w:rPr>
          <w:rFonts w:asciiTheme="majorHAnsi" w:hAnsiTheme="majorHAnsi" w:cstheme="majorHAnsi"/>
          <w:b/>
        </w:rPr>
      </w:pPr>
      <w:r w:rsidRPr="0001370D">
        <w:rPr>
          <w:rFonts w:asciiTheme="majorHAnsi" w:hAnsiTheme="majorHAnsi" w:cstheme="majorHAnsi"/>
          <w:b/>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 xml:space="preserve">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(EPA) Administrator </w:t>
      </w:r>
      <w:r w:rsidRPr="0001370D">
        <w:rPr>
          <w:rFonts w:asciiTheme="majorHAnsi" w:hAnsiTheme="majorHAnsi" w:cstheme="majorHAnsi"/>
          <w:i/>
        </w:rPr>
        <w:t>before</w:t>
      </w:r>
      <w:r w:rsidRPr="0001370D">
        <w:rPr>
          <w:rFonts w:asciiTheme="majorHAnsi" w:hAnsiTheme="majorHAnsi" w:cstheme="majorHAnsi"/>
        </w:rPr>
        <w:t xml:space="preserve"> the federal operating permit application is submitted.</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 xml:space="preserve">The Texas Commission on Environmental Quality (TCEQ) </w:t>
      </w:r>
      <w:r w:rsidRPr="0001370D">
        <w:rPr>
          <w:rFonts w:asciiTheme="majorHAnsi" w:hAnsiTheme="majorHAnsi" w:cstheme="majorHAnsi"/>
          <w:b/>
        </w:rPr>
        <w:t>requires</w:t>
      </w:r>
      <w:r w:rsidRPr="0001370D">
        <w:rPr>
          <w:rFonts w:asciiTheme="majorHAnsi" w:hAnsiTheme="majorHAnsi" w:cstheme="majorHAnsi"/>
        </w:rPr>
        <w:t xml:space="preserve"> that a Core Data Form be submitted on </w:t>
      </w:r>
      <w:r w:rsidRPr="0001370D">
        <w:rPr>
          <w:rFonts w:asciiTheme="majorHAnsi" w:hAnsiTheme="majorHAnsi" w:cstheme="majorHAnsi"/>
          <w:b/>
        </w:rPr>
        <w:t>all</w:t>
      </w:r>
      <w:r w:rsidRPr="0001370D">
        <w:rPr>
          <w:rFonts w:asciiTheme="majorHAnsi" w:hAnsiTheme="majorHAnsi" w:cstheme="majorHAnsi"/>
        </w:rPr>
        <w:t xml:space="preserve"> incoming registrations unless </w:t>
      </w:r>
      <w:r w:rsidRPr="0001370D">
        <w:rPr>
          <w:rFonts w:asciiTheme="majorHAnsi" w:hAnsiTheme="majorHAnsi" w:cstheme="majorHAnsi"/>
          <w:i/>
        </w:rPr>
        <w:t xml:space="preserve">all </w:t>
      </w:r>
      <w:r w:rsidRPr="0001370D">
        <w:rPr>
          <w:rFonts w:asciiTheme="majorHAnsi" w:hAnsiTheme="majorHAnsi" w:cstheme="majorHAnsi"/>
        </w:rPr>
        <w:t xml:space="preserve">of the following are met: the </w:t>
      </w:r>
      <w:r w:rsidRPr="0001370D">
        <w:rPr>
          <w:rFonts w:asciiTheme="majorHAnsi" w:hAnsiTheme="majorHAnsi" w:cstheme="majorHAnsi"/>
          <w:i/>
        </w:rPr>
        <w:t>Regulated Entity (RN)</w:t>
      </w:r>
      <w:r w:rsidRPr="0001370D">
        <w:rPr>
          <w:rFonts w:asciiTheme="majorHAnsi" w:hAnsiTheme="majorHAnsi" w:cstheme="majorHAnsi"/>
        </w:rPr>
        <w:t xml:space="preserve"> and </w:t>
      </w:r>
      <w:r w:rsidRPr="0001370D">
        <w:rPr>
          <w:rFonts w:asciiTheme="majorHAnsi" w:hAnsiTheme="majorHAnsi" w:cstheme="majorHAnsi"/>
          <w:i/>
        </w:rPr>
        <w:t>Customer Reference (CN)</w:t>
      </w:r>
      <w:r w:rsidRPr="0001370D">
        <w:rPr>
          <w:rFonts w:asciiTheme="majorHAnsi" w:hAnsiTheme="majorHAnsi" w:cstheme="majorHAnsi"/>
        </w:rPr>
        <w:t xml:space="preserve"> numbers have been issued by the TCEQ and no core data information has changed. The Central Registry, a common record area of the TCEQ which maintains information about TCEQ customers and regulated activities, such as company names, addresses, and telephone numbers. This information is commonly referred as “core data.” The Central Registry provides the regulated community with a central access point within the agency to check core data and make changes when necessary. When core data about a facility is moved to the Central Registry, two new identification numbers are assigned: the CN number and the RN number. 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 If amending, modifying, or otherwise updating an existing record for a facility site, the Core Data Form is not required, unless any core data information has changed. To review additional information regarding the Central Registry, go to the TCEQ</w:t>
      </w:r>
      <w:r w:rsidR="00662460" w:rsidRPr="0001370D">
        <w:rPr>
          <w:rFonts w:asciiTheme="majorHAnsi" w:hAnsiTheme="majorHAnsi" w:cstheme="majorHAnsi"/>
        </w:rPr>
        <w:t xml:space="preserve"> website</w:t>
      </w:r>
      <w:r w:rsidRPr="0001370D">
        <w:rPr>
          <w:rFonts w:asciiTheme="majorHAnsi" w:hAnsiTheme="majorHAnsi" w:cstheme="majorHAnsi"/>
        </w:rPr>
        <w:t xml:space="preserve"> at </w:t>
      </w:r>
      <w:hyperlink r:id="rId8" w:tooltip="Link to TCEQ Central Registry" w:history="1">
        <w:r w:rsidRPr="0001370D">
          <w:rPr>
            <w:rStyle w:val="Hyperlink"/>
            <w:rFonts w:asciiTheme="majorHAnsi" w:hAnsiTheme="majorHAnsi" w:cstheme="majorHAnsi"/>
          </w:rPr>
          <w:t>www.tceq.texas.gov/permitting/central_registry</w:t>
        </w:r>
      </w:hyperlink>
      <w:r w:rsidRPr="0001370D">
        <w:rPr>
          <w:rFonts w:asciiTheme="majorHAnsi" w:hAnsiTheme="majorHAnsi" w:cstheme="majorHAnsi"/>
        </w:rPr>
        <w:t>.</w:t>
      </w:r>
      <w:r w:rsidRPr="0001370D">
        <w:rPr>
          <w:rFonts w:asciiTheme="majorHAnsi" w:hAnsiTheme="majorHAnsi" w:cstheme="majorHAnsi"/>
        </w:rPr>
        <w:br w:type="page"/>
      </w:r>
    </w:p>
    <w:p w:rsidR="00865CE8" w:rsidRPr="0001370D" w:rsidRDefault="00865CE8" w:rsidP="00865CE8">
      <w:pPr>
        <w:pStyle w:val="APDBody"/>
        <w:pBdr>
          <w:bottom w:val="double" w:sz="6" w:space="1" w:color="auto"/>
        </w:pBdr>
        <w:rPr>
          <w:rFonts w:asciiTheme="majorHAnsi" w:hAnsiTheme="majorHAnsi" w:cstheme="majorHAnsi"/>
        </w:rPr>
      </w:pPr>
    </w:p>
    <w:p w:rsidR="00865CE8" w:rsidRPr="0001370D" w:rsidRDefault="00865CE8" w:rsidP="00865CE8">
      <w:pPr>
        <w:pStyle w:val="APDSpecific"/>
        <w:rPr>
          <w:rFonts w:asciiTheme="majorHAnsi" w:hAnsiTheme="majorHAnsi" w:cstheme="majorHAnsi"/>
        </w:rPr>
      </w:pPr>
      <w:r w:rsidRPr="0001370D">
        <w:rPr>
          <w:rFonts w:asciiTheme="majorHAnsi" w:hAnsiTheme="majorHAnsi" w:cstheme="majorHAnsi"/>
        </w:rPr>
        <w:t>Specific:</w:t>
      </w:r>
    </w:p>
    <w:bookmarkStart w:id="0" w:name="Table1a"/>
    <w:p w:rsidR="00865CE8" w:rsidRPr="0001370D" w:rsidRDefault="000B23F7" w:rsidP="00865CE8">
      <w:pPr>
        <w:pStyle w:val="APDTable1stSpecific"/>
        <w:rPr>
          <w:rFonts w:asciiTheme="majorHAnsi" w:hAnsiTheme="majorHAnsi" w:cstheme="majorHAnsi"/>
        </w:rPr>
      </w:pPr>
      <w:r w:rsidRPr="0001370D">
        <w:rPr>
          <w:rFonts w:asciiTheme="majorHAnsi" w:hAnsiTheme="majorHAnsi" w:cstheme="majorHAnsi"/>
        </w:rPr>
        <w:fldChar w:fldCharType="begin"/>
      </w:r>
      <w:r w:rsidR="00C0495F" w:rsidRPr="0001370D">
        <w:rPr>
          <w:rFonts w:asciiTheme="majorHAnsi" w:hAnsiTheme="majorHAnsi" w:cstheme="majorHAnsi"/>
        </w:rPr>
        <w:instrText>HYPERLINK  \l "TBL1a" \o "Link to Table "</w:instrText>
      </w:r>
      <w:r w:rsidRPr="0001370D">
        <w:rPr>
          <w:rFonts w:asciiTheme="majorHAnsi" w:hAnsiTheme="majorHAnsi" w:cstheme="majorHAnsi"/>
        </w:rPr>
        <w:fldChar w:fldCharType="separate"/>
      </w:r>
      <w:r w:rsidR="00865CE8" w:rsidRPr="0001370D">
        <w:rPr>
          <w:rStyle w:val="Hyperlink"/>
          <w:rFonts w:asciiTheme="majorHAnsi" w:hAnsiTheme="majorHAnsi" w:cstheme="majorHAnsi"/>
        </w:rPr>
        <w:t>Table 1a</w:t>
      </w:r>
      <w:bookmarkEnd w:id="0"/>
      <w:r w:rsidRPr="0001370D">
        <w:rPr>
          <w:rFonts w:asciiTheme="majorHAnsi" w:hAnsiTheme="majorHAnsi" w:cstheme="majorHAnsi"/>
        </w:rPr>
        <w:fldChar w:fldCharType="end"/>
      </w:r>
      <w:r w:rsidR="00865CE8" w:rsidRPr="0001370D">
        <w:rPr>
          <w:rFonts w:asciiTheme="majorHAnsi" w:hAnsiTheme="majorHAnsi" w:cstheme="majorHAnsi"/>
        </w:rPr>
        <w:t>:</w:t>
      </w:r>
      <w:r w:rsidR="00865CE8" w:rsidRPr="0001370D">
        <w:rPr>
          <w:rFonts w:asciiTheme="majorHAnsi" w:hAnsiTheme="majorHAnsi" w:cstheme="majorHAnsi"/>
        </w:rPr>
        <w:tab/>
        <w:t>Title 40 Code of Federal Regulations Part 63 (40 CFR Part 63)</w:t>
      </w:r>
    </w:p>
    <w:p w:rsidR="00865CE8" w:rsidRPr="0001370D" w:rsidRDefault="00865CE8" w:rsidP="00865CE8">
      <w:pPr>
        <w:pStyle w:val="APDTable2ndSpecific"/>
        <w:rPr>
          <w:rFonts w:asciiTheme="majorHAnsi" w:hAnsiTheme="majorHAnsi" w:cstheme="majorHAnsi"/>
        </w:rPr>
      </w:pPr>
      <w:r w:rsidRPr="0001370D">
        <w:rPr>
          <w:rFonts w:asciiTheme="majorHAnsi" w:hAnsiTheme="majorHAnsi" w:cstheme="majorHAnsi"/>
        </w:rPr>
        <w:t>Subpart N: National Emissions Standards for Hazardous Air Pollutants from Chromium</w:t>
      </w:r>
      <w:r w:rsidR="00182B37">
        <w:rPr>
          <w:rFonts w:asciiTheme="majorHAnsi" w:hAnsiTheme="majorHAnsi" w:cstheme="majorHAnsi"/>
        </w:rPr>
        <w:t xml:space="preserve"> </w:t>
      </w:r>
      <w:r w:rsidRPr="0001370D">
        <w:rPr>
          <w:rFonts w:asciiTheme="majorHAnsi" w:hAnsiTheme="majorHAnsi" w:cstheme="majorHAnsi"/>
        </w:rPr>
        <w:t>Emissions from Hard and Decorative Chromium Electroplating and Chromium Anodizing Tanks</w:t>
      </w:r>
    </w:p>
    <w:p w:rsidR="00865CE8" w:rsidRPr="0001370D" w:rsidRDefault="00865CE8" w:rsidP="00865CE8">
      <w:pPr>
        <w:pStyle w:val="APDCompleteStarStyle"/>
      </w:pPr>
      <w:r w:rsidRPr="0001370D">
        <w:t>Complete this table only for chromium electroplating or chromium anodizing tanks used in hard chromium electroplating, decorative chromium electroplating, or chromium anodizing operations that are major sources of HAP or are located at a site that is a major source of HAP.</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Unit ID No.: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the identification number (ID No.) for the chromium electroplating or anodizing tank (maximum 10 characters) as listed on Form OP-SUM (Individual Unit Summary).</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SOP Index No.: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Site operating permit (SOP) applicants should indicate the SOP index number for the unit or group of units (maximum</w:t>
      </w:r>
      <w:r w:rsidR="00D81734">
        <w:rPr>
          <w:rFonts w:asciiTheme="majorHAnsi" w:hAnsiTheme="majorHAnsi" w:cstheme="majorHAnsi"/>
        </w:rPr>
        <w:t> </w:t>
      </w:r>
      <w:r w:rsidRPr="0001370D">
        <w:rPr>
          <w:rFonts w:asciiTheme="majorHAnsi" w:hAnsiTheme="majorHAnsi" w:cstheme="majorHAnsi"/>
        </w:rPr>
        <w:t>15</w:t>
      </w:r>
      <w:r w:rsidR="00D81734">
        <w:rPr>
          <w:rFonts w:asciiTheme="majorHAnsi" w:hAnsiTheme="majorHAnsi" w:cstheme="majorHAnsi"/>
        </w:rPr>
        <w:t> </w:t>
      </w:r>
      <w:r w:rsidRPr="0001370D">
        <w:rPr>
          <w:rFonts w:asciiTheme="majorHAnsi" w:hAnsiTheme="majorHAnsi" w:cstheme="majorHAnsi"/>
        </w:rPr>
        <w:t>characters consisting of numeric, alphanumeric characters, and/or dashes prefixed by a code for the applicable regulation [i.e., 60KB-XXXX]). For additional information relating to SOP index numbers, please refer to the TCEQ</w:t>
      </w:r>
      <w:r w:rsidR="00662460" w:rsidRPr="0001370D">
        <w:rPr>
          <w:rFonts w:asciiTheme="majorHAnsi" w:hAnsiTheme="majorHAnsi" w:cstheme="majorHAnsi"/>
        </w:rPr>
        <w:t xml:space="preserve"> website</w:t>
      </w:r>
      <w:r w:rsidRPr="0001370D">
        <w:rPr>
          <w:rFonts w:asciiTheme="majorHAnsi" w:hAnsiTheme="majorHAnsi" w:cstheme="majorHAnsi"/>
        </w:rPr>
        <w:t xml:space="preserve"> at </w:t>
      </w:r>
      <w:hyperlink r:id="rId9" w:tooltip="TCEQ Site Operation Permit Application Guidance" w:history="1">
        <w:r w:rsidRPr="0001370D">
          <w:rPr>
            <w:rStyle w:val="Hyperlink"/>
            <w:rFonts w:asciiTheme="majorHAnsi" w:hAnsiTheme="majorHAnsi" w:cstheme="majorHAnsi"/>
          </w:rPr>
          <w:t>www.tceq.texas.gov/assets/public/permitting/air/Guidance/Title_V/sop_initial.pdf</w:t>
        </w:r>
      </w:hyperlink>
      <w:r w:rsidRPr="0001370D">
        <w:rPr>
          <w:rFonts w:asciiTheme="majorHAnsi" w:hAnsiTheme="majorHAnsi" w:cstheme="majorHAnsi"/>
        </w:rPr>
        <w:t xml:space="preserve">. </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Research and Lab Operations: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“YES” if research and laboratory operations are the only operations performed in the chromium electroplating or chromium anodizing tank. Otherwise, enter “NO.”</w:t>
      </w:r>
    </w:p>
    <w:p w:rsidR="00865CE8" w:rsidRPr="0001370D" w:rsidRDefault="00865CE8" w:rsidP="00865CE8">
      <w:pPr>
        <w:pStyle w:val="APDContinueTriangleStyleList"/>
        <w:rPr>
          <w:rFonts w:asciiTheme="majorHAnsi" w:hAnsiTheme="majorHAnsi" w:cstheme="majorHAnsi"/>
        </w:rPr>
      </w:pPr>
      <w:r w:rsidRPr="0001370D">
        <w:rPr>
          <w:rFonts w:asciiTheme="majorHAnsi" w:hAnsiTheme="majorHAnsi" w:cstheme="majorHAnsi"/>
        </w:rPr>
        <w:t>Continue only if “Research and Lab Operations” is “NO.”</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Tank Type: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Select one of the following options for the chromium electroplating or chromium anodizing tank type. Enter the code on the form.</w:t>
      </w:r>
    </w:p>
    <w:p w:rsidR="00865CE8" w:rsidRPr="0001370D" w:rsidRDefault="00865CE8" w:rsidP="000C562E">
      <w:pPr>
        <w:pStyle w:val="APDCodeDescriptionBOLD"/>
      </w:pPr>
      <w:r w:rsidRPr="0001370D">
        <w:t>Code</w:t>
      </w:r>
      <w:r w:rsidRPr="0001370D">
        <w:tab/>
      </w:r>
      <w:r w:rsidRPr="000C562E">
        <w:t>Description</w:t>
      </w:r>
    </w:p>
    <w:p w:rsidR="00865CE8" w:rsidRPr="000C562E" w:rsidRDefault="00865CE8" w:rsidP="000C562E">
      <w:pPr>
        <w:pStyle w:val="APDCodeList"/>
      </w:pPr>
      <w:r w:rsidRPr="0001370D">
        <w:t>HARD</w:t>
      </w:r>
      <w:r w:rsidRPr="0001370D">
        <w:tab/>
        <w:t xml:space="preserve">The tank is used </w:t>
      </w:r>
      <w:r w:rsidRPr="000C562E">
        <w:t>in a hard chromium electroplating operation</w:t>
      </w:r>
    </w:p>
    <w:p w:rsidR="00865CE8" w:rsidRPr="0001370D" w:rsidRDefault="00865CE8" w:rsidP="000C562E">
      <w:pPr>
        <w:pStyle w:val="APDCodeList"/>
      </w:pPr>
      <w:r w:rsidRPr="000C562E">
        <w:t>DECOR</w:t>
      </w:r>
      <w:r w:rsidRPr="000C562E">
        <w:tab/>
        <w:t>The tank is used in</w:t>
      </w:r>
      <w:r w:rsidRPr="0001370D">
        <w:t xml:space="preserve"> a decorative chromium electroplating operation</w:t>
      </w:r>
    </w:p>
    <w:p w:rsidR="00865CE8" w:rsidRPr="0001370D" w:rsidRDefault="00865CE8" w:rsidP="000C562E">
      <w:pPr>
        <w:pStyle w:val="APDCodeList"/>
      </w:pPr>
      <w:r w:rsidRPr="0001370D">
        <w:t>ANODE</w:t>
      </w:r>
      <w:r w:rsidRPr="0001370D">
        <w:tab/>
        <w:t>The tank is used in a chromium anodizing operation</w:t>
      </w:r>
    </w:p>
    <w:p w:rsidR="00865CE8" w:rsidRPr="0001370D" w:rsidRDefault="00865CE8" w:rsidP="00865CE8">
      <w:pPr>
        <w:pStyle w:val="APDCompleteStarStyle"/>
      </w:pPr>
      <w:r w:rsidRPr="0001370D">
        <w:t>Complete “Enclosed Tank” only if “Tank Type” is “HARD.”</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Enclosed Tank: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“YES” if the hard electroplating tank is an enclosed tank as defined in 40 CFR § 60.341. Otherwise, enter “NO.”</w:t>
      </w:r>
    </w:p>
    <w:p w:rsidR="00865CE8" w:rsidRPr="0001370D" w:rsidRDefault="00865CE8" w:rsidP="00865CE8">
      <w:pPr>
        <w:pStyle w:val="APDCompleteStarStyle"/>
      </w:pPr>
      <w:r w:rsidRPr="0001370D">
        <w:t>Complete “Existing Source” only if “Tank Type” is “HARD.”</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Existing Source: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“YES” if the tank is an existing source located at a small hard chromium electroplating operation. Otherwise, enter “NO.”</w:t>
      </w:r>
    </w:p>
    <w:p w:rsidR="00865CE8" w:rsidRPr="0001370D" w:rsidRDefault="00865CE8" w:rsidP="00865CE8">
      <w:pPr>
        <w:pStyle w:val="APDCompleteStarStyle"/>
      </w:pPr>
      <w:r w:rsidRPr="0001370D">
        <w:t>Complete “Mass Rate” only if “Tank Type” is “HARD” and “Enclosed Tank” is “YES.”</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Mass Rate: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“YES” if the enclosed tank is complying with the mass rate emission limitation of 40 CFR § 63.342(c)(2)(iv) or (v) by not allowing the total chromium in the exhaust gas stream discharged to the atmosphere to exceed the maximum allowable mass emission rate determined by the calculation procedure in 40 CFR § 63.344(f)(1)(i) or (ii). Otherwise, enter “NO.”</w:t>
      </w:r>
    </w:p>
    <w:p w:rsidR="00865CE8" w:rsidRPr="0001370D" w:rsidRDefault="00865CE8" w:rsidP="00865CE8">
      <w:pPr>
        <w:pStyle w:val="APDCompleteStarStyle"/>
      </w:pPr>
      <w:r w:rsidRPr="0001370D">
        <w:br w:type="page"/>
      </w:r>
    </w:p>
    <w:p w:rsidR="00865CE8" w:rsidRPr="0001370D" w:rsidRDefault="00865CE8" w:rsidP="00865CE8">
      <w:pPr>
        <w:pStyle w:val="APDCompleteStarStyle"/>
      </w:pPr>
      <w:r w:rsidRPr="0001370D">
        <w:lastRenderedPageBreak/>
        <w:t>Complete “Trivalent Chromium Bath” only if “Tank Type” is “DECOR.”</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Trivalent Chromium Bath: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Select one of the following bath types used by the process. Enter the code on the form.</w:t>
      </w:r>
    </w:p>
    <w:p w:rsidR="00865CE8" w:rsidRPr="0001370D" w:rsidRDefault="00865CE8" w:rsidP="000C562E">
      <w:pPr>
        <w:pStyle w:val="APDCodeDescriptionBOLD"/>
      </w:pPr>
      <w:r w:rsidRPr="0001370D">
        <w:t>Code</w:t>
      </w:r>
      <w:r w:rsidRPr="0001370D">
        <w:tab/>
        <w:t>Description</w:t>
      </w:r>
    </w:p>
    <w:p w:rsidR="00865CE8" w:rsidRPr="0001370D" w:rsidRDefault="00865CE8" w:rsidP="000C562E">
      <w:pPr>
        <w:pStyle w:val="APDCodeList"/>
      </w:pPr>
      <w:r w:rsidRPr="0001370D">
        <w:t>TRIVAL</w:t>
      </w:r>
      <w:r w:rsidRPr="0001370D">
        <w:tab/>
        <w:t>Trivalent chromium bath not using a wetting agent as a bath ingredient</w:t>
      </w:r>
    </w:p>
    <w:p w:rsidR="00865CE8" w:rsidRPr="0001370D" w:rsidRDefault="00865CE8" w:rsidP="000C562E">
      <w:pPr>
        <w:pStyle w:val="APDCodeList"/>
      </w:pPr>
      <w:r w:rsidRPr="0001370D">
        <w:t>TRIWET</w:t>
      </w:r>
      <w:r w:rsidRPr="0001370D">
        <w:tab/>
        <w:t>Trivalent chromium bath incorporating a wetting agent as a bath ingredient</w:t>
      </w:r>
    </w:p>
    <w:p w:rsidR="00865CE8" w:rsidRPr="0001370D" w:rsidRDefault="00865CE8" w:rsidP="000C562E">
      <w:pPr>
        <w:pStyle w:val="APDCodeList"/>
      </w:pPr>
      <w:r w:rsidRPr="0001370D">
        <w:t>OTHER</w:t>
      </w:r>
      <w:r w:rsidRPr="0001370D">
        <w:tab/>
        <w:t>Any bath type other than a trivalent chromium bath</w:t>
      </w:r>
    </w:p>
    <w:p w:rsidR="00865CE8" w:rsidRPr="0001370D" w:rsidRDefault="00865CE8" w:rsidP="00865CE8">
      <w:pPr>
        <w:pStyle w:val="APDContinueTriangleStyleList"/>
        <w:rPr>
          <w:rFonts w:asciiTheme="majorHAnsi" w:hAnsiTheme="majorHAnsi" w:cstheme="majorHAnsi"/>
        </w:rPr>
      </w:pPr>
      <w:r w:rsidRPr="0001370D">
        <w:rPr>
          <w:rFonts w:asciiTheme="majorHAnsi" w:hAnsiTheme="majorHAnsi" w:cstheme="majorHAnsi"/>
        </w:rPr>
        <w:t>Do not continue only if “Tank Type” is “DECOR” and “Trivalent Chromium Bath” is “TRIWET.”</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Chemical Fume Suppressant Using a Wetting Agent: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“YES” if a chemical fume suppressant containing a wetting agent is used to comply with the emission limitation in 40 CFR §§ 63.342(c)(1)(iii), 63.342(c)(2)(iii) or 63.342(d)(2). Otherwise, enter “NO.”</w:t>
      </w:r>
    </w:p>
    <w:p w:rsidR="00865CE8" w:rsidRPr="0001370D" w:rsidRDefault="00865CE8" w:rsidP="00865CE8">
      <w:pPr>
        <w:pStyle w:val="APDCompleteStarStyle"/>
      </w:pPr>
      <w:r w:rsidRPr="0001370D">
        <w:t>Complete “Rectifier Capacity” only if “Existing Source” is “YES” and “Chemical Fume Suppressant Using a Wetting Agent” is “NO.”</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Rectifier Capacity: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Select one of the following options that describes the rectifier capacity for the hard chromium electroplating facility. Enter the code on the form.</w:t>
      </w:r>
    </w:p>
    <w:p w:rsidR="00865CE8" w:rsidRPr="0001370D" w:rsidRDefault="00865CE8" w:rsidP="000C562E">
      <w:pPr>
        <w:pStyle w:val="APDCodeDescriptionBOLD"/>
      </w:pPr>
      <w:r w:rsidRPr="0001370D">
        <w:t>Code</w:t>
      </w:r>
      <w:r w:rsidRPr="0001370D">
        <w:tab/>
        <w:t>Description</w:t>
      </w:r>
    </w:p>
    <w:p w:rsidR="00865CE8" w:rsidRPr="0001370D" w:rsidRDefault="00865CE8" w:rsidP="000C562E">
      <w:pPr>
        <w:pStyle w:val="APDCodeList"/>
      </w:pPr>
      <w:r w:rsidRPr="0001370D">
        <w:t>60-</w:t>
      </w:r>
      <w:r w:rsidRPr="0001370D">
        <w:tab/>
        <w:t>The maximum cumulative potential rectifier capacity for all hard chromium electroplating tanks at the facility is less than 60 million ampere-hours per year.</w:t>
      </w:r>
    </w:p>
    <w:p w:rsidR="00865CE8" w:rsidRPr="0001370D" w:rsidRDefault="00865CE8" w:rsidP="000C562E">
      <w:pPr>
        <w:pStyle w:val="APDCodeList"/>
      </w:pPr>
      <w:r w:rsidRPr="0001370D">
        <w:t>REC</w:t>
      </w:r>
      <w:r w:rsidRPr="0001370D">
        <w:tab/>
        <w:t>The maximum cumulative potential rectifier capacity for all hard chromium electroplating tanks at the facility is 60 million ampere-hours per year or greater, but records document that previous actual rectifier capacity is less than 60 million ampere-hours per year for all years.</w:t>
      </w:r>
    </w:p>
    <w:p w:rsidR="00865CE8" w:rsidRPr="0001370D" w:rsidRDefault="00865CE8" w:rsidP="000C562E">
      <w:pPr>
        <w:pStyle w:val="APDCodeList"/>
      </w:pPr>
      <w:r w:rsidRPr="0001370D">
        <w:t>FED</w:t>
      </w:r>
      <w:r w:rsidRPr="0001370D">
        <w:tab/>
        <w:t>The maximum cumulative potential rectifier capacity for all hard chromium electroplating tanks at the facility is 60 million ampere-hours per year or greater, but a federally enforceable limit is in place and records are kept to document that actual rectifier capacity is less than 60 million ampere-hours per year.</w:t>
      </w:r>
    </w:p>
    <w:p w:rsidR="00865CE8" w:rsidRPr="0001370D" w:rsidRDefault="00865CE8" w:rsidP="00865CE8">
      <w:pPr>
        <w:pStyle w:val="APDBody"/>
        <w:pBdr>
          <w:bottom w:val="double" w:sz="6" w:space="1" w:color="auto"/>
        </w:pBdr>
        <w:rPr>
          <w:rFonts w:asciiTheme="majorHAnsi" w:hAnsiTheme="majorHAnsi" w:cstheme="majorHAnsi"/>
        </w:rPr>
      </w:pPr>
    </w:p>
    <w:bookmarkStart w:id="1" w:name="Table1b"/>
    <w:p w:rsidR="00865CE8" w:rsidRPr="0001370D" w:rsidRDefault="000B23F7" w:rsidP="00865CE8">
      <w:pPr>
        <w:pStyle w:val="APDTable1stSpecific"/>
        <w:rPr>
          <w:rFonts w:asciiTheme="majorHAnsi" w:hAnsiTheme="majorHAnsi" w:cstheme="majorHAnsi"/>
        </w:rPr>
      </w:pPr>
      <w:r w:rsidRPr="0001370D">
        <w:rPr>
          <w:rFonts w:asciiTheme="majorHAnsi" w:hAnsiTheme="majorHAnsi" w:cstheme="majorHAnsi"/>
        </w:rPr>
        <w:fldChar w:fldCharType="begin"/>
      </w:r>
      <w:r w:rsidR="00C0495F" w:rsidRPr="0001370D">
        <w:rPr>
          <w:rFonts w:asciiTheme="majorHAnsi" w:hAnsiTheme="majorHAnsi" w:cstheme="majorHAnsi"/>
        </w:rPr>
        <w:instrText>HYPERLINK  \l "TBL1b" \o "Link to Table "</w:instrText>
      </w:r>
      <w:r w:rsidRPr="0001370D">
        <w:rPr>
          <w:rFonts w:asciiTheme="majorHAnsi" w:hAnsiTheme="majorHAnsi" w:cstheme="majorHAnsi"/>
        </w:rPr>
        <w:fldChar w:fldCharType="separate"/>
      </w:r>
      <w:r w:rsidR="00865CE8" w:rsidRPr="0001370D">
        <w:rPr>
          <w:rStyle w:val="Hyperlink"/>
          <w:rFonts w:asciiTheme="majorHAnsi" w:hAnsiTheme="majorHAnsi" w:cstheme="majorHAnsi"/>
        </w:rPr>
        <w:t>Table 1b</w:t>
      </w:r>
      <w:bookmarkEnd w:id="1"/>
      <w:r w:rsidRPr="0001370D">
        <w:rPr>
          <w:rFonts w:asciiTheme="majorHAnsi" w:hAnsiTheme="majorHAnsi" w:cstheme="majorHAnsi"/>
        </w:rPr>
        <w:fldChar w:fldCharType="end"/>
      </w:r>
      <w:r w:rsidR="00865CE8" w:rsidRPr="0001370D">
        <w:rPr>
          <w:rFonts w:asciiTheme="majorHAnsi" w:hAnsiTheme="majorHAnsi" w:cstheme="majorHAnsi"/>
        </w:rPr>
        <w:t>:</w:t>
      </w:r>
      <w:r w:rsidR="00865CE8" w:rsidRPr="0001370D">
        <w:rPr>
          <w:rFonts w:asciiTheme="majorHAnsi" w:hAnsiTheme="majorHAnsi" w:cstheme="majorHAnsi"/>
        </w:rPr>
        <w:tab/>
        <w:t>Title 40 Code of Federal Regulations Part 63 (40 CFR Part 63)</w:t>
      </w:r>
    </w:p>
    <w:p w:rsidR="00865CE8" w:rsidRPr="0001370D" w:rsidRDefault="00865CE8" w:rsidP="00865CE8">
      <w:pPr>
        <w:pStyle w:val="APDTable2ndSpecific"/>
        <w:rPr>
          <w:rFonts w:asciiTheme="majorHAnsi" w:hAnsiTheme="majorHAnsi" w:cstheme="majorHAnsi"/>
        </w:rPr>
      </w:pPr>
      <w:r w:rsidRPr="0001370D">
        <w:rPr>
          <w:rFonts w:asciiTheme="majorHAnsi" w:hAnsiTheme="majorHAnsi" w:cstheme="majorHAnsi"/>
        </w:rPr>
        <w:t xml:space="preserve">Subpart N: National Emissions Standards for Hazardous Air Pollutants from Chromium Emissions from Hard and Decorative Chromium Electroplating and Chromium </w:t>
      </w:r>
      <w:r w:rsidR="000B23F7" w:rsidRPr="0001370D">
        <w:rPr>
          <w:rFonts w:asciiTheme="majorHAnsi" w:hAnsiTheme="majorHAnsi" w:cstheme="majorHAnsi"/>
        </w:rPr>
        <w:br/>
      </w:r>
      <w:r w:rsidRPr="0001370D">
        <w:rPr>
          <w:rFonts w:asciiTheme="majorHAnsi" w:hAnsiTheme="majorHAnsi" w:cstheme="majorHAnsi"/>
        </w:rPr>
        <w:t>Anodizing Tanks</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Unit ID No.: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the identification number (ID No.) for the chromium electroplating or anodizing tank (maximum 10 characters) as listed on Form OP-SUM (Individual Unit Summary).</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SOP Index No.: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Site operating permit (SOP) applicants should indicate the SOP index number for the unit or group of units (maximum 15</w:t>
      </w:r>
      <w:r w:rsidR="008E4339" w:rsidRPr="0001370D">
        <w:rPr>
          <w:rFonts w:asciiTheme="majorHAnsi" w:hAnsiTheme="majorHAnsi" w:cstheme="majorHAnsi"/>
        </w:rPr>
        <w:t> </w:t>
      </w:r>
      <w:r w:rsidRPr="0001370D">
        <w:rPr>
          <w:rFonts w:asciiTheme="majorHAnsi" w:hAnsiTheme="majorHAnsi" w:cstheme="majorHAnsi"/>
        </w:rPr>
        <w:t>characters consisting of numeric, alphanumeric characters, and/or dashes prefixed by a code for the applicable regulation [i.e., 60KB-XXXX]). For additional information relating to SOP index numbers, please refer to the TCEQ</w:t>
      </w:r>
      <w:r w:rsidR="00662460" w:rsidRPr="0001370D">
        <w:rPr>
          <w:rFonts w:asciiTheme="majorHAnsi" w:hAnsiTheme="majorHAnsi" w:cstheme="majorHAnsi"/>
        </w:rPr>
        <w:t xml:space="preserve"> website</w:t>
      </w:r>
      <w:r w:rsidRPr="0001370D">
        <w:rPr>
          <w:rFonts w:asciiTheme="majorHAnsi" w:hAnsiTheme="majorHAnsi" w:cstheme="majorHAnsi"/>
        </w:rPr>
        <w:t xml:space="preserve"> at </w:t>
      </w:r>
      <w:hyperlink r:id="rId10" w:tooltip="TCEQ Site Operation Permit Application Guidance" w:history="1">
        <w:r w:rsidRPr="0001370D">
          <w:rPr>
            <w:rStyle w:val="Hyperlink"/>
            <w:rFonts w:asciiTheme="majorHAnsi" w:hAnsiTheme="majorHAnsi" w:cstheme="majorHAnsi"/>
          </w:rPr>
          <w:t>www.tceq.texas.gov/assets/public/permitting/air/Guidance/Title_V/sop_initial.pdf</w:t>
        </w:r>
      </w:hyperlink>
      <w:r w:rsidRPr="0001370D">
        <w:rPr>
          <w:rFonts w:asciiTheme="majorHAnsi" w:hAnsiTheme="majorHAnsi" w:cstheme="majorHAnsi"/>
        </w:rPr>
        <w:t xml:space="preserve">. </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Control Technique: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Select one of the following control techniques used for complying with the emission limitation. Enter the code on the form.</w:t>
      </w:r>
    </w:p>
    <w:p w:rsidR="00865CE8" w:rsidRPr="0001370D" w:rsidRDefault="00865CE8" w:rsidP="000C562E">
      <w:pPr>
        <w:pStyle w:val="APDCodeDescriptionBOLD"/>
      </w:pPr>
      <w:r w:rsidRPr="0001370D">
        <w:t>Code</w:t>
      </w:r>
      <w:r w:rsidRPr="0001370D">
        <w:tab/>
        <w:t>Description</w:t>
      </w:r>
    </w:p>
    <w:p w:rsidR="00865CE8" w:rsidRPr="0001370D" w:rsidRDefault="00865CE8" w:rsidP="000C562E">
      <w:pPr>
        <w:pStyle w:val="APDCodeList"/>
      </w:pPr>
      <w:r w:rsidRPr="0001370D">
        <w:t>MESHPAD</w:t>
      </w:r>
      <w:r w:rsidRPr="0001370D">
        <w:tab/>
        <w:t>Using only a composite mesh pad system</w:t>
      </w:r>
    </w:p>
    <w:p w:rsidR="00865CE8" w:rsidRPr="0001370D" w:rsidRDefault="00865CE8" w:rsidP="000C562E">
      <w:pPr>
        <w:pStyle w:val="APDCodeList"/>
      </w:pPr>
      <w:r w:rsidRPr="0001370D">
        <w:t>PBSCRUB</w:t>
      </w:r>
      <w:r w:rsidRPr="0001370D">
        <w:tab/>
        <w:t>Using only a packed bed scrubber system</w:t>
      </w:r>
    </w:p>
    <w:p w:rsidR="00865CE8" w:rsidRPr="0001370D" w:rsidRDefault="00865CE8" w:rsidP="000C562E">
      <w:pPr>
        <w:pStyle w:val="APDCodeList"/>
      </w:pPr>
      <w:r w:rsidRPr="0001370D">
        <w:t>PAD/SCR</w:t>
      </w:r>
      <w:r w:rsidRPr="0001370D">
        <w:tab/>
        <w:t>Using a packed bed scrubber system in conjunction with a composite mesh pad system</w:t>
      </w:r>
    </w:p>
    <w:p w:rsidR="00865CE8" w:rsidRPr="0001370D" w:rsidRDefault="00865CE8" w:rsidP="000C562E">
      <w:pPr>
        <w:pStyle w:val="APDCodeList"/>
      </w:pPr>
      <w:r w:rsidRPr="0001370D">
        <w:t>FBMELIM</w:t>
      </w:r>
      <w:r w:rsidRPr="0001370D">
        <w:tab/>
        <w:t>Using only a fiber-bed mist eliminator</w:t>
      </w:r>
    </w:p>
    <w:p w:rsidR="00865CE8" w:rsidRPr="0001370D" w:rsidRDefault="00865CE8" w:rsidP="000C562E">
      <w:pPr>
        <w:pStyle w:val="APDCodeList"/>
      </w:pPr>
      <w:r w:rsidRPr="0001370D">
        <w:lastRenderedPageBreak/>
        <w:t>WETFOAM</w:t>
      </w:r>
      <w:r w:rsidRPr="0001370D">
        <w:tab/>
        <w:t>Using a wetting agent-type or combination wetting agent-type/foam blanket fume suppressants</w:t>
      </w:r>
    </w:p>
    <w:p w:rsidR="00865CE8" w:rsidRPr="0001370D" w:rsidRDefault="00865CE8" w:rsidP="000C562E">
      <w:pPr>
        <w:pStyle w:val="APDCodeList"/>
      </w:pPr>
      <w:r w:rsidRPr="0001370D">
        <w:t>BLANKET</w:t>
      </w:r>
      <w:r w:rsidRPr="0001370D">
        <w:tab/>
        <w:t>Using only a foam blanket-type fume suppressant</w:t>
      </w:r>
    </w:p>
    <w:p w:rsidR="00865CE8" w:rsidRPr="0001370D" w:rsidRDefault="00865CE8" w:rsidP="000C562E">
      <w:pPr>
        <w:pStyle w:val="APDCodeList"/>
      </w:pPr>
      <w:r w:rsidRPr="0001370D">
        <w:t>ADD-ON</w:t>
      </w:r>
      <w:r w:rsidRPr="0001370D">
        <w:tab/>
        <w:t>Using both a fume suppressant and an add-on control device (use this code only if both the fume suppressant and the add-on control device are necessary to achieve compliance.)</w:t>
      </w:r>
    </w:p>
    <w:p w:rsidR="00865CE8" w:rsidRPr="0001370D" w:rsidRDefault="00865CE8" w:rsidP="000C562E">
      <w:pPr>
        <w:pStyle w:val="APDCodeList"/>
      </w:pPr>
      <w:r w:rsidRPr="0001370D">
        <w:t>OTHER</w:t>
      </w:r>
      <w:r w:rsidRPr="0001370D">
        <w:tab/>
        <w:t>Other air pollution control device or technique</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Control Device ID No.: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the identification number (ID No.) for the control device (maximum 10 characters). This number should be consistent with the number listed on Form OP-SUM. If the “Control Techniques” designation includes a combination of control devices, then list both applicable identification numbers.</w:t>
      </w:r>
    </w:p>
    <w:p w:rsidR="00865CE8" w:rsidRPr="0001370D" w:rsidRDefault="00865CE8" w:rsidP="00865CE8">
      <w:pPr>
        <w:pStyle w:val="APDCompleteStarStyle"/>
      </w:pPr>
      <w:r w:rsidRPr="0001370D">
        <w:t>Complete “Alternate Monitoring Method” and “AMM ID No.” only if “Control Technique” is not “OTHER.”</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Alternate Monitoring Method (AMM):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“YES” if the EPA Administrator has approved an AMM. Otherwise, enter “NO.”</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AMM ID No.: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If an AMM has been approved, then enter the corresponding AMM unique identifier for each unit or process (maximum</w:t>
      </w:r>
      <w:r w:rsidR="00D81734">
        <w:rPr>
          <w:rFonts w:asciiTheme="majorHAnsi" w:hAnsiTheme="majorHAnsi" w:cstheme="majorHAnsi"/>
        </w:rPr>
        <w:t> </w:t>
      </w:r>
      <w:bookmarkStart w:id="2" w:name="_GoBack"/>
      <w:bookmarkEnd w:id="2"/>
      <w:r w:rsidRPr="0001370D">
        <w:rPr>
          <w:rFonts w:asciiTheme="majorHAnsi" w:hAnsiTheme="majorHAnsi" w:cstheme="majorHAnsi"/>
        </w:rPr>
        <w:t>10 characters). If the unique identifier is unavailable, then enter the date of the AMM approval letter. The unique identifier and/or the date of the approval letter is contained in the Compliance File under the appropriate regulated entity number. Otherwise, leave this column blank.</w:t>
      </w:r>
    </w:p>
    <w:p w:rsidR="00865CE8" w:rsidRPr="0001370D" w:rsidRDefault="00865CE8" w:rsidP="00865CE8">
      <w:pPr>
        <w:pStyle w:val="APDContinueTriangleStyleList"/>
        <w:rPr>
          <w:rFonts w:asciiTheme="majorHAnsi" w:hAnsiTheme="majorHAnsi" w:cstheme="majorHAnsi"/>
        </w:rPr>
      </w:pPr>
      <w:r w:rsidRPr="0001370D">
        <w:rPr>
          <w:rFonts w:asciiTheme="majorHAnsi" w:hAnsiTheme="majorHAnsi" w:cstheme="majorHAnsi"/>
        </w:rPr>
        <w:t>Continue only if “Control Technique” is “MESHPAD,” “PBSCRUB,” “PAD/SCR,” “FBMELIM,” “ADD</w:t>
      </w:r>
      <w:r w:rsidRPr="0001370D">
        <w:rPr>
          <w:rFonts w:asciiTheme="majorHAnsi" w:hAnsiTheme="majorHAnsi" w:cstheme="majorHAnsi"/>
        </w:rPr>
        <w:noBreakHyphen/>
        <w:t>ON” or “OTHER.”</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Common Add-On Control: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“YES” if the owner or operator is controlling multiple sources with a common add-on control device. Otherwise, enter “NO.”</w:t>
      </w:r>
    </w:p>
    <w:p w:rsidR="00865CE8" w:rsidRPr="0001370D" w:rsidRDefault="00865CE8" w:rsidP="00865CE8">
      <w:pPr>
        <w:pStyle w:val="APDContinueTriangleStyleList"/>
        <w:rPr>
          <w:rFonts w:asciiTheme="majorHAnsi" w:hAnsiTheme="majorHAnsi" w:cstheme="majorHAnsi"/>
        </w:rPr>
      </w:pPr>
      <w:r w:rsidRPr="0001370D">
        <w:rPr>
          <w:rFonts w:asciiTheme="majorHAnsi" w:hAnsiTheme="majorHAnsi" w:cstheme="majorHAnsi"/>
        </w:rPr>
        <w:t>Continue only if “Common Add-on Control” is “YES.”</w:t>
      </w:r>
    </w:p>
    <w:p w:rsidR="00865CE8" w:rsidRPr="0001370D" w:rsidRDefault="00865CE8" w:rsidP="00865CE8">
      <w:pPr>
        <w:pStyle w:val="APDBodyBOLDheader"/>
        <w:rPr>
          <w:rFonts w:asciiTheme="majorHAnsi" w:hAnsiTheme="majorHAnsi" w:cstheme="majorHAnsi"/>
        </w:rPr>
      </w:pPr>
      <w:r w:rsidRPr="0001370D">
        <w:rPr>
          <w:rFonts w:asciiTheme="majorHAnsi" w:hAnsiTheme="majorHAnsi" w:cstheme="majorHAnsi"/>
        </w:rPr>
        <w:t xml:space="preserve">Different Emission Limitations: </w:t>
      </w:r>
    </w:p>
    <w:p w:rsidR="00865CE8" w:rsidRPr="0001370D" w:rsidRDefault="00865CE8" w:rsidP="00865CE8">
      <w:pPr>
        <w:pStyle w:val="APDBody"/>
        <w:rPr>
          <w:rFonts w:asciiTheme="majorHAnsi" w:hAnsiTheme="majorHAnsi" w:cstheme="majorHAnsi"/>
        </w:rPr>
      </w:pPr>
      <w:r w:rsidRPr="0001370D">
        <w:rPr>
          <w:rFonts w:asciiTheme="majorHAnsi" w:hAnsiTheme="majorHAnsi" w:cstheme="majorHAnsi"/>
        </w:rPr>
        <w:t>Enter “YES” if the affected sources are performing different types of operations or the same operation subject to different emissions limitations. Otherwise, enter “NO.”</w:t>
      </w:r>
    </w:p>
    <w:p w:rsidR="00865CE8" w:rsidRPr="0001370D" w:rsidRDefault="00865CE8" w:rsidP="00865CE8">
      <w:pPr>
        <w:pStyle w:val="APDContinueTriangleStyleList"/>
        <w:rPr>
          <w:rFonts w:asciiTheme="majorHAnsi" w:hAnsiTheme="majorHAnsi" w:cstheme="majorHAnsi"/>
        </w:rPr>
      </w:pPr>
      <w:r w:rsidRPr="0001370D">
        <w:rPr>
          <w:rFonts w:asciiTheme="majorHAnsi" w:hAnsiTheme="majorHAnsi" w:cstheme="majorHAnsi"/>
        </w:rPr>
        <w:t>Continue only if “Different Emission Limitations” is “NO.”</w:t>
      </w:r>
    </w:p>
    <w:p w:rsidR="00413A24" w:rsidRDefault="00865CE8" w:rsidP="00413A24">
      <w:pPr>
        <w:pStyle w:val="APDBodyBOLDheader"/>
      </w:pPr>
      <w:r w:rsidRPr="0001370D">
        <w:t xml:space="preserve">Same Emission Limitations: </w:t>
      </w:r>
    </w:p>
    <w:p w:rsidR="00865CE8" w:rsidRPr="0001370D" w:rsidRDefault="00865CE8" w:rsidP="00413A24">
      <w:pPr>
        <w:pStyle w:val="APDBody"/>
      </w:pPr>
      <w:r w:rsidRPr="0001370D">
        <w:t>Enter “YES” if the affected sources are performing the same type of operation with the same emission limitations and also controlling emissions from a non-affected source. Otherwise, enter “NO.”</w:t>
      </w:r>
      <w:r w:rsidR="00182B37">
        <w:br/>
      </w:r>
    </w:p>
    <w:p w:rsidR="00865CE8" w:rsidRPr="0001370D" w:rsidRDefault="00865CE8" w:rsidP="00865CE8">
      <w:pPr>
        <w:rPr>
          <w:rFonts w:asciiTheme="majorHAnsi" w:hAnsiTheme="majorHAnsi" w:cstheme="majorHAnsi"/>
        </w:rPr>
        <w:sectPr w:rsidR="00865CE8" w:rsidRPr="0001370D" w:rsidSect="00521AF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cols w:space="720"/>
          <w:titlePg/>
          <w:docGrid w:linePitch="360"/>
        </w:sectPr>
      </w:pPr>
    </w:p>
    <w:p w:rsidR="00865CE8" w:rsidRPr="0001370D" w:rsidRDefault="00865CE8" w:rsidP="00865CE8">
      <w:pPr>
        <w:pStyle w:val="APDTABLEHeadingForm"/>
        <w:rPr>
          <w:rFonts w:asciiTheme="majorHAnsi" w:hAnsiTheme="majorHAnsi" w:cstheme="majorHAnsi"/>
        </w:rPr>
      </w:pPr>
      <w:r w:rsidRPr="0001370D">
        <w:rPr>
          <w:rFonts w:asciiTheme="majorHAnsi" w:hAnsiTheme="majorHAnsi" w:cstheme="majorHAnsi"/>
        </w:rPr>
        <w:lastRenderedPageBreak/>
        <w:t>Texas Commission on Environmental Quality</w:t>
      </w:r>
    </w:p>
    <w:p w:rsidR="00865CE8" w:rsidRPr="0001370D" w:rsidRDefault="00865CE8" w:rsidP="00865CE8">
      <w:pPr>
        <w:pStyle w:val="APDTABLEHeadingForm"/>
        <w:rPr>
          <w:rFonts w:asciiTheme="majorHAnsi" w:hAnsiTheme="majorHAnsi" w:cstheme="majorHAnsi"/>
        </w:rPr>
      </w:pPr>
      <w:r w:rsidRPr="0001370D">
        <w:rPr>
          <w:rFonts w:asciiTheme="majorHAnsi" w:hAnsiTheme="majorHAnsi" w:cstheme="majorHAnsi"/>
        </w:rPr>
        <w:t>Electroplating and Anodizing Unit Attributes</w:t>
      </w:r>
    </w:p>
    <w:p w:rsidR="00865CE8" w:rsidRPr="0001370D" w:rsidRDefault="00865CE8" w:rsidP="00865CE8">
      <w:pPr>
        <w:pStyle w:val="APDTABLEHeadingForm"/>
        <w:rPr>
          <w:rFonts w:asciiTheme="majorHAnsi" w:hAnsiTheme="majorHAnsi" w:cstheme="majorHAnsi"/>
        </w:rPr>
      </w:pPr>
      <w:r w:rsidRPr="0001370D">
        <w:rPr>
          <w:rFonts w:asciiTheme="majorHAnsi" w:hAnsiTheme="majorHAnsi" w:cstheme="majorHAnsi"/>
        </w:rPr>
        <w:t>Form OP-UA26 (Page 1)</w:t>
      </w:r>
    </w:p>
    <w:p w:rsidR="00865CE8" w:rsidRPr="0001370D" w:rsidRDefault="00865CE8" w:rsidP="00865CE8">
      <w:pPr>
        <w:pStyle w:val="APDTABLEHeadingForm"/>
        <w:rPr>
          <w:rFonts w:asciiTheme="majorHAnsi" w:hAnsiTheme="majorHAnsi" w:cstheme="majorHAnsi"/>
        </w:rPr>
      </w:pPr>
      <w:r w:rsidRPr="0001370D">
        <w:rPr>
          <w:rFonts w:asciiTheme="majorHAnsi" w:hAnsiTheme="majorHAnsi" w:cstheme="majorHAnsi"/>
        </w:rPr>
        <w:t>Federal Operating Permit Program</w:t>
      </w:r>
    </w:p>
    <w:p w:rsidR="00865CE8" w:rsidRPr="0001370D" w:rsidRDefault="00865CE8" w:rsidP="00865CE8">
      <w:pPr>
        <w:pStyle w:val="APDTABLEHeadingForm"/>
        <w:rPr>
          <w:rFonts w:asciiTheme="majorHAnsi" w:hAnsiTheme="majorHAnsi" w:cstheme="majorHAnsi"/>
        </w:rPr>
      </w:pPr>
      <w:bookmarkStart w:id="4" w:name="TBL1a"/>
      <w:r w:rsidRPr="0001370D">
        <w:rPr>
          <w:rFonts w:asciiTheme="majorHAnsi" w:hAnsiTheme="majorHAnsi" w:cstheme="majorHAnsi"/>
        </w:rPr>
        <w:t>Table 1a</w:t>
      </w:r>
      <w:bookmarkEnd w:id="4"/>
      <w:r w:rsidRPr="0001370D">
        <w:rPr>
          <w:rFonts w:asciiTheme="majorHAnsi" w:hAnsiTheme="majorHAnsi" w:cstheme="majorHAnsi"/>
        </w:rPr>
        <w:t>: Title 40 Code of Federal Regulations Part 63 (40 CFR Part 63)</w:t>
      </w:r>
    </w:p>
    <w:p w:rsidR="00865CE8" w:rsidRPr="0001370D" w:rsidRDefault="00865CE8" w:rsidP="00865CE8">
      <w:pPr>
        <w:pStyle w:val="APDTABLEHeadingForm"/>
        <w:rPr>
          <w:rFonts w:asciiTheme="majorHAnsi" w:hAnsiTheme="majorHAnsi" w:cstheme="majorHAnsi"/>
        </w:rPr>
      </w:pPr>
      <w:r w:rsidRPr="0001370D">
        <w:rPr>
          <w:rFonts w:asciiTheme="majorHAnsi" w:hAnsiTheme="majorHAnsi" w:cstheme="majorHAnsi"/>
        </w:rPr>
        <w:t xml:space="preserve">Subpart N: National Emission Standards for Chromium Emissions from Hard and </w:t>
      </w:r>
    </w:p>
    <w:p w:rsidR="00865CE8" w:rsidRPr="0001370D" w:rsidRDefault="00865CE8" w:rsidP="00865CE8">
      <w:pPr>
        <w:pStyle w:val="APDTABLEHeadingForm"/>
        <w:rPr>
          <w:rFonts w:asciiTheme="majorHAnsi" w:hAnsiTheme="majorHAnsi" w:cstheme="majorHAnsi"/>
        </w:rPr>
      </w:pPr>
      <w:r w:rsidRPr="0001370D">
        <w:rPr>
          <w:rFonts w:asciiTheme="majorHAnsi" w:hAnsiTheme="majorHAnsi" w:cstheme="majorHAnsi"/>
        </w:rPr>
        <w:t>Decorative Chromium Electroplating and Chromium Anodizing Tanks</w:t>
      </w:r>
    </w:p>
    <w:p w:rsidR="00F2413D" w:rsidRPr="001365C8" w:rsidRDefault="00F2413D" w:rsidP="00F2413D">
      <w:pPr>
        <w:spacing w:before="360"/>
      </w:pPr>
      <w:bookmarkStart w:id="5" w:name="_Hlk4418390"/>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F2413D" w:rsidTr="001E5F91">
        <w:trPr>
          <w:cantSplit/>
          <w:tblHeader/>
          <w:jc w:val="center"/>
        </w:trPr>
        <w:tc>
          <w:tcPr>
            <w:tcW w:w="7201" w:type="dxa"/>
            <w:shd w:val="clear" w:color="auto" w:fill="D9D9D9" w:themeFill="background1" w:themeFillShade="D9"/>
            <w:vAlign w:val="center"/>
          </w:tcPr>
          <w:p w:rsidR="00F2413D" w:rsidRPr="00361728" w:rsidRDefault="00F2413D" w:rsidP="001E5F91">
            <w:pPr>
              <w:pStyle w:val="APDTABLE1"/>
            </w:pPr>
            <w:r w:rsidRPr="00361728">
              <w:t>Date:</w:t>
            </w:r>
          </w:p>
        </w:tc>
        <w:tc>
          <w:tcPr>
            <w:tcW w:w="7199" w:type="dxa"/>
            <w:vAlign w:val="center"/>
          </w:tcPr>
          <w:p w:rsidR="00F2413D" w:rsidRDefault="00F2413D" w:rsidP="001E5F91">
            <w:pPr>
              <w:pStyle w:val="APDTABLE1"/>
            </w:pPr>
          </w:p>
        </w:tc>
      </w:tr>
      <w:tr w:rsidR="00F2413D" w:rsidTr="001E5F91">
        <w:trPr>
          <w:cantSplit/>
          <w:tblHeader/>
          <w:jc w:val="center"/>
        </w:trPr>
        <w:tc>
          <w:tcPr>
            <w:tcW w:w="7201" w:type="dxa"/>
            <w:shd w:val="clear" w:color="auto" w:fill="D9D9D9" w:themeFill="background1" w:themeFillShade="D9"/>
            <w:vAlign w:val="center"/>
          </w:tcPr>
          <w:p w:rsidR="00F2413D" w:rsidRPr="00361728" w:rsidRDefault="00F2413D" w:rsidP="001E5F91">
            <w:pPr>
              <w:pStyle w:val="APDTABLE1"/>
            </w:pPr>
            <w:r w:rsidRPr="00361728">
              <w:t>Permit No.:</w:t>
            </w:r>
          </w:p>
        </w:tc>
        <w:tc>
          <w:tcPr>
            <w:tcW w:w="7199" w:type="dxa"/>
            <w:vAlign w:val="center"/>
          </w:tcPr>
          <w:p w:rsidR="00F2413D" w:rsidRDefault="00F2413D" w:rsidP="001E5F91">
            <w:pPr>
              <w:pStyle w:val="APDTABLE1"/>
            </w:pPr>
          </w:p>
        </w:tc>
      </w:tr>
      <w:tr w:rsidR="00F2413D" w:rsidTr="001E5F91">
        <w:trPr>
          <w:cantSplit/>
          <w:tblHeader/>
          <w:jc w:val="center"/>
        </w:trPr>
        <w:tc>
          <w:tcPr>
            <w:tcW w:w="7201" w:type="dxa"/>
            <w:shd w:val="clear" w:color="auto" w:fill="D9D9D9" w:themeFill="background1" w:themeFillShade="D9"/>
            <w:vAlign w:val="center"/>
          </w:tcPr>
          <w:p w:rsidR="00F2413D" w:rsidRPr="00361728" w:rsidRDefault="00F2413D" w:rsidP="001E5F91">
            <w:pPr>
              <w:pStyle w:val="APDTABLE1"/>
            </w:pPr>
            <w:r w:rsidRPr="00361728">
              <w:t>Regulated Entity No.:</w:t>
            </w:r>
          </w:p>
        </w:tc>
        <w:tc>
          <w:tcPr>
            <w:tcW w:w="7199" w:type="dxa"/>
            <w:vAlign w:val="center"/>
          </w:tcPr>
          <w:p w:rsidR="00F2413D" w:rsidRDefault="00F2413D" w:rsidP="001E5F91">
            <w:pPr>
              <w:pStyle w:val="APDTABLE1"/>
            </w:pPr>
          </w:p>
        </w:tc>
      </w:tr>
      <w:bookmarkEnd w:id="5"/>
    </w:tbl>
    <w:p w:rsidR="00865CE8" w:rsidRPr="0001370D" w:rsidRDefault="00865CE8" w:rsidP="00865CE8">
      <w:pPr>
        <w:spacing w:after="0"/>
        <w:rPr>
          <w:rFonts w:asciiTheme="majorHAnsi" w:hAnsiTheme="majorHAnsi" w:cstheme="majorHAnsi"/>
          <w:sz w:val="18"/>
        </w:rPr>
      </w:pPr>
    </w:p>
    <w:tbl>
      <w:tblPr>
        <w:tblW w:w="144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top w:w="58" w:type="dxa"/>
          <w:left w:w="58" w:type="dxa"/>
          <w:bottom w:w="58" w:type="dxa"/>
          <w:right w:w="58" w:type="dxa"/>
        </w:tblCellMar>
        <w:tblLook w:val="00A0" w:firstRow="1" w:lastRow="0" w:firstColumn="1" w:lastColumn="0" w:noHBand="0" w:noVBand="0"/>
        <w:tblDescription w:val="Table details"/>
      </w:tblPr>
      <w:tblGrid>
        <w:gridCol w:w="1553"/>
        <w:gridCol w:w="1934"/>
        <w:gridCol w:w="1710"/>
        <w:gridCol w:w="1260"/>
        <w:gridCol w:w="1080"/>
        <w:gridCol w:w="1194"/>
        <w:gridCol w:w="1053"/>
        <w:gridCol w:w="1512"/>
        <w:gridCol w:w="1944"/>
        <w:gridCol w:w="1160"/>
      </w:tblGrid>
      <w:tr w:rsidR="00865CE8" w:rsidRPr="0001370D" w:rsidTr="00492136">
        <w:trPr>
          <w:cantSplit/>
          <w:trHeight w:val="629"/>
          <w:tblHeader/>
          <w:jc w:val="center"/>
        </w:trPr>
        <w:tc>
          <w:tcPr>
            <w:tcW w:w="1553"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Unit ID No.</w:t>
            </w:r>
          </w:p>
        </w:tc>
        <w:tc>
          <w:tcPr>
            <w:tcW w:w="1934"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SOP Index No.</w:t>
            </w:r>
          </w:p>
        </w:tc>
        <w:tc>
          <w:tcPr>
            <w:tcW w:w="1710"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Research and Lab Operations</w:t>
            </w:r>
          </w:p>
        </w:tc>
        <w:tc>
          <w:tcPr>
            <w:tcW w:w="1260"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Tank Type</w:t>
            </w:r>
          </w:p>
        </w:tc>
        <w:tc>
          <w:tcPr>
            <w:tcW w:w="1080"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Enclosed Tank</w:t>
            </w:r>
          </w:p>
        </w:tc>
        <w:tc>
          <w:tcPr>
            <w:tcW w:w="1194"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Existing Source</w:t>
            </w:r>
          </w:p>
        </w:tc>
        <w:tc>
          <w:tcPr>
            <w:tcW w:w="1053"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Mass Rate</w:t>
            </w:r>
          </w:p>
        </w:tc>
        <w:tc>
          <w:tcPr>
            <w:tcW w:w="1512"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Trivalent Chromium Bath</w:t>
            </w:r>
          </w:p>
        </w:tc>
        <w:tc>
          <w:tcPr>
            <w:tcW w:w="1944"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Chemical Fume Suppressant Using a Wetting Agent</w:t>
            </w:r>
          </w:p>
        </w:tc>
        <w:tc>
          <w:tcPr>
            <w:tcW w:w="1160" w:type="dxa"/>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Rectifier Capacity</w:t>
            </w: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r w:rsidR="00865CE8" w:rsidRPr="0001370D" w:rsidTr="00492136">
        <w:trPr>
          <w:cantSplit/>
          <w:trHeight w:val="288"/>
          <w:tblHeader/>
          <w:jc w:val="center"/>
        </w:trPr>
        <w:tc>
          <w:tcPr>
            <w:tcW w:w="1553" w:type="dxa"/>
            <w:vAlign w:val="center"/>
          </w:tcPr>
          <w:p w:rsidR="00865CE8" w:rsidRPr="0001370D" w:rsidRDefault="00865CE8" w:rsidP="00521AF2">
            <w:pPr>
              <w:pStyle w:val="APDTable2LOWERForm"/>
              <w:rPr>
                <w:rFonts w:asciiTheme="majorHAnsi" w:hAnsiTheme="majorHAnsi" w:cstheme="majorHAnsi"/>
              </w:rPr>
            </w:pPr>
          </w:p>
        </w:tc>
        <w:tc>
          <w:tcPr>
            <w:tcW w:w="1934" w:type="dxa"/>
            <w:vAlign w:val="center"/>
          </w:tcPr>
          <w:p w:rsidR="00865CE8" w:rsidRPr="0001370D" w:rsidRDefault="00865CE8" w:rsidP="00521AF2">
            <w:pPr>
              <w:pStyle w:val="APDTable2LOWERForm"/>
              <w:rPr>
                <w:rFonts w:asciiTheme="majorHAnsi" w:hAnsiTheme="majorHAnsi" w:cstheme="majorHAnsi"/>
              </w:rPr>
            </w:pPr>
          </w:p>
        </w:tc>
        <w:tc>
          <w:tcPr>
            <w:tcW w:w="1710" w:type="dxa"/>
            <w:vAlign w:val="center"/>
          </w:tcPr>
          <w:p w:rsidR="00865CE8" w:rsidRPr="0001370D" w:rsidRDefault="00865CE8" w:rsidP="00521AF2">
            <w:pPr>
              <w:pStyle w:val="APDTable2LOWERForm"/>
              <w:rPr>
                <w:rFonts w:asciiTheme="majorHAnsi" w:hAnsiTheme="majorHAnsi" w:cstheme="majorHAnsi"/>
              </w:rPr>
            </w:pPr>
          </w:p>
        </w:tc>
        <w:tc>
          <w:tcPr>
            <w:tcW w:w="1260" w:type="dxa"/>
            <w:vAlign w:val="center"/>
          </w:tcPr>
          <w:p w:rsidR="00865CE8" w:rsidRPr="0001370D" w:rsidRDefault="00865CE8" w:rsidP="00521AF2">
            <w:pPr>
              <w:pStyle w:val="APDTable2LOWERForm"/>
              <w:rPr>
                <w:rFonts w:asciiTheme="majorHAnsi" w:hAnsiTheme="majorHAnsi" w:cstheme="majorHAnsi"/>
              </w:rPr>
            </w:pPr>
          </w:p>
        </w:tc>
        <w:tc>
          <w:tcPr>
            <w:tcW w:w="1080" w:type="dxa"/>
            <w:vAlign w:val="center"/>
          </w:tcPr>
          <w:p w:rsidR="00865CE8" w:rsidRPr="0001370D" w:rsidRDefault="00865CE8" w:rsidP="00521AF2">
            <w:pPr>
              <w:pStyle w:val="APDTable2LOWERForm"/>
              <w:rPr>
                <w:rFonts w:asciiTheme="majorHAnsi" w:hAnsiTheme="majorHAnsi" w:cstheme="majorHAnsi"/>
              </w:rPr>
            </w:pPr>
          </w:p>
        </w:tc>
        <w:tc>
          <w:tcPr>
            <w:tcW w:w="1194" w:type="dxa"/>
            <w:vAlign w:val="center"/>
          </w:tcPr>
          <w:p w:rsidR="00865CE8" w:rsidRPr="0001370D" w:rsidRDefault="00865CE8" w:rsidP="00521AF2">
            <w:pPr>
              <w:pStyle w:val="APDTable2LOWERForm"/>
              <w:rPr>
                <w:rFonts w:asciiTheme="majorHAnsi" w:hAnsiTheme="majorHAnsi" w:cstheme="majorHAnsi"/>
              </w:rPr>
            </w:pPr>
          </w:p>
        </w:tc>
        <w:tc>
          <w:tcPr>
            <w:tcW w:w="1053" w:type="dxa"/>
            <w:vAlign w:val="center"/>
          </w:tcPr>
          <w:p w:rsidR="00865CE8" w:rsidRPr="0001370D" w:rsidRDefault="00865CE8" w:rsidP="00521AF2">
            <w:pPr>
              <w:pStyle w:val="APDTable2LOWERForm"/>
              <w:rPr>
                <w:rFonts w:asciiTheme="majorHAnsi" w:hAnsiTheme="majorHAnsi" w:cstheme="majorHAnsi"/>
              </w:rPr>
            </w:pPr>
          </w:p>
        </w:tc>
        <w:tc>
          <w:tcPr>
            <w:tcW w:w="1512" w:type="dxa"/>
            <w:vAlign w:val="center"/>
          </w:tcPr>
          <w:p w:rsidR="00865CE8" w:rsidRPr="0001370D" w:rsidRDefault="00865CE8" w:rsidP="00521AF2">
            <w:pPr>
              <w:pStyle w:val="APDTable2LOWERForm"/>
              <w:rPr>
                <w:rFonts w:asciiTheme="majorHAnsi" w:hAnsiTheme="majorHAnsi" w:cstheme="majorHAnsi"/>
              </w:rPr>
            </w:pPr>
          </w:p>
        </w:tc>
        <w:tc>
          <w:tcPr>
            <w:tcW w:w="1944" w:type="dxa"/>
            <w:vAlign w:val="center"/>
          </w:tcPr>
          <w:p w:rsidR="00865CE8" w:rsidRPr="0001370D" w:rsidRDefault="00865CE8" w:rsidP="00521AF2">
            <w:pPr>
              <w:pStyle w:val="APDTable2LOWERForm"/>
              <w:rPr>
                <w:rFonts w:asciiTheme="majorHAnsi" w:hAnsiTheme="majorHAnsi" w:cstheme="majorHAnsi"/>
              </w:rPr>
            </w:pPr>
          </w:p>
        </w:tc>
        <w:tc>
          <w:tcPr>
            <w:tcW w:w="1160" w:type="dxa"/>
            <w:vAlign w:val="center"/>
          </w:tcPr>
          <w:p w:rsidR="00865CE8" w:rsidRPr="0001370D" w:rsidRDefault="00865CE8" w:rsidP="00521AF2">
            <w:pPr>
              <w:pStyle w:val="APDTable2LOWERForm"/>
              <w:rPr>
                <w:rFonts w:asciiTheme="majorHAnsi" w:hAnsiTheme="majorHAnsi" w:cstheme="majorHAnsi"/>
              </w:rPr>
            </w:pPr>
          </w:p>
        </w:tc>
      </w:tr>
    </w:tbl>
    <w:p w:rsidR="00245DD6" w:rsidRPr="0001370D" w:rsidRDefault="00245DD6" w:rsidP="00245DD6">
      <w:pPr>
        <w:pStyle w:val="APDTABLEHeadingForm"/>
        <w:rPr>
          <w:rFonts w:asciiTheme="majorHAnsi" w:hAnsiTheme="majorHAnsi" w:cstheme="majorHAnsi"/>
        </w:rPr>
      </w:pPr>
      <w:r w:rsidRPr="0001370D">
        <w:rPr>
          <w:rFonts w:asciiTheme="majorHAnsi" w:hAnsiTheme="majorHAnsi" w:cstheme="majorHAnsi"/>
        </w:rPr>
        <w:br w:type="page"/>
      </w:r>
    </w:p>
    <w:p w:rsidR="00865CE8" w:rsidRPr="0001370D" w:rsidRDefault="00865CE8" w:rsidP="00245DD6">
      <w:pPr>
        <w:pStyle w:val="APDTABLEHeadingForm"/>
        <w:rPr>
          <w:rFonts w:asciiTheme="majorHAnsi" w:hAnsiTheme="majorHAnsi" w:cstheme="majorHAnsi"/>
        </w:rPr>
      </w:pPr>
      <w:r w:rsidRPr="0001370D">
        <w:rPr>
          <w:rFonts w:asciiTheme="majorHAnsi" w:hAnsiTheme="majorHAnsi" w:cstheme="majorHAnsi"/>
        </w:rPr>
        <w:lastRenderedPageBreak/>
        <w:t>Texas Commission on Environmental Quality</w:t>
      </w:r>
    </w:p>
    <w:p w:rsidR="00865CE8" w:rsidRPr="0001370D" w:rsidRDefault="00865CE8" w:rsidP="00245DD6">
      <w:pPr>
        <w:pStyle w:val="APDTABLEHeadingForm"/>
        <w:rPr>
          <w:rFonts w:asciiTheme="majorHAnsi" w:hAnsiTheme="majorHAnsi" w:cstheme="majorHAnsi"/>
        </w:rPr>
      </w:pPr>
      <w:r w:rsidRPr="0001370D">
        <w:rPr>
          <w:rFonts w:asciiTheme="majorHAnsi" w:hAnsiTheme="majorHAnsi" w:cstheme="majorHAnsi"/>
        </w:rPr>
        <w:t>Electroplating and Anodizing Unit Attributes</w:t>
      </w:r>
    </w:p>
    <w:p w:rsidR="00865CE8" w:rsidRPr="0001370D" w:rsidRDefault="00865CE8" w:rsidP="00245DD6">
      <w:pPr>
        <w:pStyle w:val="APDTABLEHeadingForm"/>
        <w:rPr>
          <w:rFonts w:asciiTheme="majorHAnsi" w:hAnsiTheme="majorHAnsi" w:cstheme="majorHAnsi"/>
        </w:rPr>
      </w:pPr>
      <w:r w:rsidRPr="0001370D">
        <w:rPr>
          <w:rFonts w:asciiTheme="majorHAnsi" w:hAnsiTheme="majorHAnsi" w:cstheme="majorHAnsi"/>
        </w:rPr>
        <w:t>Form OP-UA26 (Page 2)</w:t>
      </w:r>
    </w:p>
    <w:p w:rsidR="00865CE8" w:rsidRPr="0001370D" w:rsidRDefault="00865CE8" w:rsidP="00245DD6">
      <w:pPr>
        <w:pStyle w:val="APDTABLEHeadingForm"/>
        <w:rPr>
          <w:rFonts w:asciiTheme="majorHAnsi" w:hAnsiTheme="majorHAnsi" w:cstheme="majorHAnsi"/>
        </w:rPr>
      </w:pPr>
      <w:r w:rsidRPr="0001370D">
        <w:rPr>
          <w:rFonts w:asciiTheme="majorHAnsi" w:hAnsiTheme="majorHAnsi" w:cstheme="majorHAnsi"/>
        </w:rPr>
        <w:t>Federal Operating Permit Program</w:t>
      </w:r>
    </w:p>
    <w:p w:rsidR="00865CE8" w:rsidRPr="0001370D" w:rsidRDefault="00865CE8" w:rsidP="00245DD6">
      <w:pPr>
        <w:pStyle w:val="APDTABLEHeadingForm"/>
        <w:rPr>
          <w:rFonts w:asciiTheme="majorHAnsi" w:hAnsiTheme="majorHAnsi" w:cstheme="majorHAnsi"/>
        </w:rPr>
      </w:pPr>
      <w:bookmarkStart w:id="6" w:name="TBL1b"/>
      <w:r w:rsidRPr="0001370D">
        <w:rPr>
          <w:rFonts w:asciiTheme="majorHAnsi" w:hAnsiTheme="majorHAnsi" w:cstheme="majorHAnsi"/>
        </w:rPr>
        <w:t>Table 1b</w:t>
      </w:r>
      <w:bookmarkEnd w:id="6"/>
      <w:r w:rsidRPr="0001370D">
        <w:rPr>
          <w:rFonts w:asciiTheme="majorHAnsi" w:hAnsiTheme="majorHAnsi" w:cstheme="majorHAnsi"/>
        </w:rPr>
        <w:t>: Title 40 Code of Federal Regulations Part 63 (40 CFR Part 63)</w:t>
      </w:r>
    </w:p>
    <w:p w:rsidR="00865CE8" w:rsidRPr="0001370D" w:rsidRDefault="00865CE8" w:rsidP="00245DD6">
      <w:pPr>
        <w:pStyle w:val="APDTABLEHeadingForm"/>
        <w:rPr>
          <w:rFonts w:asciiTheme="majorHAnsi" w:hAnsiTheme="majorHAnsi" w:cstheme="majorHAnsi"/>
        </w:rPr>
      </w:pPr>
      <w:r w:rsidRPr="0001370D">
        <w:rPr>
          <w:rFonts w:asciiTheme="majorHAnsi" w:hAnsiTheme="majorHAnsi" w:cstheme="majorHAnsi"/>
        </w:rPr>
        <w:t>Subpart N: National Emission Standards for Chromium Emissions</w:t>
      </w:r>
    </w:p>
    <w:p w:rsidR="00865CE8" w:rsidRPr="0001370D" w:rsidRDefault="00865CE8" w:rsidP="00245DD6">
      <w:pPr>
        <w:pStyle w:val="APDTABLEHeadingForm"/>
        <w:rPr>
          <w:rFonts w:asciiTheme="majorHAnsi" w:hAnsiTheme="majorHAnsi" w:cstheme="majorHAnsi"/>
        </w:rPr>
      </w:pPr>
      <w:r w:rsidRPr="0001370D">
        <w:rPr>
          <w:rFonts w:asciiTheme="majorHAnsi" w:hAnsiTheme="majorHAnsi" w:cstheme="majorHAnsi"/>
        </w:rPr>
        <w:t>From Hard and Decorative Chromium Electroplating and Chromium Anodizing Tanks</w:t>
      </w:r>
    </w:p>
    <w:p w:rsidR="005B79C3" w:rsidRPr="001365C8" w:rsidRDefault="005B79C3" w:rsidP="005B79C3">
      <w:pPr>
        <w:spacing w:before="360"/>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5B79C3" w:rsidTr="001E5F91">
        <w:trPr>
          <w:cantSplit/>
          <w:tblHeader/>
          <w:jc w:val="center"/>
        </w:trPr>
        <w:tc>
          <w:tcPr>
            <w:tcW w:w="7201" w:type="dxa"/>
            <w:shd w:val="clear" w:color="auto" w:fill="D9D9D9" w:themeFill="background1" w:themeFillShade="D9"/>
            <w:vAlign w:val="center"/>
          </w:tcPr>
          <w:p w:rsidR="005B79C3" w:rsidRPr="00361728" w:rsidRDefault="005B79C3" w:rsidP="001E5F91">
            <w:pPr>
              <w:pStyle w:val="APDTABLE1"/>
            </w:pPr>
            <w:r w:rsidRPr="00361728">
              <w:t>Date:</w:t>
            </w:r>
          </w:p>
        </w:tc>
        <w:tc>
          <w:tcPr>
            <w:tcW w:w="7199" w:type="dxa"/>
            <w:vAlign w:val="center"/>
          </w:tcPr>
          <w:p w:rsidR="005B79C3" w:rsidRDefault="005B79C3" w:rsidP="001E5F91">
            <w:pPr>
              <w:pStyle w:val="APDTABLE1"/>
            </w:pPr>
          </w:p>
        </w:tc>
      </w:tr>
      <w:tr w:rsidR="005B79C3" w:rsidTr="001E5F91">
        <w:trPr>
          <w:cantSplit/>
          <w:tblHeader/>
          <w:jc w:val="center"/>
        </w:trPr>
        <w:tc>
          <w:tcPr>
            <w:tcW w:w="7201" w:type="dxa"/>
            <w:shd w:val="clear" w:color="auto" w:fill="D9D9D9" w:themeFill="background1" w:themeFillShade="D9"/>
            <w:vAlign w:val="center"/>
          </w:tcPr>
          <w:p w:rsidR="005B79C3" w:rsidRPr="00361728" w:rsidRDefault="005B79C3" w:rsidP="001E5F91">
            <w:pPr>
              <w:pStyle w:val="APDTABLE1"/>
            </w:pPr>
            <w:r w:rsidRPr="00361728">
              <w:t>Permit No.:</w:t>
            </w:r>
          </w:p>
        </w:tc>
        <w:tc>
          <w:tcPr>
            <w:tcW w:w="7199" w:type="dxa"/>
            <w:vAlign w:val="center"/>
          </w:tcPr>
          <w:p w:rsidR="005B79C3" w:rsidRDefault="005B79C3" w:rsidP="001E5F91">
            <w:pPr>
              <w:pStyle w:val="APDTABLE1"/>
            </w:pPr>
          </w:p>
        </w:tc>
      </w:tr>
      <w:tr w:rsidR="005B79C3" w:rsidTr="001E5F91">
        <w:trPr>
          <w:cantSplit/>
          <w:tblHeader/>
          <w:jc w:val="center"/>
        </w:trPr>
        <w:tc>
          <w:tcPr>
            <w:tcW w:w="7201" w:type="dxa"/>
            <w:shd w:val="clear" w:color="auto" w:fill="D9D9D9" w:themeFill="background1" w:themeFillShade="D9"/>
            <w:vAlign w:val="center"/>
          </w:tcPr>
          <w:p w:rsidR="005B79C3" w:rsidRPr="00361728" w:rsidRDefault="005B79C3" w:rsidP="001E5F91">
            <w:pPr>
              <w:pStyle w:val="APDTABLE1"/>
            </w:pPr>
            <w:r w:rsidRPr="00361728">
              <w:t>Regulated Entity No.:</w:t>
            </w:r>
          </w:p>
        </w:tc>
        <w:tc>
          <w:tcPr>
            <w:tcW w:w="7199" w:type="dxa"/>
            <w:vAlign w:val="center"/>
          </w:tcPr>
          <w:p w:rsidR="005B79C3" w:rsidRDefault="005B79C3" w:rsidP="001E5F91">
            <w:pPr>
              <w:pStyle w:val="APDTABLE1"/>
            </w:pPr>
          </w:p>
        </w:tc>
      </w:tr>
    </w:tbl>
    <w:p w:rsidR="00865CE8" w:rsidRPr="0001370D" w:rsidRDefault="00865CE8" w:rsidP="00865CE8">
      <w:pPr>
        <w:spacing w:after="0"/>
        <w:rPr>
          <w:rFonts w:asciiTheme="majorHAnsi" w:hAnsiTheme="majorHAnsi" w:cstheme="majorHAnsi"/>
          <w:sz w:val="18"/>
          <w:szCs w:val="18"/>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A0" w:firstRow="1" w:lastRow="0" w:firstColumn="1" w:lastColumn="0" w:noHBand="0" w:noVBand="0"/>
        <w:tblCaption w:val="Table details"/>
        <w:tblDescription w:val="Table details"/>
      </w:tblPr>
      <w:tblGrid>
        <w:gridCol w:w="1417"/>
        <w:gridCol w:w="1889"/>
        <w:gridCol w:w="1584"/>
        <w:gridCol w:w="1849"/>
        <w:gridCol w:w="1696"/>
        <w:gridCol w:w="1915"/>
        <w:gridCol w:w="1233"/>
        <w:gridCol w:w="1495"/>
        <w:gridCol w:w="1322"/>
      </w:tblGrid>
      <w:tr w:rsidR="00865CE8" w:rsidRPr="0001370D" w:rsidTr="00492136">
        <w:trPr>
          <w:cantSplit/>
          <w:trHeight w:val="683"/>
          <w:tblHeader/>
          <w:jc w:val="center"/>
        </w:trPr>
        <w:tc>
          <w:tcPr>
            <w:tcW w:w="492"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Unit ID No.</w:t>
            </w:r>
          </w:p>
        </w:tc>
        <w:tc>
          <w:tcPr>
            <w:tcW w:w="656"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SOP Index No.</w:t>
            </w:r>
          </w:p>
        </w:tc>
        <w:tc>
          <w:tcPr>
            <w:tcW w:w="550"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Control Technique</w:t>
            </w:r>
          </w:p>
        </w:tc>
        <w:tc>
          <w:tcPr>
            <w:tcW w:w="642"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Control Device ID No.</w:t>
            </w:r>
          </w:p>
        </w:tc>
        <w:tc>
          <w:tcPr>
            <w:tcW w:w="589"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Alternate Method Monitoring (AMM)</w:t>
            </w:r>
          </w:p>
        </w:tc>
        <w:tc>
          <w:tcPr>
            <w:tcW w:w="665"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AMM ID No.</w:t>
            </w:r>
          </w:p>
        </w:tc>
        <w:tc>
          <w:tcPr>
            <w:tcW w:w="428"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Common Add-on Control</w:t>
            </w:r>
          </w:p>
        </w:tc>
        <w:tc>
          <w:tcPr>
            <w:tcW w:w="519"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Different Emission Limitations</w:t>
            </w:r>
          </w:p>
        </w:tc>
        <w:tc>
          <w:tcPr>
            <w:tcW w:w="459" w:type="pct"/>
            <w:shd w:val="clear" w:color="auto" w:fill="D9D9D9" w:themeFill="background1" w:themeFillShade="D9"/>
            <w:vAlign w:val="center"/>
          </w:tcPr>
          <w:p w:rsidR="00865CE8" w:rsidRPr="0001370D" w:rsidRDefault="00865CE8" w:rsidP="008E4339">
            <w:pPr>
              <w:pStyle w:val="APDTABLE2Form"/>
              <w:jc w:val="center"/>
              <w:rPr>
                <w:rFonts w:asciiTheme="majorHAnsi" w:hAnsiTheme="majorHAnsi" w:cstheme="majorHAnsi"/>
              </w:rPr>
            </w:pPr>
            <w:r w:rsidRPr="0001370D">
              <w:rPr>
                <w:rFonts w:asciiTheme="majorHAnsi" w:hAnsiTheme="majorHAnsi" w:cstheme="majorHAnsi"/>
              </w:rPr>
              <w:t>Same Emission Limitations</w:t>
            </w: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r w:rsidR="00865CE8" w:rsidRPr="0001370D" w:rsidTr="00492136">
        <w:trPr>
          <w:cantSplit/>
          <w:trHeight w:val="317"/>
          <w:tblHeader/>
          <w:jc w:val="center"/>
        </w:trPr>
        <w:tc>
          <w:tcPr>
            <w:tcW w:w="492" w:type="pct"/>
            <w:vAlign w:val="center"/>
          </w:tcPr>
          <w:p w:rsidR="00865CE8" w:rsidRPr="0001370D" w:rsidRDefault="00865CE8" w:rsidP="00326ADB">
            <w:pPr>
              <w:pStyle w:val="APDTable2LOWERForm"/>
              <w:rPr>
                <w:rFonts w:asciiTheme="majorHAnsi" w:hAnsiTheme="majorHAnsi" w:cstheme="majorHAnsi"/>
              </w:rPr>
            </w:pPr>
          </w:p>
        </w:tc>
        <w:tc>
          <w:tcPr>
            <w:tcW w:w="656" w:type="pct"/>
            <w:vAlign w:val="center"/>
          </w:tcPr>
          <w:p w:rsidR="00865CE8" w:rsidRPr="0001370D" w:rsidRDefault="00865CE8" w:rsidP="00326ADB">
            <w:pPr>
              <w:pStyle w:val="APDTable2LOWERForm"/>
              <w:rPr>
                <w:rFonts w:asciiTheme="majorHAnsi" w:hAnsiTheme="majorHAnsi" w:cstheme="majorHAnsi"/>
              </w:rPr>
            </w:pPr>
          </w:p>
        </w:tc>
        <w:tc>
          <w:tcPr>
            <w:tcW w:w="550" w:type="pct"/>
            <w:vAlign w:val="center"/>
          </w:tcPr>
          <w:p w:rsidR="00865CE8" w:rsidRPr="0001370D" w:rsidRDefault="00865CE8" w:rsidP="00326ADB">
            <w:pPr>
              <w:pStyle w:val="APDTable2LOWERForm"/>
              <w:rPr>
                <w:rFonts w:asciiTheme="majorHAnsi" w:hAnsiTheme="majorHAnsi" w:cstheme="majorHAnsi"/>
              </w:rPr>
            </w:pPr>
          </w:p>
        </w:tc>
        <w:tc>
          <w:tcPr>
            <w:tcW w:w="642" w:type="pct"/>
            <w:vAlign w:val="center"/>
          </w:tcPr>
          <w:p w:rsidR="00865CE8" w:rsidRPr="0001370D" w:rsidRDefault="00865CE8" w:rsidP="00326ADB">
            <w:pPr>
              <w:pStyle w:val="APDTable2LOWERForm"/>
              <w:rPr>
                <w:rFonts w:asciiTheme="majorHAnsi" w:hAnsiTheme="majorHAnsi" w:cstheme="majorHAnsi"/>
              </w:rPr>
            </w:pPr>
          </w:p>
        </w:tc>
        <w:tc>
          <w:tcPr>
            <w:tcW w:w="589" w:type="pct"/>
            <w:vAlign w:val="center"/>
          </w:tcPr>
          <w:p w:rsidR="00865CE8" w:rsidRPr="0001370D" w:rsidRDefault="00865CE8" w:rsidP="00326ADB">
            <w:pPr>
              <w:pStyle w:val="APDTable2LOWERForm"/>
              <w:rPr>
                <w:rFonts w:asciiTheme="majorHAnsi" w:hAnsiTheme="majorHAnsi" w:cstheme="majorHAnsi"/>
              </w:rPr>
            </w:pPr>
          </w:p>
        </w:tc>
        <w:tc>
          <w:tcPr>
            <w:tcW w:w="665" w:type="pct"/>
            <w:vAlign w:val="center"/>
          </w:tcPr>
          <w:p w:rsidR="00865CE8" w:rsidRPr="0001370D" w:rsidRDefault="00865CE8" w:rsidP="00326ADB">
            <w:pPr>
              <w:pStyle w:val="APDTable2LOWERForm"/>
              <w:rPr>
                <w:rFonts w:asciiTheme="majorHAnsi" w:hAnsiTheme="majorHAnsi" w:cstheme="majorHAnsi"/>
              </w:rPr>
            </w:pPr>
          </w:p>
        </w:tc>
        <w:tc>
          <w:tcPr>
            <w:tcW w:w="428" w:type="pct"/>
            <w:vAlign w:val="center"/>
          </w:tcPr>
          <w:p w:rsidR="00865CE8" w:rsidRPr="0001370D" w:rsidRDefault="00865CE8" w:rsidP="00326ADB">
            <w:pPr>
              <w:pStyle w:val="APDTable2LOWERForm"/>
              <w:rPr>
                <w:rFonts w:asciiTheme="majorHAnsi" w:hAnsiTheme="majorHAnsi" w:cstheme="majorHAnsi"/>
              </w:rPr>
            </w:pPr>
          </w:p>
        </w:tc>
        <w:tc>
          <w:tcPr>
            <w:tcW w:w="519" w:type="pct"/>
            <w:vAlign w:val="center"/>
          </w:tcPr>
          <w:p w:rsidR="00865CE8" w:rsidRPr="0001370D" w:rsidRDefault="00865CE8" w:rsidP="00326ADB">
            <w:pPr>
              <w:pStyle w:val="APDTable2LOWERForm"/>
              <w:rPr>
                <w:rFonts w:asciiTheme="majorHAnsi" w:hAnsiTheme="majorHAnsi" w:cstheme="majorHAnsi"/>
              </w:rPr>
            </w:pPr>
          </w:p>
        </w:tc>
        <w:tc>
          <w:tcPr>
            <w:tcW w:w="459" w:type="pct"/>
            <w:vAlign w:val="center"/>
          </w:tcPr>
          <w:p w:rsidR="00865CE8" w:rsidRPr="0001370D" w:rsidRDefault="00865CE8" w:rsidP="00326ADB">
            <w:pPr>
              <w:pStyle w:val="APDTable2LOWERForm"/>
              <w:rPr>
                <w:rFonts w:asciiTheme="majorHAnsi" w:hAnsiTheme="majorHAnsi" w:cstheme="majorHAnsi"/>
              </w:rPr>
            </w:pPr>
          </w:p>
        </w:tc>
      </w:tr>
    </w:tbl>
    <w:p w:rsidR="00865CE8" w:rsidRPr="0001370D" w:rsidRDefault="00865CE8" w:rsidP="00521AF2">
      <w:pPr>
        <w:rPr>
          <w:rFonts w:asciiTheme="majorHAnsi" w:hAnsiTheme="majorHAnsi" w:cstheme="majorHAnsi"/>
          <w:sz w:val="2"/>
          <w:szCs w:val="2"/>
        </w:rPr>
      </w:pPr>
    </w:p>
    <w:sectPr w:rsidR="00865CE8" w:rsidRPr="0001370D" w:rsidSect="003B75A5">
      <w:headerReference w:type="default" r:id="rId17"/>
      <w:footerReference w:type="default" r:id="rId18"/>
      <w:headerReference w:type="first" r:id="rId19"/>
      <w:footerReference w:type="first" r:id="rId2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F78" w:rsidRDefault="00E56F78" w:rsidP="00DA0689">
      <w:pPr>
        <w:spacing w:after="0"/>
      </w:pPr>
      <w:r>
        <w:separator/>
      </w:r>
    </w:p>
  </w:endnote>
  <w:endnote w:type="continuationSeparator" w:id="0">
    <w:p w:rsidR="00E56F78" w:rsidRDefault="00E56F78" w:rsidP="00DA0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A5" w:rsidRDefault="003B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A5" w:rsidRPr="002A2FAD" w:rsidRDefault="003B75A5" w:rsidP="003B75A5">
    <w:pPr>
      <w:pStyle w:val="Footer"/>
      <w:tabs>
        <w:tab w:val="right" w:pos="10440"/>
      </w:tabs>
      <w:rPr>
        <w:rFonts w:cs="Times New Roman"/>
      </w:rPr>
    </w:pPr>
    <w:r w:rsidRPr="002A2FAD">
      <w:rPr>
        <w:rFonts w:cs="Times New Roman"/>
      </w:rPr>
      <w:t xml:space="preserve">TCEQ - 10042 (APDG </w:t>
    </w:r>
    <w:r w:rsidR="000E21DB">
      <w:rPr>
        <w:rFonts w:cs="Times New Roman"/>
      </w:rPr>
      <w:t>5754v3</w:t>
    </w:r>
    <w:r w:rsidRPr="002A2FAD">
      <w:rPr>
        <w:rFonts w:cs="Times New Roman"/>
      </w:rPr>
      <w:t>, Revised 0</w:t>
    </w:r>
    <w:r w:rsidR="00AD0459">
      <w:rPr>
        <w:rFonts w:cs="Times New Roman"/>
      </w:rPr>
      <w:t>5</w:t>
    </w:r>
    <w:r w:rsidRPr="002A2FAD">
      <w:rPr>
        <w:rFonts w:cs="Times New Roman"/>
      </w:rPr>
      <w:t xml:space="preserve">/19) OP-UA26 </w:t>
    </w:r>
  </w:p>
  <w:p w:rsidR="003B75A5" w:rsidRPr="002A2FAD" w:rsidRDefault="003B75A5" w:rsidP="003B75A5">
    <w:pPr>
      <w:pStyle w:val="Footer"/>
      <w:tabs>
        <w:tab w:val="right" w:pos="10440"/>
      </w:tabs>
      <w:rPr>
        <w:rFonts w:cs="Times New Roman"/>
      </w:rPr>
    </w:pPr>
    <w:r w:rsidRPr="002A2FAD">
      <w:rPr>
        <w:rFonts w:cs="Times New Roman"/>
      </w:rPr>
      <w:t xml:space="preserve">This form is for use by facilities subject to air quality permit </w:t>
    </w:r>
  </w:p>
  <w:p w:rsidR="00865CE8" w:rsidRPr="003101ED" w:rsidRDefault="003B75A5" w:rsidP="003B75A5">
    <w:pPr>
      <w:pStyle w:val="APDFooterMain"/>
      <w:rPr>
        <w:szCs w:val="16"/>
      </w:rPr>
    </w:pPr>
    <w:r w:rsidRPr="002A2FAD">
      <w:rPr>
        <w:rFonts w:cs="Times New Roman"/>
      </w:rPr>
      <w:t>requirements and may be revised periodically. (Title V Release 04/06)</w:t>
    </w:r>
    <w:r w:rsidR="00865CE8" w:rsidRPr="003101ED">
      <w:rPr>
        <w:bCs/>
        <w:szCs w:val="16"/>
      </w:rPr>
      <w:tab/>
    </w:r>
    <w:r w:rsidR="00865CE8" w:rsidRPr="003101ED">
      <w:rPr>
        <w:szCs w:val="16"/>
      </w:rPr>
      <w:t xml:space="preserve">Page </w:t>
    </w:r>
    <w:r w:rsidR="00865CE8" w:rsidRPr="003101ED">
      <w:rPr>
        <w:szCs w:val="16"/>
      </w:rPr>
      <w:fldChar w:fldCharType="begin"/>
    </w:r>
    <w:r w:rsidR="00865CE8" w:rsidRPr="003101ED">
      <w:rPr>
        <w:szCs w:val="16"/>
      </w:rPr>
      <w:instrText xml:space="preserve"> PAGE </w:instrText>
    </w:r>
    <w:r w:rsidR="00865CE8" w:rsidRPr="003101ED">
      <w:rPr>
        <w:szCs w:val="16"/>
      </w:rPr>
      <w:fldChar w:fldCharType="separate"/>
    </w:r>
    <w:r w:rsidR="00865CE8">
      <w:rPr>
        <w:noProof/>
        <w:szCs w:val="16"/>
      </w:rPr>
      <w:t>5</w:t>
    </w:r>
    <w:r w:rsidR="00865CE8" w:rsidRPr="003101ED">
      <w:rPr>
        <w:szCs w:val="16"/>
      </w:rPr>
      <w:fldChar w:fldCharType="end"/>
    </w:r>
    <w:r w:rsidR="00865CE8" w:rsidRPr="003101ED">
      <w:rPr>
        <w:szCs w:val="16"/>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FAD" w:rsidRPr="002A2FAD" w:rsidRDefault="002A2FAD" w:rsidP="002A2FAD">
    <w:pPr>
      <w:pStyle w:val="Footer"/>
      <w:tabs>
        <w:tab w:val="right" w:pos="10440"/>
      </w:tabs>
      <w:rPr>
        <w:rFonts w:cs="Times New Roman"/>
      </w:rPr>
    </w:pPr>
    <w:bookmarkStart w:id="3" w:name="_Hlk6990478"/>
    <w:r w:rsidRPr="002A2FAD">
      <w:rPr>
        <w:rFonts w:cs="Times New Roman"/>
      </w:rPr>
      <w:t xml:space="preserve">TCEQ - 10042 (APDG </w:t>
    </w:r>
    <w:r w:rsidR="000E21DB">
      <w:rPr>
        <w:rFonts w:cs="Times New Roman"/>
      </w:rPr>
      <w:t>5754v3</w:t>
    </w:r>
    <w:r w:rsidRPr="002A2FAD">
      <w:rPr>
        <w:rFonts w:cs="Times New Roman"/>
      </w:rPr>
      <w:t>, Revised 0</w:t>
    </w:r>
    <w:r w:rsidR="00AD0459">
      <w:rPr>
        <w:rFonts w:cs="Times New Roman"/>
      </w:rPr>
      <w:t>5</w:t>
    </w:r>
    <w:r w:rsidRPr="002A2FAD">
      <w:rPr>
        <w:rFonts w:cs="Times New Roman"/>
      </w:rPr>
      <w:t xml:space="preserve">/19) OP-UA26 </w:t>
    </w:r>
  </w:p>
  <w:p w:rsidR="002A2FAD" w:rsidRPr="002A2FAD" w:rsidRDefault="002A2FAD" w:rsidP="002A2FAD">
    <w:pPr>
      <w:pStyle w:val="Footer"/>
      <w:tabs>
        <w:tab w:val="right" w:pos="10440"/>
      </w:tabs>
      <w:rPr>
        <w:rFonts w:cs="Times New Roman"/>
      </w:rPr>
    </w:pPr>
    <w:r w:rsidRPr="002A2FAD">
      <w:rPr>
        <w:rFonts w:cs="Times New Roman"/>
      </w:rPr>
      <w:t xml:space="preserve">This form is for use by facilities subject to air quality permit </w:t>
    </w:r>
  </w:p>
  <w:p w:rsidR="00865CE8" w:rsidRPr="00F74604" w:rsidRDefault="002A2FAD" w:rsidP="002A2FAD">
    <w:pPr>
      <w:pStyle w:val="Footer"/>
      <w:tabs>
        <w:tab w:val="right" w:pos="10440"/>
      </w:tabs>
      <w:rPr>
        <w:rFonts w:cs="Times New Roman"/>
        <w:b w:val="0"/>
        <w:szCs w:val="16"/>
      </w:rPr>
    </w:pPr>
    <w:r w:rsidRPr="002A2FAD">
      <w:rPr>
        <w:rFonts w:cs="Times New Roman"/>
      </w:rPr>
      <w:t>requirements and may be revised periodically. (Title V Release 04/06)</w:t>
    </w:r>
    <w:bookmarkEnd w:id="3"/>
    <w:r w:rsidR="00865CE8" w:rsidRPr="00F74604">
      <w:rPr>
        <w:rFonts w:cs="Times New Roman"/>
        <w:bCs/>
        <w:szCs w:val="16"/>
      </w:rPr>
      <w:tab/>
    </w:r>
    <w:r w:rsidR="00865CE8" w:rsidRPr="00F74604">
      <w:rPr>
        <w:rFonts w:cs="Times New Roman"/>
        <w:szCs w:val="16"/>
      </w:rPr>
      <w:t xml:space="preserve">Page </w:t>
    </w:r>
    <w:r w:rsidR="00865CE8" w:rsidRPr="00F74604">
      <w:rPr>
        <w:rFonts w:cs="Times New Roman"/>
        <w:b w:val="0"/>
        <w:szCs w:val="16"/>
      </w:rPr>
      <w:fldChar w:fldCharType="begin"/>
    </w:r>
    <w:r w:rsidR="00865CE8" w:rsidRPr="00F74604">
      <w:rPr>
        <w:rFonts w:cs="Times New Roman"/>
        <w:szCs w:val="16"/>
      </w:rPr>
      <w:instrText xml:space="preserve"> PAGE </w:instrText>
    </w:r>
    <w:r w:rsidR="00865CE8" w:rsidRPr="00F74604">
      <w:rPr>
        <w:rFonts w:cs="Times New Roman"/>
        <w:b w:val="0"/>
        <w:szCs w:val="16"/>
      </w:rPr>
      <w:fldChar w:fldCharType="separate"/>
    </w:r>
    <w:r w:rsidR="00865CE8">
      <w:rPr>
        <w:rFonts w:cs="Times New Roman"/>
        <w:noProof/>
        <w:szCs w:val="16"/>
      </w:rPr>
      <w:t>1</w:t>
    </w:r>
    <w:r w:rsidR="00865CE8" w:rsidRPr="00F74604">
      <w:rPr>
        <w:rFonts w:cs="Times New Roman"/>
        <w:b w:val="0"/>
        <w:szCs w:val="16"/>
      </w:rPr>
      <w:fldChar w:fldCharType="end"/>
    </w:r>
    <w:r w:rsidR="00865CE8" w:rsidRPr="00F74604">
      <w:rPr>
        <w:rFonts w:cs="Times New Roman"/>
        <w:szCs w:val="16"/>
      </w:rPr>
      <w:t xml:space="preserve"> of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A5" w:rsidRPr="002A2FAD" w:rsidRDefault="003B75A5" w:rsidP="003B75A5">
    <w:pPr>
      <w:pStyle w:val="Footer"/>
      <w:tabs>
        <w:tab w:val="right" w:pos="10440"/>
      </w:tabs>
      <w:rPr>
        <w:rFonts w:cs="Times New Roman"/>
      </w:rPr>
    </w:pPr>
    <w:r w:rsidRPr="002A2FAD">
      <w:rPr>
        <w:rFonts w:cs="Times New Roman"/>
      </w:rPr>
      <w:t xml:space="preserve">TCEQ - 10042 (APDG </w:t>
    </w:r>
    <w:r w:rsidR="000E21DB">
      <w:rPr>
        <w:rFonts w:cs="Times New Roman"/>
      </w:rPr>
      <w:t>5754v3</w:t>
    </w:r>
    <w:r w:rsidRPr="002A2FAD">
      <w:rPr>
        <w:rFonts w:cs="Times New Roman"/>
      </w:rPr>
      <w:t>, Revised 0</w:t>
    </w:r>
    <w:r w:rsidR="00AD0459">
      <w:rPr>
        <w:rFonts w:cs="Times New Roman"/>
      </w:rPr>
      <w:t>5</w:t>
    </w:r>
    <w:r w:rsidRPr="002A2FAD">
      <w:rPr>
        <w:rFonts w:cs="Times New Roman"/>
      </w:rPr>
      <w:t xml:space="preserve">/19) OP-UA26 </w:t>
    </w:r>
  </w:p>
  <w:p w:rsidR="003B75A5" w:rsidRPr="002A2FAD" w:rsidRDefault="003B75A5" w:rsidP="003B75A5">
    <w:pPr>
      <w:pStyle w:val="Footer"/>
      <w:tabs>
        <w:tab w:val="right" w:pos="10440"/>
      </w:tabs>
      <w:rPr>
        <w:rFonts w:cs="Times New Roman"/>
      </w:rPr>
    </w:pPr>
    <w:r w:rsidRPr="002A2FAD">
      <w:rPr>
        <w:rFonts w:cs="Times New Roman"/>
      </w:rPr>
      <w:t xml:space="preserve">This form is for use by facilities subject to air quality permit </w:t>
    </w:r>
  </w:p>
  <w:p w:rsidR="008B7156" w:rsidRPr="00DA0689" w:rsidRDefault="003B75A5" w:rsidP="003B75A5">
    <w:pPr>
      <w:pStyle w:val="APDFooterForm"/>
    </w:pPr>
    <w:r w:rsidRPr="002A2FAD">
      <w:rPr>
        <w:rFonts w:cs="Times New Roman"/>
      </w:rPr>
      <w:t>requirements and may be revised periodically. (Title V Release 04/06)</w:t>
    </w:r>
    <w:r w:rsidR="008B7156">
      <w:tab/>
    </w:r>
    <w:r w:rsidR="008B7156" w:rsidRPr="000A236B">
      <w:t xml:space="preserve">Page </w:t>
    </w:r>
    <w:r w:rsidR="008B7156">
      <w:rPr>
        <w:bCs/>
      </w:rPr>
      <w:t>_______</w:t>
    </w:r>
    <w:r w:rsidR="008B7156" w:rsidRPr="000A236B">
      <w:t xml:space="preserve"> of </w:t>
    </w:r>
    <w:r w:rsidR="008B7156">
      <w:rPr>
        <w:bCs/>
      </w:rPr>
      <w:t>________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A5" w:rsidRPr="002A2FAD" w:rsidRDefault="003B75A5" w:rsidP="003B75A5">
    <w:pPr>
      <w:pStyle w:val="Footer"/>
      <w:tabs>
        <w:tab w:val="right" w:pos="10440"/>
      </w:tabs>
      <w:rPr>
        <w:rFonts w:cs="Times New Roman"/>
      </w:rPr>
    </w:pPr>
    <w:r w:rsidRPr="002A2FAD">
      <w:rPr>
        <w:rFonts w:cs="Times New Roman"/>
      </w:rPr>
      <w:t>TCEQ - 10042 (APDG 5754v4, Revised 0</w:t>
    </w:r>
    <w:r>
      <w:rPr>
        <w:rFonts w:cs="Times New Roman"/>
      </w:rPr>
      <w:t>4</w:t>
    </w:r>
    <w:r w:rsidRPr="002A2FAD">
      <w:rPr>
        <w:rFonts w:cs="Times New Roman"/>
      </w:rPr>
      <w:t xml:space="preserve">/19) OP-UA26 </w:t>
    </w:r>
  </w:p>
  <w:p w:rsidR="003B75A5" w:rsidRPr="002A2FAD" w:rsidRDefault="003B75A5" w:rsidP="003B75A5">
    <w:pPr>
      <w:pStyle w:val="Footer"/>
      <w:tabs>
        <w:tab w:val="right" w:pos="10440"/>
      </w:tabs>
      <w:rPr>
        <w:rFonts w:cs="Times New Roman"/>
      </w:rPr>
    </w:pPr>
    <w:r w:rsidRPr="002A2FAD">
      <w:rPr>
        <w:rFonts w:cs="Times New Roman"/>
      </w:rPr>
      <w:t xml:space="preserve">This form is for use by facilities subject to air quality permit </w:t>
    </w:r>
  </w:p>
  <w:p w:rsidR="003563E5" w:rsidRPr="00DA0689" w:rsidRDefault="003B75A5" w:rsidP="003B75A5">
    <w:pPr>
      <w:pStyle w:val="APDFooterForm"/>
    </w:pPr>
    <w:r w:rsidRPr="002A2FAD">
      <w:rPr>
        <w:rFonts w:cs="Times New Roman"/>
      </w:rPr>
      <w:t>requirements and may be revised periodically. (Title V Release 04/06)</w:t>
    </w:r>
    <w:r w:rsidR="003563E5">
      <w:tab/>
    </w:r>
    <w:r w:rsidR="003563E5" w:rsidRPr="000A236B">
      <w:t xml:space="preserve">Page </w:t>
    </w:r>
    <w:r w:rsidR="003563E5">
      <w:rPr>
        <w:bCs/>
      </w:rPr>
      <w:t>_______</w:t>
    </w:r>
    <w:r w:rsidR="003563E5" w:rsidRPr="000A236B">
      <w:t xml:space="preserve"> of </w:t>
    </w:r>
    <w:r w:rsidR="003563E5">
      <w:rPr>
        <w:bCs/>
      </w:rPr>
      <w:t xml:space="preserve">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F78" w:rsidRDefault="00E56F78" w:rsidP="00DA0689">
      <w:pPr>
        <w:spacing w:after="0"/>
      </w:pPr>
      <w:r>
        <w:separator/>
      </w:r>
    </w:p>
  </w:footnote>
  <w:footnote w:type="continuationSeparator" w:id="0">
    <w:p w:rsidR="00E56F78" w:rsidRDefault="00E56F78" w:rsidP="00DA06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A5" w:rsidRDefault="003B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CE8" w:rsidRPr="00F74604" w:rsidRDefault="00865CE8" w:rsidP="00245DD6">
    <w:pPr>
      <w:pStyle w:val="APDPageHeader"/>
      <w:rPr>
        <w:b w:val="0"/>
      </w:rPr>
    </w:pPr>
    <w:r w:rsidRPr="00F74604">
      <w:t>OP-UA26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CE8" w:rsidRDefault="00865CE8" w:rsidP="001B4826">
    <w:pPr>
      <w:pStyle w:val="Header"/>
      <w:tabs>
        <w:tab w:val="clear" w:pos="4680"/>
        <w:tab w:val="clear"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6" w:rsidRPr="00521AF2" w:rsidRDefault="008B7156" w:rsidP="003972BC">
    <w:pPr>
      <w:pStyle w:val="Header"/>
      <w:tabs>
        <w:tab w:val="clear" w:pos="4680"/>
        <w:tab w:val="clear" w:pos="9360"/>
        <w:tab w:val="right" w:pos="10710"/>
      </w:tabs>
      <w:rPr>
        <w:rFonts w:cs="Times New Roman"/>
        <w:b/>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ED4" w:rsidRDefault="002F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5B44"/>
    <w:multiLevelType w:val="hybridMultilevel"/>
    <w:tmpl w:val="C7EC1B32"/>
    <w:lvl w:ilvl="0" w:tplc="9BC43C48">
      <w:start w:val="1"/>
      <w:numFmt w:val="bullet"/>
      <w:pStyle w:val="APDCompleteStarStyle"/>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2436"/>
    <w:multiLevelType w:val="hybridMultilevel"/>
    <w:tmpl w:val="AEF47876"/>
    <w:lvl w:ilvl="0" w:tplc="CC44F35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65D21"/>
    <w:multiLevelType w:val="hybridMultilevel"/>
    <w:tmpl w:val="02A6FC70"/>
    <w:lvl w:ilvl="0" w:tplc="F87C3E1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572E4"/>
    <w:multiLevelType w:val="hybridMultilevel"/>
    <w:tmpl w:val="98FC8ABE"/>
    <w:lvl w:ilvl="0" w:tplc="FB4C21F8">
      <w:start w:val="1"/>
      <w:numFmt w:val="bullet"/>
      <w:lvlText w:val="★"/>
      <w:lvlJc w:val="left"/>
      <w:pPr>
        <w:ind w:left="2250" w:hanging="360"/>
      </w:pPr>
      <w:rPr>
        <w:rFonts w:ascii="Segoe UI Symbol" w:hAnsi="Segoe UI 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12D52327"/>
    <w:multiLevelType w:val="hybridMultilevel"/>
    <w:tmpl w:val="9978FF68"/>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96F43"/>
    <w:multiLevelType w:val="hybridMultilevel"/>
    <w:tmpl w:val="95C0543E"/>
    <w:lvl w:ilvl="0" w:tplc="6638FDA4">
      <w:start w:val="1"/>
      <w:numFmt w:val="bullet"/>
      <w:pStyle w:val="APDContinueTriangleStyleList"/>
      <w:lvlText w:val=""/>
      <w:lvlJc w:val="left"/>
      <w:pPr>
        <w:ind w:left="1440" w:hanging="360"/>
      </w:pPr>
      <w:rPr>
        <w:rFonts w:ascii="Wingdings 3" w:hAnsi="Wingdings 3" w:hint="default"/>
      </w:rPr>
    </w:lvl>
    <w:lvl w:ilvl="1" w:tplc="DAA80434">
      <w:numFmt w:val="bullet"/>
      <w:lvlText w:val="•"/>
      <w:lvlJc w:val="left"/>
      <w:pPr>
        <w:ind w:left="2355" w:hanging="555"/>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44BE2"/>
    <w:multiLevelType w:val="hybridMultilevel"/>
    <w:tmpl w:val="A87E530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97E37FD"/>
    <w:multiLevelType w:val="hybridMultilevel"/>
    <w:tmpl w:val="41966E5C"/>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2371E"/>
    <w:multiLevelType w:val="hybridMultilevel"/>
    <w:tmpl w:val="23609186"/>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722A4"/>
    <w:multiLevelType w:val="hybridMultilevel"/>
    <w:tmpl w:val="D5129E48"/>
    <w:lvl w:ilvl="0" w:tplc="A1CC7C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E2E27"/>
    <w:multiLevelType w:val="hybridMultilevel"/>
    <w:tmpl w:val="7E24A306"/>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37ACD"/>
    <w:multiLevelType w:val="hybridMultilevel"/>
    <w:tmpl w:val="0458F168"/>
    <w:lvl w:ilvl="0" w:tplc="D02CD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30BCE"/>
    <w:multiLevelType w:val="hybridMultilevel"/>
    <w:tmpl w:val="C986B46C"/>
    <w:lvl w:ilvl="0" w:tplc="0C5EC1D0">
      <w:start w:val="1"/>
      <w:numFmt w:val="decimal"/>
      <w:pStyle w:val="APDNumberList"/>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C4D3C43"/>
    <w:multiLevelType w:val="hybridMultilevel"/>
    <w:tmpl w:val="A9C447BA"/>
    <w:lvl w:ilvl="0" w:tplc="3D7080F6">
      <w:start w:val="1"/>
      <w:numFmt w:val="bullet"/>
      <w:pStyle w:val="APDBullet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EE1872"/>
    <w:multiLevelType w:val="hybridMultilevel"/>
    <w:tmpl w:val="96B40060"/>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D1F41"/>
    <w:multiLevelType w:val="hybridMultilevel"/>
    <w:tmpl w:val="DA2C6E38"/>
    <w:lvl w:ilvl="0" w:tplc="E7380650">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6" w15:restartNumberingAfterBreak="0">
    <w:nsid w:val="79ED3B67"/>
    <w:multiLevelType w:val="hybridMultilevel"/>
    <w:tmpl w:val="506A6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8"/>
  </w:num>
  <w:num w:numId="5">
    <w:abstractNumId w:val="3"/>
  </w:num>
  <w:num w:numId="6">
    <w:abstractNumId w:val="6"/>
  </w:num>
  <w:num w:numId="7">
    <w:abstractNumId w:val="15"/>
  </w:num>
  <w:num w:numId="8">
    <w:abstractNumId w:val="4"/>
  </w:num>
  <w:num w:numId="9">
    <w:abstractNumId w:val="14"/>
  </w:num>
  <w:num w:numId="10">
    <w:abstractNumId w:val="7"/>
  </w:num>
  <w:num w:numId="11">
    <w:abstractNumId w:val="9"/>
  </w:num>
  <w:num w:numId="12">
    <w:abstractNumId w:val="11"/>
  </w:num>
  <w:num w:numId="13">
    <w:abstractNumId w:val="1"/>
  </w:num>
  <w:num w:numId="14">
    <w:abstractNumId w:val="16"/>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0" w:nlCheck="1" w:checkStyle="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C5"/>
    <w:rsid w:val="0001370D"/>
    <w:rsid w:val="00021741"/>
    <w:rsid w:val="00024303"/>
    <w:rsid w:val="000245A3"/>
    <w:rsid w:val="0003155B"/>
    <w:rsid w:val="00037167"/>
    <w:rsid w:val="000A236B"/>
    <w:rsid w:val="000B23F7"/>
    <w:rsid w:val="000C562E"/>
    <w:rsid w:val="000E21DB"/>
    <w:rsid w:val="001207B1"/>
    <w:rsid w:val="00147EF7"/>
    <w:rsid w:val="0015076C"/>
    <w:rsid w:val="0016487F"/>
    <w:rsid w:val="00181820"/>
    <w:rsid w:val="00182B37"/>
    <w:rsid w:val="00186FA5"/>
    <w:rsid w:val="001979E3"/>
    <w:rsid w:val="001A551F"/>
    <w:rsid w:val="001F0981"/>
    <w:rsid w:val="001F20E9"/>
    <w:rsid w:val="001F6CF1"/>
    <w:rsid w:val="00200BB5"/>
    <w:rsid w:val="00203BA8"/>
    <w:rsid w:val="00224DD2"/>
    <w:rsid w:val="00230D5F"/>
    <w:rsid w:val="00245DD6"/>
    <w:rsid w:val="0025150A"/>
    <w:rsid w:val="00263DDE"/>
    <w:rsid w:val="00265949"/>
    <w:rsid w:val="002925C5"/>
    <w:rsid w:val="002A2FAD"/>
    <w:rsid w:val="002A448E"/>
    <w:rsid w:val="002A5EE0"/>
    <w:rsid w:val="002B5567"/>
    <w:rsid w:val="002D1C72"/>
    <w:rsid w:val="002F3ED4"/>
    <w:rsid w:val="003053B7"/>
    <w:rsid w:val="00312C0B"/>
    <w:rsid w:val="00321FD7"/>
    <w:rsid w:val="00326ADB"/>
    <w:rsid w:val="0034247B"/>
    <w:rsid w:val="00346903"/>
    <w:rsid w:val="003563E5"/>
    <w:rsid w:val="00365017"/>
    <w:rsid w:val="003972BC"/>
    <w:rsid w:val="003B75A5"/>
    <w:rsid w:val="003C27F7"/>
    <w:rsid w:val="003F6F17"/>
    <w:rsid w:val="00413A24"/>
    <w:rsid w:val="004373A3"/>
    <w:rsid w:val="00455412"/>
    <w:rsid w:val="00457F42"/>
    <w:rsid w:val="00466193"/>
    <w:rsid w:val="00484D3F"/>
    <w:rsid w:val="00492136"/>
    <w:rsid w:val="004957F2"/>
    <w:rsid w:val="004B1E71"/>
    <w:rsid w:val="004D0255"/>
    <w:rsid w:val="00507848"/>
    <w:rsid w:val="00516D79"/>
    <w:rsid w:val="00521AF2"/>
    <w:rsid w:val="00522F79"/>
    <w:rsid w:val="005346FE"/>
    <w:rsid w:val="005537C7"/>
    <w:rsid w:val="00555F9E"/>
    <w:rsid w:val="00556DAC"/>
    <w:rsid w:val="005748B8"/>
    <w:rsid w:val="00585AAD"/>
    <w:rsid w:val="005A358A"/>
    <w:rsid w:val="005B79C3"/>
    <w:rsid w:val="005C05C7"/>
    <w:rsid w:val="005C6204"/>
    <w:rsid w:val="005F4F1E"/>
    <w:rsid w:val="00624192"/>
    <w:rsid w:val="00625689"/>
    <w:rsid w:val="00647ABB"/>
    <w:rsid w:val="00662460"/>
    <w:rsid w:val="00681902"/>
    <w:rsid w:val="00687298"/>
    <w:rsid w:val="006A6B64"/>
    <w:rsid w:val="006B4128"/>
    <w:rsid w:val="006F0027"/>
    <w:rsid w:val="006F0D91"/>
    <w:rsid w:val="006F7874"/>
    <w:rsid w:val="00706071"/>
    <w:rsid w:val="0074338C"/>
    <w:rsid w:val="00750760"/>
    <w:rsid w:val="0076145D"/>
    <w:rsid w:val="00774FED"/>
    <w:rsid w:val="007A03FA"/>
    <w:rsid w:val="007B1BAC"/>
    <w:rsid w:val="007D06F1"/>
    <w:rsid w:val="007F574F"/>
    <w:rsid w:val="00807CED"/>
    <w:rsid w:val="008456B3"/>
    <w:rsid w:val="008659C0"/>
    <w:rsid w:val="00865CE8"/>
    <w:rsid w:val="00875C6B"/>
    <w:rsid w:val="00881C5D"/>
    <w:rsid w:val="008955C1"/>
    <w:rsid w:val="008A3EC0"/>
    <w:rsid w:val="008B7156"/>
    <w:rsid w:val="008C383F"/>
    <w:rsid w:val="008E4339"/>
    <w:rsid w:val="009212F6"/>
    <w:rsid w:val="00997A34"/>
    <w:rsid w:val="009D5D51"/>
    <w:rsid w:val="00A06718"/>
    <w:rsid w:val="00A10ACC"/>
    <w:rsid w:val="00A53DC2"/>
    <w:rsid w:val="00A552A4"/>
    <w:rsid w:val="00A71545"/>
    <w:rsid w:val="00A777D2"/>
    <w:rsid w:val="00A93DB2"/>
    <w:rsid w:val="00AA150A"/>
    <w:rsid w:val="00AB24AD"/>
    <w:rsid w:val="00AC6456"/>
    <w:rsid w:val="00AD0459"/>
    <w:rsid w:val="00AF3D29"/>
    <w:rsid w:val="00B17699"/>
    <w:rsid w:val="00B27D6E"/>
    <w:rsid w:val="00B37F68"/>
    <w:rsid w:val="00B415A5"/>
    <w:rsid w:val="00B43A36"/>
    <w:rsid w:val="00B67DD9"/>
    <w:rsid w:val="00B806BA"/>
    <w:rsid w:val="00B81B50"/>
    <w:rsid w:val="00B94848"/>
    <w:rsid w:val="00B97124"/>
    <w:rsid w:val="00BA0E25"/>
    <w:rsid w:val="00BA101A"/>
    <w:rsid w:val="00BB2566"/>
    <w:rsid w:val="00BB31C3"/>
    <w:rsid w:val="00C0495F"/>
    <w:rsid w:val="00C04B04"/>
    <w:rsid w:val="00C2451C"/>
    <w:rsid w:val="00C71A01"/>
    <w:rsid w:val="00CB6D76"/>
    <w:rsid w:val="00CF1204"/>
    <w:rsid w:val="00CF69C2"/>
    <w:rsid w:val="00D2215C"/>
    <w:rsid w:val="00D35786"/>
    <w:rsid w:val="00D81734"/>
    <w:rsid w:val="00D92F87"/>
    <w:rsid w:val="00D96064"/>
    <w:rsid w:val="00DA0689"/>
    <w:rsid w:val="00DB2089"/>
    <w:rsid w:val="00DF103F"/>
    <w:rsid w:val="00E03D8B"/>
    <w:rsid w:val="00E07E6A"/>
    <w:rsid w:val="00E1171D"/>
    <w:rsid w:val="00E132A1"/>
    <w:rsid w:val="00E17B5D"/>
    <w:rsid w:val="00E51C13"/>
    <w:rsid w:val="00E56F78"/>
    <w:rsid w:val="00E77D4E"/>
    <w:rsid w:val="00E8782C"/>
    <w:rsid w:val="00EC199B"/>
    <w:rsid w:val="00ED197F"/>
    <w:rsid w:val="00EE2E76"/>
    <w:rsid w:val="00F06715"/>
    <w:rsid w:val="00F1713E"/>
    <w:rsid w:val="00F2413D"/>
    <w:rsid w:val="00F30072"/>
    <w:rsid w:val="00F32A78"/>
    <w:rsid w:val="00F34D85"/>
    <w:rsid w:val="00F42DCF"/>
    <w:rsid w:val="00F51E05"/>
    <w:rsid w:val="00F94D1C"/>
    <w:rsid w:val="00F978E2"/>
    <w:rsid w:val="00F97D3D"/>
    <w:rsid w:val="00FC6156"/>
    <w:rsid w:val="00FC6AB3"/>
    <w:rsid w:val="00FF1A29"/>
    <w:rsid w:val="00FF309A"/>
    <w:rsid w:val="00FF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880C"/>
  <w15:chartTrackingRefBased/>
  <w15:docId w15:val="{FEB9DA4D-0E85-4097-ABAF-36A48EF9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E71"/>
    <w:rPr>
      <w:rFonts w:ascii="Times New Roman" w:hAnsi="Times New Roman"/>
    </w:rPr>
  </w:style>
  <w:style w:type="paragraph" w:styleId="Heading1">
    <w:name w:val="heading 1"/>
    <w:basedOn w:val="Normal"/>
    <w:next w:val="Normal"/>
    <w:link w:val="Heading1Char"/>
    <w:autoRedefine/>
    <w:uiPriority w:val="9"/>
    <w:rsid w:val="004B1E71"/>
    <w:pPr>
      <w:keepNext/>
      <w:keepLines/>
      <w:spacing w:after="0"/>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4B1E71"/>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B1E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E71"/>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4B1E71"/>
    <w:pPr>
      <w:tabs>
        <w:tab w:val="center" w:pos="4680"/>
        <w:tab w:val="right" w:pos="9360"/>
      </w:tabs>
      <w:spacing w:after="0"/>
    </w:pPr>
  </w:style>
  <w:style w:type="character" w:customStyle="1" w:styleId="HeaderChar">
    <w:name w:val="Header Char"/>
    <w:basedOn w:val="DefaultParagraphFont"/>
    <w:link w:val="Header"/>
    <w:uiPriority w:val="99"/>
    <w:rsid w:val="004B1E71"/>
    <w:rPr>
      <w:rFonts w:ascii="Times New Roman" w:hAnsi="Times New Roman"/>
    </w:rPr>
  </w:style>
  <w:style w:type="paragraph" w:styleId="Footer">
    <w:name w:val="footer"/>
    <w:basedOn w:val="Normal"/>
    <w:link w:val="FooterChar"/>
    <w:autoRedefine/>
    <w:uiPriority w:val="99"/>
    <w:unhideWhenUsed/>
    <w:qFormat/>
    <w:rsid w:val="00521AF2"/>
    <w:pPr>
      <w:tabs>
        <w:tab w:val="right" w:pos="10710"/>
      </w:tabs>
      <w:spacing w:after="0"/>
    </w:pPr>
    <w:rPr>
      <w:b/>
      <w:sz w:val="16"/>
    </w:rPr>
  </w:style>
  <w:style w:type="character" w:customStyle="1" w:styleId="FooterChar">
    <w:name w:val="Footer Char"/>
    <w:basedOn w:val="DefaultParagraphFont"/>
    <w:link w:val="Footer"/>
    <w:uiPriority w:val="99"/>
    <w:rsid w:val="00521AF2"/>
    <w:rPr>
      <w:rFonts w:ascii="Times New Roman" w:hAnsi="Times New Roman"/>
      <w:b/>
      <w:sz w:val="16"/>
    </w:rPr>
  </w:style>
  <w:style w:type="character" w:styleId="Hyperlink">
    <w:name w:val="Hyperlink"/>
    <w:aliases w:val="APD Hyperlink"/>
    <w:basedOn w:val="DefaultParagraphFont"/>
    <w:uiPriority w:val="99"/>
    <w:unhideWhenUsed/>
    <w:qFormat/>
    <w:rsid w:val="004B1E71"/>
    <w:rPr>
      <w:rFonts w:ascii="Times New Roman" w:hAnsi="Times New Roman"/>
      <w:color w:val="0033CC"/>
      <w:sz w:val="22"/>
      <w:u w:val="single"/>
    </w:rPr>
  </w:style>
  <w:style w:type="character" w:styleId="UnresolvedMention">
    <w:name w:val="Unresolved Mention"/>
    <w:basedOn w:val="DefaultParagraphFont"/>
    <w:uiPriority w:val="99"/>
    <w:semiHidden/>
    <w:unhideWhenUsed/>
    <w:rsid w:val="004B1E71"/>
    <w:rPr>
      <w:color w:val="808080"/>
      <w:shd w:val="clear" w:color="auto" w:fill="E6E6E6"/>
    </w:rPr>
  </w:style>
  <w:style w:type="character" w:customStyle="1" w:styleId="Heading2Char">
    <w:name w:val="Heading 2 Char"/>
    <w:basedOn w:val="DefaultParagraphFont"/>
    <w:link w:val="Heading2"/>
    <w:uiPriority w:val="9"/>
    <w:rsid w:val="004B1E71"/>
    <w:rPr>
      <w:rFonts w:ascii="Times New Roman" w:eastAsiaTheme="majorEastAsia" w:hAnsi="Times New Roman" w:cstheme="majorBidi"/>
      <w:b/>
      <w:szCs w:val="26"/>
    </w:rPr>
  </w:style>
  <w:style w:type="character" w:styleId="FollowedHyperlink">
    <w:name w:val="FollowedHyperlink"/>
    <w:basedOn w:val="DefaultParagraphFont"/>
    <w:uiPriority w:val="99"/>
    <w:semiHidden/>
    <w:unhideWhenUsed/>
    <w:rsid w:val="004B1E71"/>
    <w:rPr>
      <w:color w:val="954F72" w:themeColor="followedHyperlink"/>
      <w:u w:val="single"/>
    </w:rPr>
  </w:style>
  <w:style w:type="paragraph" w:customStyle="1" w:styleId="APDBody">
    <w:name w:val="APD Body"/>
    <w:basedOn w:val="Normal"/>
    <w:qFormat/>
    <w:rsid w:val="004B1E71"/>
    <w:rPr>
      <w:rFonts w:cs="Times New Roman"/>
    </w:rPr>
  </w:style>
  <w:style w:type="table" w:styleId="TableGrid">
    <w:name w:val="Table Grid"/>
    <w:basedOn w:val="TableNormal"/>
    <w:rsid w:val="004B1E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DCompleteStarStyle">
    <w:name w:val="APD Complete Star_Style"/>
    <w:basedOn w:val="Normal"/>
    <w:qFormat/>
    <w:rsid w:val="004B1E71"/>
    <w:pPr>
      <w:numPr>
        <w:numId w:val="15"/>
      </w:numPr>
      <w:tabs>
        <w:tab w:val="left" w:pos="547"/>
      </w:tabs>
      <w:spacing w:before="120"/>
      <w:ind w:left="547" w:hanging="547"/>
    </w:pPr>
    <w:rPr>
      <w:rFonts w:asciiTheme="majorHAnsi" w:hAnsiTheme="majorHAnsi" w:cstheme="majorHAnsi"/>
      <w:b/>
    </w:rPr>
  </w:style>
  <w:style w:type="paragraph" w:customStyle="1" w:styleId="APDContinueTriangleStyleList">
    <w:name w:val="APD Continue Triangle Style List"/>
    <w:basedOn w:val="Normal"/>
    <w:qFormat/>
    <w:rsid w:val="004B1E71"/>
    <w:pPr>
      <w:numPr>
        <w:numId w:val="1"/>
      </w:numPr>
      <w:tabs>
        <w:tab w:val="left" w:pos="547"/>
      </w:tabs>
      <w:spacing w:before="120"/>
      <w:ind w:left="547" w:hanging="547"/>
    </w:pPr>
    <w:rPr>
      <w:rFonts w:cs="Times New Roman"/>
      <w:b/>
    </w:rPr>
  </w:style>
  <w:style w:type="paragraph" w:styleId="Subtitle">
    <w:name w:val="Subtitle"/>
    <w:basedOn w:val="Normal"/>
    <w:next w:val="Normal"/>
    <w:link w:val="SubtitleChar"/>
    <w:uiPriority w:val="11"/>
    <w:qFormat/>
    <w:rsid w:val="00521AF2"/>
    <w:pPr>
      <w:tabs>
        <w:tab w:val="left" w:pos="1440"/>
      </w:tabs>
      <w:spacing w:after="0"/>
      <w:ind w:left="1440" w:hanging="1440"/>
    </w:pPr>
    <w:rPr>
      <w:rFonts w:cs="Times New Roman"/>
      <w:b/>
    </w:rPr>
  </w:style>
  <w:style w:type="character" w:customStyle="1" w:styleId="SubtitleChar">
    <w:name w:val="Subtitle Char"/>
    <w:basedOn w:val="DefaultParagraphFont"/>
    <w:link w:val="Subtitle"/>
    <w:uiPriority w:val="11"/>
    <w:rsid w:val="00521AF2"/>
    <w:rPr>
      <w:rFonts w:ascii="Times New Roman" w:hAnsi="Times New Roman" w:cs="Times New Roman"/>
      <w:b/>
    </w:rPr>
  </w:style>
  <w:style w:type="paragraph" w:customStyle="1" w:styleId="SubtitleStyle1">
    <w:name w:val="Subtitle Style1"/>
    <w:basedOn w:val="Normal"/>
    <w:qFormat/>
    <w:rsid w:val="00521AF2"/>
    <w:pPr>
      <w:tabs>
        <w:tab w:val="left" w:pos="1440"/>
      </w:tabs>
      <w:ind w:left="1440"/>
    </w:pPr>
    <w:rPr>
      <w:rFonts w:cs="Times New Roman"/>
      <w:b/>
    </w:rPr>
  </w:style>
  <w:style w:type="paragraph" w:customStyle="1" w:styleId="APDCodeDescriptionBOLD">
    <w:name w:val="APD Code Description BOLD"/>
    <w:basedOn w:val="Normal"/>
    <w:qFormat/>
    <w:rsid w:val="000C562E"/>
    <w:pPr>
      <w:tabs>
        <w:tab w:val="left" w:pos="720"/>
        <w:tab w:val="left" w:pos="2160"/>
      </w:tabs>
      <w:spacing w:after="0"/>
      <w:ind w:left="2160" w:hanging="1440"/>
    </w:pPr>
    <w:rPr>
      <w:rFonts w:asciiTheme="majorHAnsi" w:hAnsiTheme="majorHAnsi" w:cstheme="majorHAnsi"/>
      <w:b/>
    </w:rPr>
  </w:style>
  <w:style w:type="paragraph" w:customStyle="1" w:styleId="APDPageHeader">
    <w:name w:val="APD Page Header"/>
    <w:basedOn w:val="Header"/>
    <w:qFormat/>
    <w:rsid w:val="004B1E71"/>
    <w:pPr>
      <w:tabs>
        <w:tab w:val="clear" w:pos="4680"/>
        <w:tab w:val="clear" w:pos="9360"/>
        <w:tab w:val="right" w:pos="10800"/>
      </w:tabs>
      <w:spacing w:after="240"/>
      <w:jc w:val="right"/>
    </w:pPr>
    <w:rPr>
      <w:rFonts w:cs="Times New Roman"/>
      <w:b/>
    </w:rPr>
  </w:style>
  <w:style w:type="paragraph" w:customStyle="1" w:styleId="APDTABLE1Form">
    <w:name w:val="APD TABLE 1 Form"/>
    <w:basedOn w:val="Normal"/>
    <w:qFormat/>
    <w:rsid w:val="004B1E71"/>
    <w:pPr>
      <w:spacing w:after="0"/>
    </w:pPr>
    <w:rPr>
      <w:rFonts w:cs="Times New Roman"/>
      <w:b/>
      <w:sz w:val="20"/>
      <w:szCs w:val="20"/>
    </w:rPr>
  </w:style>
  <w:style w:type="paragraph" w:customStyle="1" w:styleId="APDTABLE2Form">
    <w:name w:val="APD TABLE 2 Form"/>
    <w:qFormat/>
    <w:rsid w:val="004B1E71"/>
    <w:pPr>
      <w:spacing w:after="0"/>
    </w:pPr>
    <w:rPr>
      <w:rFonts w:ascii="Times New Roman" w:hAnsi="Times New Roman" w:cs="Times New Roman"/>
      <w:b/>
      <w:sz w:val="20"/>
      <w:szCs w:val="20"/>
    </w:rPr>
  </w:style>
  <w:style w:type="paragraph" w:customStyle="1" w:styleId="APDCodeList">
    <w:name w:val="APD Code List"/>
    <w:basedOn w:val="Normal"/>
    <w:qFormat/>
    <w:rsid w:val="000C562E"/>
    <w:pPr>
      <w:tabs>
        <w:tab w:val="left" w:pos="720"/>
        <w:tab w:val="left" w:pos="2160"/>
      </w:tabs>
      <w:spacing w:after="0"/>
      <w:ind w:left="2160" w:hanging="1440"/>
    </w:pPr>
    <w:rPr>
      <w:rFonts w:asciiTheme="majorHAnsi" w:hAnsiTheme="majorHAnsi" w:cstheme="majorHAnsi"/>
    </w:rPr>
  </w:style>
  <w:style w:type="paragraph" w:customStyle="1" w:styleId="APDGeneral">
    <w:name w:val="APD General"/>
    <w:basedOn w:val="Normal"/>
    <w:qFormat/>
    <w:rsid w:val="004B1E71"/>
    <w:pPr>
      <w:spacing w:before="360"/>
      <w:outlineLvl w:val="1"/>
    </w:pPr>
    <w:rPr>
      <w:rFonts w:cs="Times New Roman"/>
      <w:b/>
    </w:rPr>
  </w:style>
  <w:style w:type="paragraph" w:customStyle="1" w:styleId="APDSpecific">
    <w:name w:val="APD Specific"/>
    <w:basedOn w:val="APDNumberList"/>
    <w:qFormat/>
    <w:rsid w:val="004B1E71"/>
    <w:pPr>
      <w:numPr>
        <w:numId w:val="0"/>
      </w:numPr>
      <w:ind w:left="547" w:hanging="547"/>
      <w:outlineLvl w:val="1"/>
    </w:pPr>
    <w:rPr>
      <w:b/>
    </w:rPr>
  </w:style>
  <w:style w:type="paragraph" w:customStyle="1" w:styleId="APDTable1stSpecific">
    <w:name w:val="APD Table  1st Specific"/>
    <w:basedOn w:val="Normal"/>
    <w:qFormat/>
    <w:rsid w:val="004B1E71"/>
    <w:pPr>
      <w:tabs>
        <w:tab w:val="left" w:pos="2160"/>
      </w:tabs>
      <w:spacing w:before="120" w:after="0"/>
      <w:ind w:left="2160" w:hanging="2160"/>
    </w:pPr>
    <w:rPr>
      <w:b/>
    </w:rPr>
  </w:style>
  <w:style w:type="paragraph" w:customStyle="1" w:styleId="APDTable2ndSpecific">
    <w:name w:val="APD Table  2nd Specific"/>
    <w:basedOn w:val="Normal"/>
    <w:qFormat/>
    <w:rsid w:val="004B1E71"/>
    <w:pPr>
      <w:tabs>
        <w:tab w:val="left" w:pos="2160"/>
      </w:tabs>
      <w:ind w:left="2160"/>
    </w:pPr>
    <w:rPr>
      <w:rFonts w:cs="Times New Roman"/>
      <w:b/>
    </w:rPr>
  </w:style>
  <w:style w:type="paragraph" w:customStyle="1" w:styleId="APDHeadingLevel1">
    <w:name w:val="APD Heading Level 1"/>
    <w:basedOn w:val="Heading1"/>
    <w:qFormat/>
    <w:rsid w:val="004B1E71"/>
    <w:pPr>
      <w:jc w:val="center"/>
    </w:pPr>
  </w:style>
  <w:style w:type="paragraph" w:customStyle="1" w:styleId="APDTABLEHeadingForm">
    <w:name w:val="APD TABLE Heading Form"/>
    <w:basedOn w:val="Normal"/>
    <w:qFormat/>
    <w:rsid w:val="004B1E71"/>
    <w:pPr>
      <w:spacing w:after="0"/>
      <w:jc w:val="center"/>
    </w:pPr>
    <w:rPr>
      <w:rFonts w:cs="Times New Roman"/>
      <w:b/>
      <w:szCs w:val="24"/>
    </w:rPr>
  </w:style>
  <w:style w:type="paragraph" w:customStyle="1" w:styleId="APDFooterForm">
    <w:name w:val="APD Footer Form"/>
    <w:basedOn w:val="Normal"/>
    <w:qFormat/>
    <w:rsid w:val="004B1E71"/>
    <w:pPr>
      <w:tabs>
        <w:tab w:val="right" w:pos="14328"/>
      </w:tabs>
      <w:spacing w:after="0"/>
    </w:pPr>
    <w:rPr>
      <w:b/>
      <w:sz w:val="16"/>
    </w:rPr>
  </w:style>
  <w:style w:type="paragraph" w:customStyle="1" w:styleId="APDFooterMain">
    <w:name w:val="APD Footer Main"/>
    <w:basedOn w:val="Normal"/>
    <w:qFormat/>
    <w:rsid w:val="004B1E71"/>
    <w:pPr>
      <w:tabs>
        <w:tab w:val="right" w:pos="10800"/>
      </w:tabs>
      <w:spacing w:after="0"/>
    </w:pPr>
    <w:rPr>
      <w:b/>
      <w:sz w:val="16"/>
    </w:rPr>
  </w:style>
  <w:style w:type="paragraph" w:customStyle="1" w:styleId="APDHeadingLevel1b">
    <w:name w:val="APD Heading Level 1b"/>
    <w:basedOn w:val="APDHeadingLevel1"/>
    <w:qFormat/>
    <w:rsid w:val="004B1E71"/>
    <w:pPr>
      <w:outlineLvl w:val="9"/>
    </w:pPr>
  </w:style>
  <w:style w:type="paragraph" w:customStyle="1" w:styleId="APDBodyBOLDheader">
    <w:name w:val="APD Body BOLD header"/>
    <w:basedOn w:val="Normal"/>
    <w:qFormat/>
    <w:rsid w:val="004B1E71"/>
    <w:pPr>
      <w:spacing w:before="120" w:after="0"/>
    </w:pPr>
    <w:rPr>
      <w:rFonts w:cs="Times New Roman"/>
      <w:b/>
    </w:rPr>
  </w:style>
  <w:style w:type="paragraph" w:customStyle="1" w:styleId="Style">
    <w:name w:val="Style"/>
    <w:basedOn w:val="APDBody"/>
    <w:autoRedefine/>
    <w:qFormat/>
    <w:rsid w:val="004B1E71"/>
    <w:pPr>
      <w:pBdr>
        <w:bottom w:val="double" w:sz="6" w:space="1" w:color="auto"/>
      </w:pBdr>
      <w:tabs>
        <w:tab w:val="left" w:pos="1440"/>
      </w:tabs>
      <w:ind w:firstLine="1440"/>
    </w:pPr>
    <w:rPr>
      <w:b/>
      <w:bCs/>
    </w:rPr>
  </w:style>
  <w:style w:type="paragraph" w:styleId="ListParagraph">
    <w:name w:val="List Paragraph"/>
    <w:basedOn w:val="Normal"/>
    <w:uiPriority w:val="34"/>
    <w:qFormat/>
    <w:rsid w:val="00521AF2"/>
    <w:pPr>
      <w:ind w:left="720"/>
      <w:contextualSpacing/>
    </w:pPr>
  </w:style>
  <w:style w:type="paragraph" w:customStyle="1" w:styleId="APDBulletList">
    <w:name w:val="APD Bullet List"/>
    <w:basedOn w:val="Normal"/>
    <w:qFormat/>
    <w:rsid w:val="004B1E71"/>
    <w:pPr>
      <w:numPr>
        <w:numId w:val="16"/>
      </w:numPr>
      <w:tabs>
        <w:tab w:val="left" w:pos="1080"/>
        <w:tab w:val="left" w:pos="2160"/>
      </w:tabs>
      <w:spacing w:after="0"/>
      <w:ind w:left="1080" w:hanging="540"/>
      <w:contextualSpacing/>
    </w:pPr>
    <w:rPr>
      <w:rFonts w:cs="Times New Roman"/>
      <w:b/>
    </w:rPr>
  </w:style>
  <w:style w:type="paragraph" w:customStyle="1" w:styleId="APDNumberList">
    <w:name w:val="APD Number List"/>
    <w:basedOn w:val="Normal"/>
    <w:qFormat/>
    <w:rsid w:val="004B1E71"/>
    <w:pPr>
      <w:numPr>
        <w:numId w:val="17"/>
      </w:numPr>
      <w:tabs>
        <w:tab w:val="left" w:pos="1080"/>
      </w:tabs>
      <w:ind w:left="1080" w:hanging="540"/>
      <w:contextualSpacing/>
    </w:pPr>
  </w:style>
  <w:style w:type="paragraph" w:styleId="BalloonText">
    <w:name w:val="Balloon Text"/>
    <w:basedOn w:val="Normal"/>
    <w:link w:val="BalloonTextChar"/>
    <w:uiPriority w:val="99"/>
    <w:semiHidden/>
    <w:unhideWhenUsed/>
    <w:rsid w:val="004B1E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71"/>
    <w:rPr>
      <w:rFonts w:ascii="Segoe UI" w:hAnsi="Segoe UI" w:cs="Segoe UI"/>
      <w:sz w:val="18"/>
      <w:szCs w:val="18"/>
    </w:rPr>
  </w:style>
  <w:style w:type="paragraph" w:customStyle="1" w:styleId="APDTABLE1">
    <w:name w:val="APD TABLE 1"/>
    <w:basedOn w:val="Normal"/>
    <w:link w:val="APDTABLE1Char"/>
    <w:qFormat/>
    <w:rsid w:val="004B1E71"/>
    <w:pPr>
      <w:spacing w:after="0"/>
    </w:pPr>
    <w:rPr>
      <w:rFonts w:eastAsia="Times New Roman" w:cs="Times New Roman"/>
      <w:b/>
    </w:rPr>
  </w:style>
  <w:style w:type="character" w:customStyle="1" w:styleId="APDTABLE1Char">
    <w:name w:val="APD TABLE 1 Char"/>
    <w:basedOn w:val="DefaultParagraphFont"/>
    <w:link w:val="APDTABLE1"/>
    <w:rsid w:val="004B1E71"/>
    <w:rPr>
      <w:rFonts w:ascii="Times New Roman" w:eastAsia="Times New Roman" w:hAnsi="Times New Roman" w:cs="Times New Roman"/>
      <w:b/>
    </w:rPr>
  </w:style>
  <w:style w:type="paragraph" w:customStyle="1" w:styleId="APDItalicNOTE">
    <w:name w:val="APD Italic NOTE"/>
    <w:basedOn w:val="APDBody"/>
    <w:qFormat/>
    <w:rsid w:val="004B1E71"/>
    <w:pPr>
      <w:spacing w:before="120"/>
    </w:pPr>
    <w:rPr>
      <w:i/>
    </w:rPr>
  </w:style>
  <w:style w:type="paragraph" w:customStyle="1" w:styleId="APDTable2LOWERForm">
    <w:name w:val="APD Table 2LOWER Form"/>
    <w:basedOn w:val="APDTABLE2Form"/>
    <w:qFormat/>
    <w:rsid w:val="002A448E"/>
    <w:rPr>
      <w:b w:val="0"/>
    </w:rPr>
  </w:style>
  <w:style w:type="paragraph" w:customStyle="1" w:styleId="APDIndentbodyheader">
    <w:name w:val="APD Indent body header"/>
    <w:basedOn w:val="APDBody"/>
    <w:qFormat/>
    <w:rsid w:val="00203BA8"/>
    <w:pPr>
      <w:spacing w:before="240"/>
      <w:ind w:left="540"/>
    </w:pPr>
  </w:style>
  <w:style w:type="character" w:customStyle="1" w:styleId="Heading3Char">
    <w:name w:val="Heading 3 Char"/>
    <w:basedOn w:val="DefaultParagraphFont"/>
    <w:link w:val="Heading3"/>
    <w:uiPriority w:val="9"/>
    <w:rsid w:val="004B1E7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central_registry"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ceq.texas.gov/assets/public/permitting/air/Guidance/Title_V/sop_initial.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tceq.texas.gov/assets/public/permitting/air/Guidance/Title_V/sop_initial.pdf"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Accessibility_BASIC(201903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4A05-6607-45A0-ABF7-F044D082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Accessibility_BASIC(20190304).dotx</Template>
  <TotalTime>2</TotalTime>
  <Pages>6</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TCEQ Form OP-UA36</vt:lpstr>
    </vt:vector>
  </TitlesOfParts>
  <Manager>TCEQ</Manager>
  <Company>TCEQ</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OP-UA36</dc:title>
  <dc:subject>TCEQ Form OP-UA36</dc:subject>
  <dc:creator>Air Permits Division</dc:creator>
  <cp:keywords>emission, facility, type, regulations, code, federal, inspections, method, devices, test, unit, steelmaking, hazardous, filter, opacity, electric, arc, furnace, melt, decarburization, and air</cp:keywords>
  <dc:description/>
  <cp:lastModifiedBy>Lawannia Carpenter</cp:lastModifiedBy>
  <cp:revision>3</cp:revision>
  <cp:lastPrinted>2019-01-25T21:47:00Z</cp:lastPrinted>
  <dcterms:created xsi:type="dcterms:W3CDTF">2019-05-14T16:35:00Z</dcterms:created>
  <dcterms:modified xsi:type="dcterms:W3CDTF">2019-05-14T16:37:00Z</dcterms:modified>
</cp:coreProperties>
</file>