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32" w:rsidRPr="00892132" w:rsidRDefault="00BD4D32" w:rsidP="00502D07">
      <w:pPr>
        <w:spacing w:after="0" w:line="240" w:lineRule="auto"/>
        <w:jc w:val="center"/>
        <w:outlineLvl w:val="0"/>
        <w:rPr>
          <w:b/>
          <w:sz w:val="24"/>
          <w:szCs w:val="24"/>
        </w:rPr>
      </w:pPr>
      <w:bookmarkStart w:id="0" w:name="_GoBack"/>
      <w:bookmarkEnd w:id="0"/>
      <w:r w:rsidRPr="00892132">
        <w:rPr>
          <w:b/>
          <w:noProof/>
          <w:sz w:val="24"/>
          <w:szCs w:val="24"/>
          <w:lang w:bidi="ar-SA"/>
        </w:rPr>
        <w:drawing>
          <wp:anchor distT="0" distB="0" distL="114300" distR="114300" simplePos="0" relativeHeight="251658240" behindDoc="0" locked="0" layoutInCell="1" allowOverlap="0" wp14:anchorId="6F98BAC8" wp14:editId="51427641">
            <wp:simplePos x="0" y="0"/>
            <wp:positionH relativeFrom="column">
              <wp:posOffset>8255</wp:posOffset>
            </wp:positionH>
            <wp:positionV relativeFrom="paragraph">
              <wp:posOffset>-32385</wp:posOffset>
            </wp:positionV>
            <wp:extent cx="501650" cy="829310"/>
            <wp:effectExtent l="0" t="0" r="0" b="8890"/>
            <wp:wrapSquare wrapText="bothSides"/>
            <wp:docPr id="2" name="Picture 2" descr="TCE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1650" cy="829310"/>
                    </a:xfrm>
                    <a:prstGeom prst="rect">
                      <a:avLst/>
                    </a:prstGeom>
                    <a:noFill/>
                  </pic:spPr>
                </pic:pic>
              </a:graphicData>
            </a:graphic>
          </wp:anchor>
        </w:drawing>
      </w:r>
      <w:r w:rsidRPr="00892132">
        <w:rPr>
          <w:b/>
          <w:sz w:val="24"/>
          <w:szCs w:val="24"/>
        </w:rPr>
        <w:t>Texas Commission on Environmental Quality</w:t>
      </w:r>
    </w:p>
    <w:p w:rsidR="00BD4D32" w:rsidRPr="00892132" w:rsidRDefault="00BD4D32" w:rsidP="00502D07">
      <w:pPr>
        <w:spacing w:after="0" w:line="240" w:lineRule="auto"/>
        <w:jc w:val="center"/>
        <w:outlineLvl w:val="0"/>
        <w:rPr>
          <w:b/>
          <w:sz w:val="24"/>
          <w:szCs w:val="24"/>
        </w:rPr>
      </w:pPr>
      <w:r w:rsidRPr="00892132">
        <w:rPr>
          <w:b/>
          <w:sz w:val="24"/>
          <w:szCs w:val="24"/>
        </w:rPr>
        <w:t>Form OP-UA40</w:t>
      </w:r>
    </w:p>
    <w:p w:rsidR="00BD4D32" w:rsidRPr="00BD4D32" w:rsidRDefault="00BD4D32" w:rsidP="00502D07">
      <w:pPr>
        <w:spacing w:after="720" w:line="240" w:lineRule="auto"/>
        <w:jc w:val="center"/>
        <w:outlineLvl w:val="0"/>
        <w:rPr>
          <w:b/>
        </w:rPr>
      </w:pPr>
      <w:r w:rsidRPr="00892132">
        <w:rPr>
          <w:b/>
          <w:sz w:val="24"/>
          <w:szCs w:val="24"/>
        </w:rPr>
        <w:t>Ferroalloy Production Facility Attributes</w:t>
      </w:r>
    </w:p>
    <w:p w:rsidR="00BD4D32" w:rsidRPr="00BD4D32" w:rsidRDefault="00BD4D32" w:rsidP="00502D07">
      <w:pPr>
        <w:outlineLvl w:val="0"/>
        <w:rPr>
          <w:rStyle w:val="GeneralSpecific"/>
        </w:rPr>
      </w:pPr>
      <w:r w:rsidRPr="002C00D5">
        <w:rPr>
          <w:rStyle w:val="GeneralSpecific"/>
          <w:u w:val="none"/>
        </w:rPr>
        <w:t>General</w:t>
      </w:r>
      <w:r w:rsidRPr="00C51A16">
        <w:rPr>
          <w:rStyle w:val="GeneralSpecific"/>
          <w:u w:val="none"/>
        </w:rPr>
        <w:t>:</w:t>
      </w:r>
    </w:p>
    <w:p w:rsidR="00BD4D32" w:rsidRDefault="00BD4D32" w:rsidP="00BD4D32">
      <w:r>
        <w:t>This form is used to provide a description and data pertaining to all submerged electric arc furnaces and dust handling equipment at ferroalloy production plants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an emission point, unit, or process,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BD4D32" w:rsidRDefault="00BD4D32" w:rsidP="005F4925">
      <w:pPr>
        <w:pStyle w:val="GeneralTable"/>
        <w:outlineLvl w:val="0"/>
      </w:pPr>
      <w:r w:rsidRPr="00BD4D32">
        <w:rPr>
          <w:b/>
        </w:rPr>
        <w:t>Table 1:</w:t>
      </w:r>
      <w:r>
        <w:tab/>
        <w:t>Title 40 Code of Federal Regulations Part 60 (40 CFR Part 60)</w:t>
      </w:r>
    </w:p>
    <w:p w:rsidR="00BD4D32" w:rsidRDefault="00BD4D32" w:rsidP="00BD4D32">
      <w:pPr>
        <w:pStyle w:val="GeneralSubpart"/>
      </w:pPr>
      <w:r>
        <w:t>Subpart Z:  Standards of Performance for Ferroalloy Production Facilities</w:t>
      </w:r>
    </w:p>
    <w:p w:rsidR="00BD4D32" w:rsidRDefault="00BD4D32" w:rsidP="00BD4D32">
      <w:r>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BD4D32">
        <w:rPr>
          <w:b/>
        </w:rPr>
        <w:t>Leave the permit number blank for the initial form submittal.</w:t>
      </w:r>
      <w:r>
        <w:t xml:space="preserve"> If this form is included as part of the permit revision process, enter the permit number assigned by the TCEQ, the area name (from Form OP-1), the date of the revision submittal, and the regulated entity number.</w:t>
      </w:r>
    </w:p>
    <w:p w:rsidR="00BD4D32" w:rsidRPr="00BD4D32" w:rsidRDefault="00BD4D32" w:rsidP="00BD4D32">
      <w:pPr>
        <w:rPr>
          <w:b/>
        </w:rPr>
      </w:pPr>
      <w:r>
        <w:t xml:space="preserve">Unit attribute questions that do not require a response from all applicants are preceded by qualification criteria in the instructions. If the unit does not meet the qualification criteria, a response to the question is not required. </w:t>
      </w:r>
      <w:r w:rsidRPr="00BD4D32">
        <w:rPr>
          <w:b/>
        </w:rPr>
        <w:t xml:space="preserve">Anytime a response is not required based on the qualification criteria, leave the space on the form blank.  </w:t>
      </w:r>
    </w:p>
    <w:p w:rsidR="00BD4D32" w:rsidRPr="00BD4D32" w:rsidRDefault="00BD4D32" w:rsidP="00BD4D32">
      <w:pPr>
        <w:rPr>
          <w:b/>
        </w:rPr>
      </w:pPr>
      <w:r w:rsidRPr="00BD4D32">
        <w:rPr>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BD4D32" w:rsidRDefault="00BD4D32" w:rsidP="00BD4D32">
      <w: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rsidR="005F4925" w:rsidRDefault="00BD4D32" w:rsidP="005F4925">
      <w:pPr>
        <w:spacing w:after="0" w:line="240" w:lineRule="auto"/>
        <w:sectPr w:rsidR="005F4925" w:rsidSect="00502D07">
          <w:headerReference w:type="default" r:id="rId9"/>
          <w:footerReference w:type="default" r:id="rId10"/>
          <w:footerReference w:type="first" r:id="rId11"/>
          <w:pgSz w:w="12240" w:h="15840"/>
          <w:pgMar w:top="720" w:right="720" w:bottom="720" w:left="720" w:header="720" w:footer="576" w:gutter="0"/>
          <w:cols w:space="720"/>
          <w:titlePg/>
          <w:docGrid w:linePitch="360"/>
        </w:sectPr>
      </w:pPr>
      <w:r>
        <w:t xml:space="preserve">The Texas Commission on Environmental Quality (TCEQ) </w:t>
      </w:r>
      <w:r w:rsidRPr="00BD4D32">
        <w:rPr>
          <w:b/>
        </w:rPr>
        <w:t>requires</w:t>
      </w:r>
      <w:r>
        <w:t xml:space="preserve"> that a Core Data Form be submitted on all incoming registrations unless </w:t>
      </w:r>
      <w:r w:rsidRPr="00BD4D32">
        <w:rPr>
          <w:b/>
        </w:rPr>
        <w:t>all</w:t>
      </w:r>
      <w:r>
        <w:t xml:space="preserve">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w:t>
      </w:r>
      <w:r w:rsidR="00892132">
        <w:t xml:space="preserve"> </w:t>
      </w:r>
      <w:r>
        <w:t xml:space="preserve">the Customer Reference (CN) number and the Regulated Entity (RN) number. The Core Data Form is required if facility records are not </w:t>
      </w:r>
    </w:p>
    <w:p w:rsidR="00BD4D32" w:rsidRDefault="00BD4D32" w:rsidP="005F4925">
      <w:pPr>
        <w:spacing w:after="0" w:line="240" w:lineRule="auto"/>
      </w:pPr>
      <w:r>
        <w:lastRenderedPageBreak/>
        <w:t xml:space="preserve">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 </w:t>
      </w:r>
      <w:hyperlink r:id="rId12" w:tooltip="Link to TCEQ Central Registry" w:history="1">
        <w:r w:rsidR="00E20024" w:rsidRPr="00E20024">
          <w:rPr>
            <w:rStyle w:val="Hyperlink"/>
            <w:color w:val="0000FF"/>
            <w:u w:val="none"/>
          </w:rPr>
          <w:t>www.tceq.texas.gov/permitting/central_registry/index.html</w:t>
        </w:r>
      </w:hyperlink>
      <w:r w:rsidR="00E20024" w:rsidRPr="00E20024">
        <w:t>.</w:t>
      </w:r>
    </w:p>
    <w:p w:rsidR="00E20024" w:rsidRDefault="00E20024" w:rsidP="00E20024">
      <w:pPr>
        <w:tabs>
          <w:tab w:val="right" w:pos="10710"/>
        </w:tabs>
        <w:rPr>
          <w:u w:val="double"/>
        </w:rPr>
      </w:pPr>
      <w:r>
        <w:rPr>
          <w:u w:val="double"/>
        </w:rPr>
        <w:tab/>
      </w:r>
    </w:p>
    <w:p w:rsidR="00E20024" w:rsidRPr="00E20024" w:rsidRDefault="00E20024" w:rsidP="00E20024">
      <w:pPr>
        <w:tabs>
          <w:tab w:val="right" w:pos="10710"/>
        </w:tabs>
        <w:outlineLvl w:val="0"/>
        <w:rPr>
          <w:b/>
        </w:rPr>
      </w:pPr>
      <w:r w:rsidRPr="00E20024">
        <w:rPr>
          <w:b/>
        </w:rPr>
        <w:t>Specific</w:t>
      </w:r>
      <w:r w:rsidR="00CC5F23">
        <w:rPr>
          <w:b/>
        </w:rPr>
        <w:t>:</w:t>
      </w:r>
    </w:p>
    <w:p w:rsidR="00BD4D32" w:rsidRDefault="00BD4D32" w:rsidP="00502D07">
      <w:pPr>
        <w:pStyle w:val="SpecificTable"/>
      </w:pPr>
      <w:r>
        <w:t>Table 1:</w:t>
      </w:r>
      <w:r>
        <w:tab/>
        <w:t>Title 40 Code of Federal Regulations Part 60 (40 CFR Part 60)</w:t>
      </w:r>
    </w:p>
    <w:p w:rsidR="00BD4D32" w:rsidRDefault="00BD4D32" w:rsidP="00502D07">
      <w:pPr>
        <w:pStyle w:val="SpecificSubpart"/>
      </w:pPr>
      <w:r>
        <w:t>Subpart Z:  Standards of Performance for Ferroalloy Production Facilities</w:t>
      </w:r>
    </w:p>
    <w:p w:rsidR="00BD4D32" w:rsidRPr="00383B94" w:rsidRDefault="00BD4D32" w:rsidP="00F0280F">
      <w:pPr>
        <w:pStyle w:val="BoldComplete"/>
        <w:numPr>
          <w:ilvl w:val="0"/>
          <w:numId w:val="19"/>
        </w:numPr>
        <w:tabs>
          <w:tab w:val="left" w:pos="547"/>
        </w:tabs>
        <w:spacing w:after="240"/>
        <w:ind w:left="547" w:hanging="547"/>
        <w:contextualSpacing w:val="0"/>
        <w:rPr>
          <w:rFonts w:ascii="Times New Roman" w:hAnsi="Times New Roman" w:cs="Times New Roman"/>
        </w:rPr>
      </w:pPr>
      <w:r w:rsidRPr="00383B94">
        <w:rPr>
          <w:rFonts w:ascii="Times New Roman" w:hAnsi="Times New Roman" w:cs="Times New Roman"/>
        </w:rPr>
        <w:t>Complete only for electric submerged arc furnaces and dust handling equipment at ferroalloy production plants.</w:t>
      </w:r>
    </w:p>
    <w:p w:rsidR="00BD4D32" w:rsidRDefault="00BD4D32" w:rsidP="00BD4D32">
      <w:r w:rsidRPr="00F0280F">
        <w:rPr>
          <w:rStyle w:val="Question"/>
          <w:u w:val="none"/>
        </w:rPr>
        <w:t>Unit ID No.</w:t>
      </w:r>
      <w:r w:rsidRPr="00C51A16">
        <w:rPr>
          <w:rStyle w:val="Question"/>
          <w:u w:val="none"/>
        </w:rPr>
        <w:t>:</w:t>
      </w:r>
      <w:r>
        <w:t xml:space="preserve">  Enter the identification number (ID No.) for the electric submerged arc furnace or dust handling equipment (maximum 10 characters) as listed on Form OP-SUM (Individual Unit Summary).</w:t>
      </w:r>
    </w:p>
    <w:p w:rsidR="00BD4D32" w:rsidRPr="00BD4D32" w:rsidRDefault="00BD4D32" w:rsidP="00BD4D32">
      <w:pPr>
        <w:rPr>
          <w:rFonts w:eastAsia="Times New Roman" w:cs="Times New Roman"/>
        </w:rPr>
      </w:pPr>
      <w:r w:rsidRPr="00F0280F">
        <w:rPr>
          <w:rStyle w:val="Question"/>
          <w:u w:val="none"/>
        </w:rPr>
        <w:t>SOP Index No.</w:t>
      </w:r>
      <w:r w:rsidRPr="00C51A16">
        <w:rPr>
          <w:rStyle w:val="Question"/>
          <w:u w:val="none"/>
        </w:rPr>
        <w:t>:</w:t>
      </w:r>
      <w: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3" w:tooltip="TCEQ Site Operation Permit Application Guidance" w:history="1">
        <w:r w:rsidRPr="00BD4D32">
          <w:rPr>
            <w:rFonts w:eastAsia="Times New Roman" w:cs="Times New Roman"/>
            <w:color w:val="0000FF"/>
          </w:rPr>
          <w:t>www.tceq.texas.gov/assets/public/permitting/air/Guidance/Title_V/sop_initial.pdf</w:t>
        </w:r>
      </w:hyperlink>
      <w:r w:rsidRPr="00BD4D32">
        <w:rPr>
          <w:rFonts w:eastAsia="Times New Roman" w:cs="Times New Roman"/>
        </w:rPr>
        <w:t>.</w:t>
      </w:r>
    </w:p>
    <w:p w:rsidR="00BD4D32" w:rsidRDefault="00BD4D32" w:rsidP="00BD4D32">
      <w:r w:rsidRPr="00F0280F">
        <w:rPr>
          <w:rStyle w:val="Question"/>
          <w:u w:val="none"/>
        </w:rPr>
        <w:t>Construction/Modification Date</w:t>
      </w:r>
      <w:r w:rsidRPr="00C51A16">
        <w:rPr>
          <w:rStyle w:val="Question"/>
          <w:u w:val="none"/>
        </w:rPr>
        <w:t>:</w:t>
      </w:r>
      <w:r w:rsidRPr="00C51A16">
        <w:t xml:space="preserve"> </w:t>
      </w:r>
      <w:r>
        <w:t xml:space="preserve"> Select one of the following options that describes the date of commencement of the most recent construction, modification, or reconstruction. Enter the code on the form.</w:t>
      </w:r>
    </w:p>
    <w:p w:rsidR="00BD4D32" w:rsidRPr="00F0280F" w:rsidRDefault="00BD4D32" w:rsidP="00502D07">
      <w:pPr>
        <w:pStyle w:val="SpecificCode"/>
      </w:pPr>
      <w:r w:rsidRPr="00F0280F">
        <w:t>Code</w:t>
      </w:r>
      <w:r w:rsidRPr="00F0280F">
        <w:tab/>
        <w:t>Description</w:t>
      </w:r>
    </w:p>
    <w:p w:rsidR="00BD4D32" w:rsidRDefault="00BD4D32" w:rsidP="00502D07">
      <w:pPr>
        <w:pStyle w:val="SpecificCode"/>
      </w:pPr>
      <w:r>
        <w:t>74-</w:t>
      </w:r>
      <w:r>
        <w:tab/>
        <w:t>On or before October 21, 1974</w:t>
      </w:r>
    </w:p>
    <w:p w:rsidR="00BD4D32" w:rsidRDefault="00BD4D32" w:rsidP="00502D07">
      <w:pPr>
        <w:pStyle w:val="SpecificCode"/>
        <w:spacing w:after="200"/>
      </w:pPr>
      <w:r>
        <w:t>74+</w:t>
      </w:r>
      <w:r>
        <w:tab/>
        <w:t>After October 21, 1974</w:t>
      </w:r>
    </w:p>
    <w:p w:rsidR="00BD4D32" w:rsidRPr="00383B94" w:rsidRDefault="00BD4D32" w:rsidP="00F0280F">
      <w:pPr>
        <w:pStyle w:val="BoldComplete"/>
        <w:numPr>
          <w:ilvl w:val="0"/>
          <w:numId w:val="18"/>
        </w:numPr>
        <w:tabs>
          <w:tab w:val="left" w:pos="547"/>
        </w:tabs>
        <w:spacing w:after="240"/>
        <w:ind w:left="547" w:hanging="547"/>
        <w:contextualSpacing w:val="0"/>
        <w:rPr>
          <w:rFonts w:ascii="Times New Roman" w:hAnsi="Times New Roman" w:cs="Times New Roman"/>
        </w:rPr>
      </w:pPr>
      <w:r w:rsidRPr="00383B94">
        <w:rPr>
          <w:rFonts w:ascii="Times New Roman" w:hAnsi="Times New Roman" w:cs="Times New Roman"/>
        </w:rPr>
        <w:t>Continue only if “Construction/Modification date” is “74+</w:t>
      </w:r>
      <w:r w:rsidR="00844695" w:rsidRPr="00383B94">
        <w:rPr>
          <w:rFonts w:ascii="Times New Roman" w:hAnsi="Times New Roman" w:cs="Times New Roman"/>
        </w:rPr>
        <w:t>.”</w:t>
      </w:r>
    </w:p>
    <w:p w:rsidR="00BD4D32" w:rsidRDefault="00BD4D32" w:rsidP="00BD4D32">
      <w:r w:rsidRPr="00F0280F">
        <w:rPr>
          <w:rStyle w:val="Question"/>
          <w:u w:val="none"/>
        </w:rPr>
        <w:t>Unit Type</w:t>
      </w:r>
      <w:r w:rsidRPr="00C51A16">
        <w:rPr>
          <w:rStyle w:val="Question"/>
          <w:u w:val="none"/>
        </w:rPr>
        <w:t>:</w:t>
      </w:r>
      <w:r>
        <w:t xml:space="preserve">  Select one of the following options to describe the unit located at a ferroalloy production plant. Enter the code on the form.</w:t>
      </w:r>
    </w:p>
    <w:p w:rsidR="00BD4D32" w:rsidRPr="00F0280F" w:rsidRDefault="00BD4D32" w:rsidP="00502D07">
      <w:pPr>
        <w:pStyle w:val="SpecificCode"/>
      </w:pPr>
      <w:r w:rsidRPr="00F0280F">
        <w:t>Code</w:t>
      </w:r>
      <w:r w:rsidRPr="00F0280F">
        <w:tab/>
        <w:t>Description</w:t>
      </w:r>
    </w:p>
    <w:p w:rsidR="00BD4D32" w:rsidRDefault="00BD4D32" w:rsidP="00502D07">
      <w:pPr>
        <w:pStyle w:val="SpecificCode"/>
      </w:pPr>
      <w:r>
        <w:t>EAF</w:t>
      </w:r>
      <w:r>
        <w:tab/>
        <w:t xml:space="preserve">Electric submerged arc furnace </w:t>
      </w:r>
    </w:p>
    <w:p w:rsidR="00BD4D32" w:rsidRDefault="00BD4D32" w:rsidP="00502D07">
      <w:pPr>
        <w:pStyle w:val="SpecificCode"/>
        <w:spacing w:after="200"/>
      </w:pPr>
      <w:r>
        <w:t>DUST</w:t>
      </w:r>
      <w:r>
        <w:tab/>
        <w:t>Electric submerged arc furnace with dust handling equipment</w:t>
      </w:r>
    </w:p>
    <w:p w:rsidR="00BD4D32" w:rsidRDefault="00BD4D32" w:rsidP="00BD4D32">
      <w:r w:rsidRPr="00F0280F">
        <w:rPr>
          <w:rStyle w:val="Question"/>
          <w:u w:val="none"/>
        </w:rPr>
        <w:t>Ferroalloy Produced</w:t>
      </w:r>
      <w:r w:rsidRPr="00C51A16">
        <w:rPr>
          <w:rStyle w:val="Question"/>
          <w:u w:val="none"/>
        </w:rPr>
        <w:t>:</w:t>
      </w:r>
      <w:r>
        <w:t xml:space="preserve">  Select one of the following options for the type of ferroalloy produced by the electric submerged arc furnace. Enter the code on the form.</w:t>
      </w:r>
    </w:p>
    <w:p w:rsidR="00BD4D32" w:rsidRPr="00F0280F" w:rsidRDefault="00BD4D32" w:rsidP="00502D07">
      <w:pPr>
        <w:pStyle w:val="SpecificCode"/>
      </w:pPr>
      <w:r w:rsidRPr="00F0280F">
        <w:t>Code</w:t>
      </w:r>
      <w:r w:rsidRPr="00F0280F">
        <w:tab/>
        <w:t>Description</w:t>
      </w:r>
    </w:p>
    <w:p w:rsidR="00BD4D32" w:rsidRDefault="00BD4D32" w:rsidP="00502D07">
      <w:pPr>
        <w:pStyle w:val="SpecificCode"/>
      </w:pPr>
      <w:r>
        <w:t>262A1</w:t>
      </w:r>
      <w:r>
        <w:tab/>
        <w:t>Any of the following:  silicon metal, ferrosilicon, calcium silicon, or silicomanganese zirconium</w:t>
      </w:r>
    </w:p>
    <w:p w:rsidR="00BD4D32" w:rsidRDefault="00BD4D32" w:rsidP="00502D07">
      <w:pPr>
        <w:pStyle w:val="SpecificCode"/>
        <w:spacing w:after="200"/>
      </w:pPr>
      <w:r>
        <w:t>262A2</w:t>
      </w:r>
      <w:r>
        <w:tab/>
        <w:t>Any of the following:  ferrochrome silicon, silvery iron, high-carbon ferrochrome, charge chrome, standard ferromanganese, silicomanganese, ferromanganese silicon, or calcium carbide</w:t>
      </w:r>
    </w:p>
    <w:p w:rsidR="00782260" w:rsidRDefault="00782260" w:rsidP="00BD4D32">
      <w:pPr>
        <w:rPr>
          <w:rStyle w:val="Question"/>
          <w:u w:val="none"/>
        </w:rPr>
      </w:pPr>
      <w:r>
        <w:rPr>
          <w:rStyle w:val="Question"/>
          <w:u w:val="none"/>
        </w:rPr>
        <w:br w:type="page"/>
      </w:r>
    </w:p>
    <w:p w:rsidR="00BD4D32" w:rsidRDefault="00BD4D32" w:rsidP="00BD4D32">
      <w:r w:rsidRPr="00F0280F">
        <w:rPr>
          <w:rStyle w:val="Question"/>
          <w:u w:val="none"/>
        </w:rPr>
        <w:lastRenderedPageBreak/>
        <w:t>Volumetric Flow Rate Determination</w:t>
      </w:r>
      <w:r w:rsidRPr="00F0280F">
        <w:rPr>
          <w:b/>
        </w:rPr>
        <w:t>:</w:t>
      </w:r>
      <w:r>
        <w:t xml:space="preserve">  Select one of the following options for the method used to determine the volumetric flow rate through the capture system. Enter the code on the form.</w:t>
      </w:r>
    </w:p>
    <w:p w:rsidR="00BD4D32" w:rsidRPr="00F0280F" w:rsidRDefault="00BD4D32" w:rsidP="00502D07">
      <w:pPr>
        <w:pStyle w:val="SpecificCode"/>
      </w:pPr>
      <w:r w:rsidRPr="00F0280F">
        <w:t>Code</w:t>
      </w:r>
      <w:r w:rsidRPr="00F0280F">
        <w:tab/>
        <w:t>Description</w:t>
      </w:r>
    </w:p>
    <w:p w:rsidR="00BD4D32" w:rsidRDefault="00BD4D32" w:rsidP="00502D07">
      <w:pPr>
        <w:pStyle w:val="SpecificCode"/>
      </w:pPr>
      <w:r>
        <w:t>CMS265C</w:t>
      </w:r>
      <w:r>
        <w:tab/>
        <w:t>The owner or operator is maintaining a monitoring device that continuously measures and records the volumetric flow rate through each hood of the capture system</w:t>
      </w:r>
    </w:p>
    <w:p w:rsidR="00BD4D32" w:rsidRDefault="00BD4D32" w:rsidP="00502D07">
      <w:pPr>
        <w:pStyle w:val="SpecificCode"/>
      </w:pPr>
      <w:r>
        <w:t>ALT265E</w:t>
      </w:r>
      <w:r>
        <w:tab/>
        <w:t>The owner or operator is determining volumetric flow rate through the capture system by using the fan power consumption, pressure drop across the fan, and the fan performance curve</w:t>
      </w:r>
    </w:p>
    <w:p w:rsidR="00502D07" w:rsidRDefault="00502D07">
      <w:pPr>
        <w:sectPr w:rsidR="00502D07" w:rsidSect="00502D07">
          <w:headerReference w:type="first" r:id="rId14"/>
          <w:pgSz w:w="12240" w:h="15840"/>
          <w:pgMar w:top="720" w:right="720" w:bottom="720" w:left="720" w:header="720" w:footer="576" w:gutter="0"/>
          <w:cols w:space="720"/>
          <w:titlePg/>
          <w:docGrid w:linePitch="360"/>
        </w:sectPr>
      </w:pPr>
    </w:p>
    <w:p w:rsidR="00E813B5" w:rsidRPr="00E813B5" w:rsidRDefault="00E813B5" w:rsidP="00721D02">
      <w:pPr>
        <w:spacing w:after="0" w:line="240" w:lineRule="auto"/>
        <w:jc w:val="center"/>
        <w:rPr>
          <w:b/>
          <w:noProof/>
          <w:sz w:val="24"/>
          <w:szCs w:val="24"/>
          <w:lang w:bidi="ar-SA"/>
        </w:rPr>
      </w:pPr>
      <w:r w:rsidRPr="00E813B5">
        <w:rPr>
          <w:b/>
          <w:noProof/>
          <w:sz w:val="24"/>
          <w:szCs w:val="24"/>
          <w:lang w:bidi="ar-SA"/>
        </w:rPr>
        <w:lastRenderedPageBreak/>
        <w:t>Texas Commission on Environmental Quality</w:t>
      </w:r>
    </w:p>
    <w:p w:rsidR="00721D02" w:rsidRPr="00E813B5" w:rsidRDefault="00721D02" w:rsidP="00721D02">
      <w:pPr>
        <w:spacing w:after="0" w:line="240" w:lineRule="auto"/>
        <w:jc w:val="center"/>
        <w:rPr>
          <w:b/>
          <w:sz w:val="24"/>
          <w:szCs w:val="24"/>
        </w:rPr>
      </w:pPr>
      <w:r w:rsidRPr="00E813B5">
        <w:rPr>
          <w:b/>
          <w:sz w:val="24"/>
          <w:szCs w:val="24"/>
        </w:rPr>
        <w:t>Ferroalloy Production Facilities Attributes</w:t>
      </w:r>
    </w:p>
    <w:p w:rsidR="00721D02" w:rsidRPr="00E813B5" w:rsidRDefault="00721D02" w:rsidP="00721D02">
      <w:pPr>
        <w:spacing w:after="0" w:line="240" w:lineRule="auto"/>
        <w:jc w:val="center"/>
        <w:rPr>
          <w:b/>
          <w:sz w:val="24"/>
          <w:szCs w:val="24"/>
        </w:rPr>
      </w:pPr>
      <w:r w:rsidRPr="00E813B5">
        <w:rPr>
          <w:b/>
          <w:sz w:val="24"/>
          <w:szCs w:val="24"/>
        </w:rPr>
        <w:t>Form OP-UA40 (Page 1)</w:t>
      </w:r>
    </w:p>
    <w:p w:rsidR="00721D02" w:rsidRPr="00E813B5" w:rsidRDefault="00721D02" w:rsidP="00E813B5">
      <w:pPr>
        <w:spacing w:after="120" w:line="240" w:lineRule="auto"/>
        <w:jc w:val="center"/>
        <w:rPr>
          <w:b/>
          <w:sz w:val="24"/>
          <w:szCs w:val="24"/>
        </w:rPr>
      </w:pPr>
      <w:r w:rsidRPr="00E813B5">
        <w:rPr>
          <w:b/>
          <w:sz w:val="24"/>
          <w:szCs w:val="24"/>
        </w:rPr>
        <w:t>Federal Operating Permit Program</w:t>
      </w:r>
    </w:p>
    <w:p w:rsidR="00721D02" w:rsidRPr="00E813B5" w:rsidRDefault="00721D02" w:rsidP="00721D02">
      <w:pPr>
        <w:spacing w:after="0" w:line="240" w:lineRule="auto"/>
        <w:jc w:val="center"/>
        <w:outlineLvl w:val="0"/>
        <w:rPr>
          <w:b/>
          <w:sz w:val="24"/>
          <w:szCs w:val="24"/>
        </w:rPr>
      </w:pPr>
      <w:r w:rsidRPr="00E813B5">
        <w:rPr>
          <w:b/>
          <w:sz w:val="24"/>
          <w:szCs w:val="24"/>
        </w:rPr>
        <w:t>Table 1:  Title 40 Code of Federal Regulations Part 60 (40 CFR Part 60)</w:t>
      </w:r>
    </w:p>
    <w:p w:rsidR="00721D02" w:rsidRPr="00721D02" w:rsidRDefault="00721D02" w:rsidP="00E813B5">
      <w:pPr>
        <w:spacing w:after="360"/>
        <w:jc w:val="center"/>
        <w:rPr>
          <w:b/>
        </w:rPr>
      </w:pPr>
      <w:r w:rsidRPr="00E813B5">
        <w:rPr>
          <w:b/>
          <w:sz w:val="24"/>
          <w:szCs w:val="24"/>
        </w:rPr>
        <w:t>Subpart Z:  Standards of Performance for Ferroalloy Production Facilities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525"/>
        <w:gridCol w:w="4660"/>
        <w:gridCol w:w="6215"/>
      </w:tblGrid>
      <w:tr w:rsidR="00721D02" w:rsidRPr="00721D02" w:rsidTr="00FE77BC">
        <w:trPr>
          <w:cantSplit/>
          <w:trHeight w:val="346"/>
          <w:tblHeader/>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721D02" w:rsidRPr="00721D02" w:rsidRDefault="00721D02" w:rsidP="00721D02">
            <w:pPr>
              <w:widowControl w:val="0"/>
              <w:spacing w:after="0" w:line="240" w:lineRule="auto"/>
              <w:rPr>
                <w:rStyle w:val="Strong"/>
                <w:b/>
              </w:rPr>
            </w:pPr>
            <w:r w:rsidRPr="00721D02">
              <w:rPr>
                <w:rStyle w:val="Strong"/>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721D02" w:rsidRPr="00721D02" w:rsidRDefault="00721D02" w:rsidP="00721D02">
            <w:pPr>
              <w:widowControl w:val="0"/>
              <w:spacing w:after="0" w:line="240" w:lineRule="auto"/>
              <w:rPr>
                <w:rStyle w:val="Strong"/>
                <w:b/>
              </w:rPr>
            </w:pPr>
            <w:r w:rsidRPr="00721D02">
              <w:rPr>
                <w:rStyle w:val="Strong"/>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721D02" w:rsidRPr="00721D02" w:rsidRDefault="00721D02" w:rsidP="00721D02">
            <w:pPr>
              <w:widowControl w:val="0"/>
              <w:spacing w:after="0" w:line="240" w:lineRule="auto"/>
              <w:rPr>
                <w:rStyle w:val="Strong"/>
                <w:b/>
              </w:rPr>
            </w:pPr>
            <w:r w:rsidRPr="00721D02">
              <w:rPr>
                <w:rStyle w:val="Strong"/>
                <w:b/>
              </w:rPr>
              <w:t>Regulated Entity No.:</w:t>
            </w:r>
          </w:p>
        </w:tc>
      </w:tr>
      <w:tr w:rsidR="00721D02" w:rsidRPr="00721D02" w:rsidTr="00FE77BC">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721D02" w:rsidRPr="00721D02" w:rsidRDefault="00721D02" w:rsidP="00721D02">
            <w:pPr>
              <w:widowControl w:val="0"/>
              <w:spacing w:after="0" w:line="240" w:lineRule="auto"/>
              <w:rPr>
                <w:rStyle w:val="Strong"/>
                <w:b/>
              </w:rPr>
            </w:pPr>
            <w:r w:rsidRPr="00721D02">
              <w:rPr>
                <w:rStyle w:val="Strong"/>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721D02" w:rsidRPr="00721D02" w:rsidRDefault="00721D02" w:rsidP="00721D02">
            <w:pPr>
              <w:widowControl w:val="0"/>
              <w:spacing w:after="0" w:line="240" w:lineRule="auto"/>
              <w:rPr>
                <w:rStyle w:val="Strong"/>
                <w:b/>
              </w:rPr>
            </w:pPr>
            <w:r w:rsidRPr="00721D02">
              <w:rPr>
                <w:rStyle w:val="Strong"/>
                <w:b/>
              </w:rPr>
              <w:t>Customer Reference No.:</w:t>
            </w:r>
          </w:p>
        </w:tc>
      </w:tr>
    </w:tbl>
    <w:p w:rsidR="00721D02" w:rsidRDefault="00721D02" w:rsidP="00721D02">
      <w:pPr>
        <w:spacing w:after="0" w:line="240" w:lineRule="auto"/>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A0" w:firstRow="1" w:lastRow="0" w:firstColumn="1" w:lastColumn="0" w:noHBand="0" w:noVBand="0"/>
        <w:tblDescription w:val="Table Header Row"/>
      </w:tblPr>
      <w:tblGrid>
        <w:gridCol w:w="2070"/>
        <w:gridCol w:w="2610"/>
        <w:gridCol w:w="2250"/>
        <w:gridCol w:w="1800"/>
        <w:gridCol w:w="2610"/>
        <w:gridCol w:w="3060"/>
      </w:tblGrid>
      <w:tr w:rsidR="00721D02" w:rsidRPr="00B34DE0" w:rsidTr="00FE77BC">
        <w:trPr>
          <w:cantSplit/>
          <w:trHeight w:val="374"/>
          <w:tblHeader/>
          <w:jc w:val="center"/>
        </w:trPr>
        <w:tc>
          <w:tcPr>
            <w:tcW w:w="207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bookmarkStart w:id="1" w:name="TableHeaderRow"/>
            <w:r w:rsidRPr="00B34DE0">
              <w:rPr>
                <w:b/>
              </w:rPr>
              <w:t>Unit ID No.</w:t>
            </w:r>
          </w:p>
        </w:tc>
        <w:tc>
          <w:tcPr>
            <w:tcW w:w="261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r w:rsidRPr="00B34DE0">
              <w:rPr>
                <w:b/>
              </w:rPr>
              <w:t>SOP Index No.</w:t>
            </w:r>
          </w:p>
        </w:tc>
        <w:tc>
          <w:tcPr>
            <w:tcW w:w="225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r w:rsidRPr="00B34DE0">
              <w:rPr>
                <w:b/>
              </w:rPr>
              <w:t>Construction/</w:t>
            </w:r>
            <w:r>
              <w:rPr>
                <w:b/>
              </w:rPr>
              <w:t xml:space="preserve"> </w:t>
            </w:r>
            <w:r w:rsidRPr="00B34DE0">
              <w:rPr>
                <w:b/>
              </w:rPr>
              <w:t>Modification Date</w:t>
            </w:r>
          </w:p>
        </w:tc>
        <w:tc>
          <w:tcPr>
            <w:tcW w:w="180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r w:rsidRPr="00B34DE0">
              <w:rPr>
                <w:b/>
              </w:rPr>
              <w:t>Unit Type</w:t>
            </w:r>
          </w:p>
        </w:tc>
        <w:tc>
          <w:tcPr>
            <w:tcW w:w="261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r w:rsidRPr="00B34DE0">
              <w:rPr>
                <w:b/>
              </w:rPr>
              <w:t>Ferroalloy Produced</w:t>
            </w:r>
          </w:p>
        </w:tc>
        <w:tc>
          <w:tcPr>
            <w:tcW w:w="3060" w:type="dxa"/>
            <w:tcBorders>
              <w:top w:val="double" w:sz="6" w:space="0" w:color="000000"/>
              <w:bottom w:val="single" w:sz="6" w:space="0" w:color="000000"/>
            </w:tcBorders>
            <w:shd w:val="pct10" w:color="000000" w:fill="auto"/>
            <w:tcMar>
              <w:top w:w="58" w:type="dxa"/>
              <w:bottom w:w="58" w:type="dxa"/>
            </w:tcMar>
            <w:vAlign w:val="center"/>
          </w:tcPr>
          <w:p w:rsidR="00721D02" w:rsidRPr="00B34DE0" w:rsidRDefault="00721D02" w:rsidP="00721D02">
            <w:pPr>
              <w:spacing w:after="0" w:line="240" w:lineRule="auto"/>
              <w:jc w:val="center"/>
              <w:rPr>
                <w:b/>
              </w:rPr>
            </w:pPr>
            <w:r w:rsidRPr="00B34DE0">
              <w:rPr>
                <w:b/>
              </w:rPr>
              <w:t>Volumetric Flow Rate Determination</w:t>
            </w:r>
          </w:p>
        </w:tc>
      </w:tr>
      <w:bookmarkEnd w:id="1"/>
      <w:tr w:rsidR="00721D02" w:rsidRPr="00B34DE0" w:rsidTr="00FE77BC">
        <w:trPr>
          <w:cantSplit/>
          <w:trHeight w:val="432"/>
          <w:jc w:val="center"/>
        </w:trPr>
        <w:tc>
          <w:tcPr>
            <w:tcW w:w="2070" w:type="dxa"/>
            <w:tcBorders>
              <w:top w:val="single" w:sz="6" w:space="0" w:color="000000"/>
            </w:tcBorders>
            <w:tcMar>
              <w:top w:w="43" w:type="dxa"/>
              <w:bottom w:w="43" w:type="dxa"/>
            </w:tcMar>
          </w:tcPr>
          <w:p w:rsidR="00721D02" w:rsidRPr="00B34DE0" w:rsidRDefault="00721D02" w:rsidP="00721D02">
            <w:pPr>
              <w:spacing w:after="0" w:line="240" w:lineRule="auto"/>
            </w:pPr>
          </w:p>
        </w:tc>
        <w:tc>
          <w:tcPr>
            <w:tcW w:w="2610" w:type="dxa"/>
            <w:tcBorders>
              <w:top w:val="single" w:sz="6" w:space="0" w:color="000000"/>
            </w:tcBorders>
            <w:tcMar>
              <w:top w:w="43" w:type="dxa"/>
              <w:bottom w:w="43" w:type="dxa"/>
            </w:tcMar>
          </w:tcPr>
          <w:p w:rsidR="00721D02" w:rsidRPr="00B34DE0" w:rsidRDefault="00721D02" w:rsidP="00721D02">
            <w:pPr>
              <w:spacing w:after="0" w:line="240" w:lineRule="auto"/>
            </w:pPr>
          </w:p>
        </w:tc>
        <w:tc>
          <w:tcPr>
            <w:tcW w:w="2250" w:type="dxa"/>
            <w:tcBorders>
              <w:top w:val="single" w:sz="6" w:space="0" w:color="000000"/>
            </w:tcBorders>
            <w:tcMar>
              <w:top w:w="43" w:type="dxa"/>
              <w:bottom w:w="43" w:type="dxa"/>
            </w:tcMar>
          </w:tcPr>
          <w:p w:rsidR="00721D02" w:rsidRPr="00B34DE0" w:rsidRDefault="00721D02" w:rsidP="00721D02">
            <w:pPr>
              <w:spacing w:after="0" w:line="240" w:lineRule="auto"/>
            </w:pPr>
          </w:p>
        </w:tc>
        <w:tc>
          <w:tcPr>
            <w:tcW w:w="1800" w:type="dxa"/>
            <w:tcBorders>
              <w:top w:val="single" w:sz="6" w:space="0" w:color="000000"/>
            </w:tcBorders>
            <w:tcMar>
              <w:top w:w="43" w:type="dxa"/>
              <w:bottom w:w="43" w:type="dxa"/>
            </w:tcMar>
          </w:tcPr>
          <w:p w:rsidR="00721D02" w:rsidRPr="00B34DE0" w:rsidRDefault="00721D02" w:rsidP="00721D02">
            <w:pPr>
              <w:spacing w:after="0" w:line="240" w:lineRule="auto"/>
            </w:pPr>
          </w:p>
        </w:tc>
        <w:tc>
          <w:tcPr>
            <w:tcW w:w="2610" w:type="dxa"/>
            <w:tcBorders>
              <w:top w:val="single" w:sz="6" w:space="0" w:color="000000"/>
            </w:tcBorders>
            <w:tcMar>
              <w:top w:w="43" w:type="dxa"/>
              <w:bottom w:w="43" w:type="dxa"/>
            </w:tcMar>
          </w:tcPr>
          <w:p w:rsidR="00721D02" w:rsidRPr="00B34DE0" w:rsidRDefault="00721D02" w:rsidP="00721D02">
            <w:pPr>
              <w:spacing w:after="0" w:line="240" w:lineRule="auto"/>
            </w:pPr>
          </w:p>
        </w:tc>
        <w:tc>
          <w:tcPr>
            <w:tcW w:w="3060" w:type="dxa"/>
            <w:tcBorders>
              <w:top w:val="single" w:sz="6" w:space="0" w:color="000000"/>
            </w:tcBorders>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r w:rsidR="00721D02" w:rsidRPr="00B34DE0" w:rsidTr="00FE77BC">
        <w:trPr>
          <w:cantSplit/>
          <w:trHeight w:val="432"/>
          <w:jc w:val="center"/>
        </w:trPr>
        <w:tc>
          <w:tcPr>
            <w:tcW w:w="207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2250" w:type="dxa"/>
            <w:tcMar>
              <w:top w:w="43" w:type="dxa"/>
              <w:bottom w:w="43" w:type="dxa"/>
            </w:tcMar>
          </w:tcPr>
          <w:p w:rsidR="00721D02" w:rsidRPr="00B34DE0" w:rsidRDefault="00721D02" w:rsidP="00721D02">
            <w:pPr>
              <w:spacing w:after="0" w:line="240" w:lineRule="auto"/>
            </w:pPr>
          </w:p>
        </w:tc>
        <w:tc>
          <w:tcPr>
            <w:tcW w:w="1800" w:type="dxa"/>
            <w:tcMar>
              <w:top w:w="43" w:type="dxa"/>
              <w:bottom w:w="43" w:type="dxa"/>
            </w:tcMar>
          </w:tcPr>
          <w:p w:rsidR="00721D02" w:rsidRPr="00B34DE0" w:rsidRDefault="00721D02" w:rsidP="00721D02">
            <w:pPr>
              <w:spacing w:after="0" w:line="240" w:lineRule="auto"/>
            </w:pPr>
          </w:p>
        </w:tc>
        <w:tc>
          <w:tcPr>
            <w:tcW w:w="2610" w:type="dxa"/>
            <w:tcMar>
              <w:top w:w="43" w:type="dxa"/>
              <w:bottom w:w="43" w:type="dxa"/>
            </w:tcMar>
          </w:tcPr>
          <w:p w:rsidR="00721D02" w:rsidRPr="00B34DE0" w:rsidRDefault="00721D02" w:rsidP="00721D02">
            <w:pPr>
              <w:spacing w:after="0" w:line="240" w:lineRule="auto"/>
            </w:pPr>
          </w:p>
        </w:tc>
        <w:tc>
          <w:tcPr>
            <w:tcW w:w="3060" w:type="dxa"/>
            <w:tcMar>
              <w:top w:w="43" w:type="dxa"/>
              <w:bottom w:w="43" w:type="dxa"/>
            </w:tcMar>
          </w:tcPr>
          <w:p w:rsidR="00721D02" w:rsidRPr="00B34DE0" w:rsidRDefault="00721D02" w:rsidP="00721D02">
            <w:pPr>
              <w:spacing w:after="0" w:line="240" w:lineRule="auto"/>
            </w:pPr>
          </w:p>
        </w:tc>
      </w:tr>
    </w:tbl>
    <w:p w:rsidR="00721D02" w:rsidRDefault="00721D02" w:rsidP="00721D02">
      <w:pPr>
        <w:spacing w:after="0" w:line="240" w:lineRule="auto"/>
      </w:pPr>
    </w:p>
    <w:sectPr w:rsidR="00721D02" w:rsidSect="00502D07">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69" w:rsidRDefault="007F1B69" w:rsidP="00502D07">
      <w:pPr>
        <w:spacing w:after="0" w:line="240" w:lineRule="auto"/>
      </w:pPr>
      <w:r>
        <w:separator/>
      </w:r>
    </w:p>
  </w:endnote>
  <w:endnote w:type="continuationSeparator" w:id="0">
    <w:p w:rsidR="007F1B69" w:rsidRDefault="007F1B69" w:rsidP="0050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284" w:rsidRDefault="00502D07" w:rsidP="00F0280F">
    <w:pPr>
      <w:spacing w:after="0" w:line="240" w:lineRule="auto"/>
      <w:rPr>
        <w:rFonts w:cs="Times New Roman"/>
        <w:b/>
        <w:sz w:val="16"/>
        <w:szCs w:val="16"/>
      </w:rPr>
    </w:pPr>
    <w:r w:rsidRPr="00F0280F">
      <w:rPr>
        <w:rFonts w:cs="Times New Roman"/>
        <w:b/>
        <w:sz w:val="16"/>
        <w:szCs w:val="16"/>
      </w:rPr>
      <w:t>TCEQ 10091 (</w:t>
    </w:r>
    <w:r w:rsidR="00F0280F">
      <w:rPr>
        <w:rFonts w:cs="Times New Roman"/>
        <w:b/>
        <w:sz w:val="16"/>
        <w:szCs w:val="16"/>
      </w:rPr>
      <w:t xml:space="preserve">APDG 5170v8, </w:t>
    </w:r>
    <w:r w:rsidRPr="00F0280F">
      <w:rPr>
        <w:rFonts w:cs="Times New Roman"/>
        <w:b/>
        <w:sz w:val="16"/>
        <w:szCs w:val="16"/>
      </w:rPr>
      <w:t xml:space="preserve">Revised </w:t>
    </w:r>
    <w:r w:rsidR="006F4733">
      <w:rPr>
        <w:rFonts w:cs="Times New Roman"/>
        <w:b/>
        <w:sz w:val="16"/>
        <w:szCs w:val="16"/>
      </w:rPr>
      <w:t>1</w:t>
    </w:r>
    <w:r w:rsidR="00FE77BC">
      <w:rPr>
        <w:rFonts w:cs="Times New Roman"/>
        <w:b/>
        <w:sz w:val="16"/>
        <w:szCs w:val="16"/>
      </w:rPr>
      <w:t>2</w:t>
    </w:r>
    <w:r w:rsidR="00F0280F">
      <w:rPr>
        <w:rFonts w:cs="Times New Roman"/>
        <w:b/>
        <w:sz w:val="16"/>
        <w:szCs w:val="16"/>
      </w:rPr>
      <w:t>/15</w:t>
    </w:r>
    <w:r w:rsidRPr="00F0280F">
      <w:rPr>
        <w:rFonts w:cs="Times New Roman"/>
        <w:b/>
        <w:sz w:val="16"/>
        <w:szCs w:val="16"/>
      </w:rPr>
      <w:t>) OP-UA40</w:t>
    </w:r>
  </w:p>
  <w:p w:rsidR="00502D07" w:rsidRPr="00F0280F" w:rsidRDefault="00502D07" w:rsidP="00F0280F">
    <w:pPr>
      <w:spacing w:after="0" w:line="240" w:lineRule="auto"/>
      <w:rPr>
        <w:rFonts w:cs="Times New Roman"/>
        <w:b/>
        <w:sz w:val="16"/>
        <w:szCs w:val="16"/>
      </w:rPr>
    </w:pPr>
    <w:r w:rsidRPr="00F0280F">
      <w:rPr>
        <w:rFonts w:cs="Times New Roman"/>
        <w:b/>
        <w:sz w:val="16"/>
        <w:szCs w:val="16"/>
      </w:rPr>
      <w:t xml:space="preserve">This form is for use by </w:t>
    </w:r>
    <w:r w:rsidR="003B75B3">
      <w:rPr>
        <w:rFonts w:cs="Times New Roman"/>
        <w:b/>
        <w:sz w:val="16"/>
        <w:szCs w:val="16"/>
      </w:rPr>
      <w:t>facilities</w:t>
    </w:r>
    <w:r w:rsidR="003B75B3" w:rsidRPr="00F0280F">
      <w:rPr>
        <w:rFonts w:cs="Times New Roman"/>
        <w:b/>
        <w:sz w:val="16"/>
        <w:szCs w:val="16"/>
      </w:rPr>
      <w:t xml:space="preserve"> </w:t>
    </w:r>
    <w:r w:rsidRPr="00F0280F">
      <w:rPr>
        <w:rFonts w:cs="Times New Roman"/>
        <w:b/>
        <w:sz w:val="16"/>
        <w:szCs w:val="16"/>
      </w:rPr>
      <w:t xml:space="preserve">subject to air quality permit requirements </w:t>
    </w:r>
  </w:p>
  <w:p w:rsidR="00502D07" w:rsidRPr="00F0280F" w:rsidRDefault="00502D07" w:rsidP="00F0280F">
    <w:pPr>
      <w:pStyle w:val="Footer"/>
      <w:tabs>
        <w:tab w:val="clear" w:pos="4680"/>
        <w:tab w:val="clear" w:pos="9360"/>
        <w:tab w:val="right" w:pos="10440"/>
      </w:tabs>
      <w:rPr>
        <w:rFonts w:cs="Times New Roman"/>
        <w:b/>
        <w:sz w:val="16"/>
        <w:szCs w:val="16"/>
      </w:rPr>
    </w:pPr>
    <w:r w:rsidRPr="00F0280F">
      <w:rPr>
        <w:rFonts w:cs="Times New Roman"/>
        <w:b/>
        <w:sz w:val="16"/>
        <w:szCs w:val="16"/>
      </w:rPr>
      <w:t>and may be revised periodically. (</w:t>
    </w:r>
    <w:r w:rsidR="00F0280F">
      <w:rPr>
        <w:rFonts w:cs="Times New Roman"/>
        <w:b/>
        <w:sz w:val="16"/>
        <w:szCs w:val="16"/>
      </w:rPr>
      <w:t>Title V Release 11/04</w:t>
    </w:r>
    <w:r w:rsidRPr="00F0280F">
      <w:rPr>
        <w:rFonts w:cs="Times New Roman"/>
        <w:b/>
        <w:sz w:val="16"/>
        <w:szCs w:val="16"/>
      </w:rPr>
      <w:t>)</w:t>
    </w:r>
    <w:r w:rsidRPr="00F0280F">
      <w:rPr>
        <w:rFonts w:cs="Times New Roman"/>
        <w:b/>
        <w:sz w:val="16"/>
        <w:szCs w:val="16"/>
      </w:rPr>
      <w:tab/>
    </w:r>
    <w:sdt>
      <w:sdtPr>
        <w:rPr>
          <w:rFonts w:cs="Times New Roman"/>
          <w:b/>
          <w:sz w:val="16"/>
          <w:szCs w:val="16"/>
        </w:rPr>
        <w:id w:val="-1427271006"/>
        <w:docPartObj>
          <w:docPartGallery w:val="Page Numbers (Top of Page)"/>
          <w:docPartUnique/>
        </w:docPartObj>
      </w:sdtPr>
      <w:sdtEndPr/>
      <w:sdtContent>
        <w:r w:rsidRPr="00F0280F">
          <w:rPr>
            <w:rFonts w:cs="Times New Roman"/>
            <w:b/>
            <w:sz w:val="16"/>
            <w:szCs w:val="16"/>
          </w:rPr>
          <w:t xml:space="preserve">Page </w:t>
        </w:r>
        <w:r w:rsidR="00C13454" w:rsidRPr="00F0280F">
          <w:rPr>
            <w:rFonts w:cs="Times New Roman"/>
            <w:b/>
            <w:sz w:val="16"/>
            <w:szCs w:val="16"/>
          </w:rPr>
          <w:fldChar w:fldCharType="begin"/>
        </w:r>
        <w:r w:rsidRPr="00F0280F">
          <w:rPr>
            <w:rFonts w:cs="Times New Roman"/>
            <w:b/>
            <w:sz w:val="16"/>
            <w:szCs w:val="16"/>
          </w:rPr>
          <w:instrText xml:space="preserve"> PAGE </w:instrText>
        </w:r>
        <w:r w:rsidR="00C13454" w:rsidRPr="00F0280F">
          <w:rPr>
            <w:rFonts w:cs="Times New Roman"/>
            <w:b/>
            <w:sz w:val="16"/>
            <w:szCs w:val="16"/>
          </w:rPr>
          <w:fldChar w:fldCharType="separate"/>
        </w:r>
        <w:r w:rsidR="00CE291F">
          <w:rPr>
            <w:rFonts w:cs="Times New Roman"/>
            <w:b/>
            <w:noProof/>
            <w:sz w:val="16"/>
            <w:szCs w:val="16"/>
          </w:rPr>
          <w:t>3</w:t>
        </w:r>
        <w:r w:rsidR="00C13454" w:rsidRPr="00F0280F">
          <w:rPr>
            <w:rFonts w:cs="Times New Roman"/>
            <w:b/>
            <w:sz w:val="16"/>
            <w:szCs w:val="16"/>
          </w:rPr>
          <w:fldChar w:fldCharType="end"/>
        </w:r>
        <w:r w:rsidRPr="00F0280F">
          <w:rPr>
            <w:rFonts w:cs="Times New Roman"/>
            <w:b/>
            <w:sz w:val="16"/>
            <w:szCs w:val="16"/>
          </w:rPr>
          <w:t xml:space="preserve"> of 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7" w:rsidRPr="00CA5BBC" w:rsidRDefault="00502D07" w:rsidP="00502D07">
    <w:pPr>
      <w:spacing w:before="120" w:after="0" w:line="240" w:lineRule="auto"/>
      <w:rPr>
        <w:b/>
        <w:sz w:val="16"/>
        <w:szCs w:val="16"/>
      </w:rPr>
    </w:pPr>
    <w:r w:rsidRPr="00CA5BBC">
      <w:rPr>
        <w:b/>
        <w:sz w:val="16"/>
        <w:szCs w:val="16"/>
      </w:rPr>
      <w:t>TCEQ 10091 (</w:t>
    </w:r>
    <w:r w:rsidR="003B75B3" w:rsidRPr="00CA5BBC">
      <w:rPr>
        <w:b/>
        <w:sz w:val="16"/>
        <w:szCs w:val="16"/>
      </w:rPr>
      <w:t>APDG 5170v</w:t>
    </w:r>
    <w:r w:rsidR="003B75B3">
      <w:rPr>
        <w:b/>
        <w:sz w:val="16"/>
        <w:szCs w:val="16"/>
      </w:rPr>
      <w:t xml:space="preserve">8, </w:t>
    </w:r>
    <w:r w:rsidRPr="00CA5BBC">
      <w:rPr>
        <w:b/>
        <w:sz w:val="16"/>
        <w:szCs w:val="16"/>
      </w:rPr>
      <w:t xml:space="preserve">Revised </w:t>
    </w:r>
    <w:r w:rsidR="006F4733">
      <w:rPr>
        <w:b/>
        <w:sz w:val="16"/>
        <w:szCs w:val="16"/>
      </w:rPr>
      <w:t>1</w:t>
    </w:r>
    <w:r w:rsidR="00FE77BC">
      <w:rPr>
        <w:b/>
        <w:sz w:val="16"/>
        <w:szCs w:val="16"/>
      </w:rPr>
      <w:t>2</w:t>
    </w:r>
    <w:r w:rsidR="003B75B3">
      <w:rPr>
        <w:b/>
        <w:sz w:val="16"/>
        <w:szCs w:val="16"/>
      </w:rPr>
      <w:t>/15</w:t>
    </w:r>
    <w:r w:rsidRPr="00CA5BBC">
      <w:rPr>
        <w:b/>
        <w:sz w:val="16"/>
        <w:szCs w:val="16"/>
      </w:rPr>
      <w:t>) OP-UA40</w:t>
    </w:r>
  </w:p>
  <w:p w:rsidR="00502D07" w:rsidRPr="00CA5BBC" w:rsidRDefault="00502D07" w:rsidP="00502D07">
    <w:pPr>
      <w:spacing w:after="0" w:line="240" w:lineRule="auto"/>
      <w:rPr>
        <w:b/>
        <w:sz w:val="16"/>
        <w:szCs w:val="16"/>
      </w:rPr>
    </w:pPr>
    <w:r w:rsidRPr="00CA5BBC">
      <w:rPr>
        <w:b/>
        <w:sz w:val="16"/>
        <w:szCs w:val="16"/>
      </w:rPr>
      <w:t xml:space="preserve">This form is for use by </w:t>
    </w:r>
    <w:r w:rsidR="003B75B3">
      <w:rPr>
        <w:b/>
        <w:sz w:val="16"/>
        <w:szCs w:val="16"/>
      </w:rPr>
      <w:t>facilities</w:t>
    </w:r>
    <w:r w:rsidR="003B75B3" w:rsidRPr="00CA5BBC">
      <w:rPr>
        <w:b/>
        <w:sz w:val="16"/>
        <w:szCs w:val="16"/>
      </w:rPr>
      <w:t xml:space="preserve"> </w:t>
    </w:r>
    <w:r w:rsidRPr="00CA5BBC">
      <w:rPr>
        <w:b/>
        <w:sz w:val="16"/>
        <w:szCs w:val="16"/>
      </w:rPr>
      <w:t xml:space="preserve">subject to air quality permit requirements </w:t>
    </w:r>
  </w:p>
  <w:p w:rsidR="00502D07" w:rsidRPr="00502D07" w:rsidRDefault="00502D07" w:rsidP="00502D07">
    <w:pPr>
      <w:pStyle w:val="Footer"/>
      <w:tabs>
        <w:tab w:val="clear" w:pos="4680"/>
        <w:tab w:val="clear" w:pos="9360"/>
        <w:tab w:val="right" w:pos="10440"/>
      </w:tabs>
      <w:rPr>
        <w:b/>
        <w:sz w:val="16"/>
        <w:szCs w:val="16"/>
      </w:rPr>
    </w:pPr>
    <w:r w:rsidRPr="00CA5BBC">
      <w:rPr>
        <w:b/>
        <w:sz w:val="16"/>
        <w:szCs w:val="16"/>
      </w:rPr>
      <w:t>and may be revised periodically</w:t>
    </w:r>
    <w:r w:rsidR="00844695" w:rsidRPr="00CA5BBC">
      <w:rPr>
        <w:b/>
        <w:sz w:val="16"/>
        <w:szCs w:val="16"/>
      </w:rPr>
      <w:t xml:space="preserve">. </w:t>
    </w:r>
    <w:r w:rsidRPr="00CA5BBC">
      <w:rPr>
        <w:b/>
        <w:sz w:val="16"/>
        <w:szCs w:val="16"/>
      </w:rPr>
      <w:t>(</w:t>
    </w:r>
    <w:r w:rsidR="003B75B3">
      <w:rPr>
        <w:b/>
        <w:sz w:val="16"/>
        <w:szCs w:val="16"/>
      </w:rPr>
      <w:t>Title V Release 11/04</w:t>
    </w:r>
    <w:r w:rsidRPr="00CA5BBC">
      <w:rPr>
        <w:b/>
        <w:sz w:val="16"/>
        <w:szCs w:val="16"/>
      </w:rPr>
      <w:t>)</w:t>
    </w:r>
    <w:r w:rsidRPr="00CA5BBC">
      <w:rPr>
        <w:b/>
        <w:sz w:val="16"/>
        <w:szCs w:val="16"/>
      </w:rPr>
      <w:tab/>
    </w:r>
    <w:sdt>
      <w:sdtPr>
        <w:rPr>
          <w:b/>
          <w:sz w:val="16"/>
          <w:szCs w:val="16"/>
        </w:rPr>
        <w:id w:val="565050523"/>
        <w:docPartObj>
          <w:docPartGallery w:val="Page Numbers (Top of Page)"/>
          <w:docPartUnique/>
        </w:docPartObj>
      </w:sdtPr>
      <w:sdtEndPr/>
      <w:sdtContent>
        <w:r w:rsidRPr="00502D07">
          <w:rPr>
            <w:b/>
            <w:sz w:val="16"/>
            <w:szCs w:val="16"/>
          </w:rPr>
          <w:t xml:space="preserve">Page </w:t>
        </w:r>
        <w:r w:rsidR="00C13454" w:rsidRPr="00502D07">
          <w:rPr>
            <w:b/>
            <w:sz w:val="16"/>
            <w:szCs w:val="16"/>
          </w:rPr>
          <w:fldChar w:fldCharType="begin"/>
        </w:r>
        <w:r w:rsidRPr="00502D07">
          <w:rPr>
            <w:b/>
            <w:sz w:val="16"/>
            <w:szCs w:val="16"/>
          </w:rPr>
          <w:instrText xml:space="preserve"> PAGE </w:instrText>
        </w:r>
        <w:r w:rsidR="00C13454" w:rsidRPr="00502D07">
          <w:rPr>
            <w:b/>
            <w:sz w:val="16"/>
            <w:szCs w:val="16"/>
          </w:rPr>
          <w:fldChar w:fldCharType="separate"/>
        </w:r>
        <w:r w:rsidR="00CE291F">
          <w:rPr>
            <w:b/>
            <w:noProof/>
            <w:sz w:val="16"/>
            <w:szCs w:val="16"/>
          </w:rPr>
          <w:t>2</w:t>
        </w:r>
        <w:r w:rsidR="00C13454" w:rsidRPr="00502D07">
          <w:rPr>
            <w:b/>
            <w:sz w:val="16"/>
            <w:szCs w:val="16"/>
          </w:rPr>
          <w:fldChar w:fldCharType="end"/>
        </w:r>
        <w:r w:rsidRPr="00502D07">
          <w:rPr>
            <w:b/>
            <w:sz w:val="16"/>
            <w:szCs w:val="16"/>
          </w:rPr>
          <w:t xml:space="preserve"> of </w:t>
        </w:r>
        <w:r>
          <w:rPr>
            <w:b/>
            <w:sz w:val="16"/>
            <w:szCs w:val="16"/>
          </w:rPr>
          <w:t>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B5" w:rsidRDefault="00502D07" w:rsidP="00502D07">
    <w:pPr>
      <w:tabs>
        <w:tab w:val="right" w:pos="14040"/>
      </w:tabs>
      <w:spacing w:after="0" w:line="240" w:lineRule="auto"/>
      <w:rPr>
        <w:rFonts w:cs="Times New Roman"/>
        <w:b/>
        <w:sz w:val="16"/>
        <w:szCs w:val="16"/>
      </w:rPr>
    </w:pPr>
    <w:r w:rsidRPr="00E813B5">
      <w:rPr>
        <w:rFonts w:cs="Times New Roman"/>
        <w:b/>
        <w:sz w:val="16"/>
        <w:szCs w:val="16"/>
      </w:rPr>
      <w:t>TCEQ 10091 (</w:t>
    </w:r>
    <w:r w:rsidR="00E813B5">
      <w:rPr>
        <w:rFonts w:cs="Times New Roman"/>
        <w:b/>
        <w:sz w:val="16"/>
        <w:szCs w:val="16"/>
      </w:rPr>
      <w:t xml:space="preserve">APDG 5170v8, </w:t>
    </w:r>
    <w:r w:rsidRPr="00E813B5">
      <w:rPr>
        <w:rFonts w:cs="Times New Roman"/>
        <w:b/>
        <w:sz w:val="16"/>
        <w:szCs w:val="16"/>
      </w:rPr>
      <w:t xml:space="preserve">Revised </w:t>
    </w:r>
    <w:r w:rsidR="006F4733">
      <w:rPr>
        <w:rFonts w:cs="Times New Roman"/>
        <w:b/>
        <w:sz w:val="16"/>
        <w:szCs w:val="16"/>
      </w:rPr>
      <w:t>1</w:t>
    </w:r>
    <w:r w:rsidR="00C649EF">
      <w:rPr>
        <w:rFonts w:cs="Times New Roman"/>
        <w:b/>
        <w:sz w:val="16"/>
        <w:szCs w:val="16"/>
      </w:rPr>
      <w:t>2</w:t>
    </w:r>
    <w:r w:rsidR="003B75B3">
      <w:rPr>
        <w:rFonts w:cs="Times New Roman"/>
        <w:b/>
        <w:sz w:val="16"/>
        <w:szCs w:val="16"/>
      </w:rPr>
      <w:t>/15</w:t>
    </w:r>
    <w:r w:rsidRPr="00E813B5">
      <w:rPr>
        <w:rFonts w:cs="Times New Roman"/>
        <w:b/>
        <w:sz w:val="16"/>
        <w:szCs w:val="16"/>
      </w:rPr>
      <w:t>) OP-UA40</w:t>
    </w:r>
  </w:p>
  <w:p w:rsidR="00502D07" w:rsidRPr="00E813B5" w:rsidRDefault="00502D07" w:rsidP="00502D07">
    <w:pPr>
      <w:tabs>
        <w:tab w:val="right" w:pos="14040"/>
      </w:tabs>
      <w:spacing w:after="0" w:line="240" w:lineRule="auto"/>
      <w:rPr>
        <w:rFonts w:cs="Times New Roman"/>
        <w:b/>
        <w:sz w:val="16"/>
        <w:szCs w:val="16"/>
      </w:rPr>
    </w:pPr>
    <w:r w:rsidRPr="00E813B5">
      <w:rPr>
        <w:rFonts w:cs="Times New Roman"/>
        <w:b/>
        <w:sz w:val="16"/>
        <w:szCs w:val="16"/>
      </w:rPr>
      <w:t xml:space="preserve">This form is for use by </w:t>
    </w:r>
    <w:r w:rsidR="003B75B3">
      <w:rPr>
        <w:rFonts w:cs="Times New Roman"/>
        <w:b/>
        <w:sz w:val="16"/>
        <w:szCs w:val="16"/>
      </w:rPr>
      <w:t>facilities</w:t>
    </w:r>
    <w:r w:rsidR="003B75B3" w:rsidRPr="00E813B5">
      <w:rPr>
        <w:rFonts w:cs="Times New Roman"/>
        <w:b/>
        <w:sz w:val="16"/>
        <w:szCs w:val="16"/>
      </w:rPr>
      <w:t xml:space="preserve"> </w:t>
    </w:r>
    <w:r w:rsidRPr="00E813B5">
      <w:rPr>
        <w:rFonts w:cs="Times New Roman"/>
        <w:b/>
        <w:sz w:val="16"/>
        <w:szCs w:val="16"/>
      </w:rPr>
      <w:t xml:space="preserve">subject to air quality permit requirements </w:t>
    </w:r>
  </w:p>
  <w:p w:rsidR="00502D07" w:rsidRPr="00E813B5" w:rsidRDefault="00502D07" w:rsidP="00502D07">
    <w:pPr>
      <w:pStyle w:val="Footer"/>
      <w:tabs>
        <w:tab w:val="clear" w:pos="4680"/>
        <w:tab w:val="clear" w:pos="9360"/>
        <w:tab w:val="right" w:pos="14040"/>
      </w:tabs>
      <w:rPr>
        <w:rFonts w:cs="Times New Roman"/>
        <w:b/>
        <w:sz w:val="16"/>
        <w:szCs w:val="16"/>
      </w:rPr>
    </w:pPr>
    <w:r w:rsidRPr="00E813B5">
      <w:rPr>
        <w:rFonts w:cs="Times New Roman"/>
        <w:b/>
        <w:sz w:val="16"/>
        <w:szCs w:val="16"/>
      </w:rPr>
      <w:t>and may be revised periodically. (</w:t>
    </w:r>
    <w:r w:rsidR="00E813B5">
      <w:rPr>
        <w:rFonts w:cs="Times New Roman"/>
        <w:b/>
        <w:sz w:val="16"/>
        <w:szCs w:val="16"/>
      </w:rPr>
      <w:t>Title V Release 11/04</w:t>
    </w:r>
    <w:r w:rsidRPr="00E813B5">
      <w:rPr>
        <w:rFonts w:cs="Times New Roman"/>
        <w:b/>
        <w:sz w:val="16"/>
        <w:szCs w:val="16"/>
      </w:rPr>
      <w:t>)</w:t>
    </w:r>
    <w:r w:rsidRPr="00E813B5">
      <w:rPr>
        <w:rFonts w:cs="Times New Roman"/>
        <w:b/>
        <w:sz w:val="16"/>
        <w:szCs w:val="16"/>
      </w:rPr>
      <w:tab/>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69" w:rsidRDefault="007F1B69" w:rsidP="00502D07">
      <w:pPr>
        <w:spacing w:after="0" w:line="240" w:lineRule="auto"/>
      </w:pPr>
      <w:r>
        <w:separator/>
      </w:r>
    </w:p>
  </w:footnote>
  <w:footnote w:type="continuationSeparator" w:id="0">
    <w:p w:rsidR="007F1B69" w:rsidRDefault="007F1B69" w:rsidP="00502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7" w:rsidRDefault="00502D07" w:rsidP="00892132">
    <w:pPr>
      <w:pStyle w:val="Header"/>
      <w:jc w:val="right"/>
      <w:rPr>
        <w:b/>
      </w:rPr>
    </w:pPr>
    <w:r w:rsidRPr="00892132">
      <w:rPr>
        <w:b/>
      </w:rPr>
      <w:t>OP-UA40 Instructions</w:t>
    </w:r>
  </w:p>
  <w:p w:rsidR="00892132" w:rsidRPr="00892132" w:rsidRDefault="00892132" w:rsidP="00892132">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25" w:rsidRDefault="005F4925" w:rsidP="005F4925">
    <w:pPr>
      <w:pStyle w:val="Header"/>
      <w:tabs>
        <w:tab w:val="clear" w:pos="4680"/>
        <w:tab w:val="clear" w:pos="9360"/>
        <w:tab w:val="right" w:pos="10710"/>
      </w:tabs>
      <w:rPr>
        <w:b/>
      </w:rPr>
    </w:pPr>
    <w:r>
      <w:rPr>
        <w:b/>
      </w:rPr>
      <w:tab/>
    </w:r>
    <w:r w:rsidRPr="005F4925">
      <w:rPr>
        <w:b/>
      </w:rPr>
      <w:t>OP-UA40 Instructions</w:t>
    </w:r>
  </w:p>
  <w:p w:rsidR="005F4925" w:rsidRDefault="005F4925" w:rsidP="005F4925">
    <w:pPr>
      <w:pStyle w:val="Header"/>
      <w:tabs>
        <w:tab w:val="clear" w:pos="4680"/>
        <w:tab w:val="clear" w:pos="9360"/>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07" w:rsidRPr="00F0280F" w:rsidRDefault="00502D0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F0C35"/>
    <w:multiLevelType w:val="hybridMultilevel"/>
    <w:tmpl w:val="03F63034"/>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B7E12"/>
    <w:multiLevelType w:val="hybridMultilevel"/>
    <w:tmpl w:val="A460875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5"/>
  </w:num>
  <w:num w:numId="6">
    <w:abstractNumId w:val="9"/>
  </w:num>
  <w:num w:numId="7">
    <w:abstractNumId w:val="9"/>
  </w:num>
  <w:num w:numId="8">
    <w:abstractNumId w:val="5"/>
  </w:num>
  <w:num w:numId="9">
    <w:abstractNumId w:val="5"/>
  </w:num>
  <w:num w:numId="10">
    <w:abstractNumId w:val="9"/>
  </w:num>
  <w:num w:numId="11">
    <w:abstractNumId w:val="5"/>
  </w:num>
  <w:num w:numId="12">
    <w:abstractNumId w:val="2"/>
  </w:num>
  <w:num w:numId="13">
    <w:abstractNumId w:val="1"/>
  </w:num>
  <w:num w:numId="14">
    <w:abstractNumId w:val="1"/>
  </w:num>
  <w:num w:numId="15">
    <w:abstractNumId w:val="1"/>
  </w:num>
  <w:num w:numId="16">
    <w:abstractNumId w:val="2"/>
  </w:num>
  <w:num w:numId="17">
    <w:abstractNumId w:val="2"/>
  </w:num>
  <w:num w:numId="18">
    <w:abstractNumId w:val="7"/>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06"/>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171"/>
    <w:rsid w:val="000F25F0"/>
    <w:rsid w:val="000F263B"/>
    <w:rsid w:val="000F286B"/>
    <w:rsid w:val="000F4CDE"/>
    <w:rsid w:val="000F4FBD"/>
    <w:rsid w:val="000F55D9"/>
    <w:rsid w:val="000F62C6"/>
    <w:rsid w:val="000F747E"/>
    <w:rsid w:val="001006CF"/>
    <w:rsid w:val="00100944"/>
    <w:rsid w:val="00100D60"/>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3906"/>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708"/>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18F"/>
    <w:rsid w:val="002B36D6"/>
    <w:rsid w:val="002B433B"/>
    <w:rsid w:val="002B6545"/>
    <w:rsid w:val="002B6BCD"/>
    <w:rsid w:val="002C00D5"/>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0923"/>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3B94"/>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B75B3"/>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2D07"/>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925"/>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3235"/>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6F4733"/>
    <w:rsid w:val="00704456"/>
    <w:rsid w:val="007055A8"/>
    <w:rsid w:val="007057E9"/>
    <w:rsid w:val="00705AFC"/>
    <w:rsid w:val="00707CA9"/>
    <w:rsid w:val="00707DAE"/>
    <w:rsid w:val="00710F27"/>
    <w:rsid w:val="00713CFA"/>
    <w:rsid w:val="007140A2"/>
    <w:rsid w:val="00716889"/>
    <w:rsid w:val="00716970"/>
    <w:rsid w:val="00717A8B"/>
    <w:rsid w:val="007208C2"/>
    <w:rsid w:val="00721D0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2260"/>
    <w:rsid w:val="007859D7"/>
    <w:rsid w:val="00787D3D"/>
    <w:rsid w:val="00787E7F"/>
    <w:rsid w:val="007908A7"/>
    <w:rsid w:val="007913E5"/>
    <w:rsid w:val="007915E1"/>
    <w:rsid w:val="00792942"/>
    <w:rsid w:val="00792D4E"/>
    <w:rsid w:val="00792FFD"/>
    <w:rsid w:val="00793592"/>
    <w:rsid w:val="00794AD7"/>
    <w:rsid w:val="00797212"/>
    <w:rsid w:val="00797768"/>
    <w:rsid w:val="007A21C4"/>
    <w:rsid w:val="007A2F0A"/>
    <w:rsid w:val="007A472D"/>
    <w:rsid w:val="007A5C5D"/>
    <w:rsid w:val="007A6C8F"/>
    <w:rsid w:val="007A7754"/>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B69"/>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69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006"/>
    <w:rsid w:val="00876A4A"/>
    <w:rsid w:val="00880B54"/>
    <w:rsid w:val="00883485"/>
    <w:rsid w:val="00883A7C"/>
    <w:rsid w:val="00883BA6"/>
    <w:rsid w:val="00887220"/>
    <w:rsid w:val="00890199"/>
    <w:rsid w:val="0089045A"/>
    <w:rsid w:val="008920E8"/>
    <w:rsid w:val="00892132"/>
    <w:rsid w:val="008922D2"/>
    <w:rsid w:val="00892B88"/>
    <w:rsid w:val="008933DC"/>
    <w:rsid w:val="00894265"/>
    <w:rsid w:val="008959F7"/>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1F61"/>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1318"/>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0F0"/>
    <w:rsid w:val="00BB0560"/>
    <w:rsid w:val="00BB1284"/>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4D32"/>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3454"/>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66A3"/>
    <w:rsid w:val="00C37DB1"/>
    <w:rsid w:val="00C37F13"/>
    <w:rsid w:val="00C400BA"/>
    <w:rsid w:val="00C40103"/>
    <w:rsid w:val="00C40E04"/>
    <w:rsid w:val="00C41A82"/>
    <w:rsid w:val="00C41CD1"/>
    <w:rsid w:val="00C43717"/>
    <w:rsid w:val="00C43B71"/>
    <w:rsid w:val="00C44B36"/>
    <w:rsid w:val="00C455FE"/>
    <w:rsid w:val="00C460DE"/>
    <w:rsid w:val="00C50CF5"/>
    <w:rsid w:val="00C515D0"/>
    <w:rsid w:val="00C51A16"/>
    <w:rsid w:val="00C5355D"/>
    <w:rsid w:val="00C5433E"/>
    <w:rsid w:val="00C555C7"/>
    <w:rsid w:val="00C561E7"/>
    <w:rsid w:val="00C57977"/>
    <w:rsid w:val="00C6431B"/>
    <w:rsid w:val="00C646E6"/>
    <w:rsid w:val="00C649EF"/>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7400"/>
    <w:rsid w:val="00CA11B2"/>
    <w:rsid w:val="00CA31E3"/>
    <w:rsid w:val="00CA395A"/>
    <w:rsid w:val="00CA53EB"/>
    <w:rsid w:val="00CB2ABD"/>
    <w:rsid w:val="00CB4B5B"/>
    <w:rsid w:val="00CB53A6"/>
    <w:rsid w:val="00CB6FFE"/>
    <w:rsid w:val="00CC1D48"/>
    <w:rsid w:val="00CC312D"/>
    <w:rsid w:val="00CC4488"/>
    <w:rsid w:val="00CC54BE"/>
    <w:rsid w:val="00CC5F23"/>
    <w:rsid w:val="00CC5F58"/>
    <w:rsid w:val="00CC70A1"/>
    <w:rsid w:val="00CD2892"/>
    <w:rsid w:val="00CD2CA4"/>
    <w:rsid w:val="00CE03C9"/>
    <w:rsid w:val="00CE291F"/>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2BD5"/>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0024"/>
    <w:rsid w:val="00E21683"/>
    <w:rsid w:val="00E223C9"/>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3B5"/>
    <w:rsid w:val="00E8140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6827"/>
    <w:rsid w:val="00EF7EF9"/>
    <w:rsid w:val="00F013F8"/>
    <w:rsid w:val="00F0280F"/>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41CF"/>
    <w:rsid w:val="00F85E5F"/>
    <w:rsid w:val="00F87110"/>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042"/>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E77BC"/>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3B75B3"/>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502D07"/>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502D07"/>
    <w:rPr>
      <w:rFonts w:asciiTheme="minorHAnsi" w:hAnsiTheme="minorHAnsi"/>
      <w:b/>
      <w:szCs w:val="22"/>
      <w:lang w:bidi="en-US"/>
    </w:rPr>
  </w:style>
  <w:style w:type="paragraph" w:customStyle="1" w:styleId="BoldComplete">
    <w:name w:val="Bold Complete"/>
    <w:basedOn w:val="BoldContinue"/>
    <w:next w:val="Normal"/>
    <w:link w:val="BoldCompleteChar"/>
    <w:qFormat/>
    <w:rsid w:val="00502D07"/>
    <w:pPr>
      <w:numPr>
        <w:numId w:val="15"/>
      </w:numPr>
      <w:ind w:left="360"/>
    </w:pPr>
  </w:style>
  <w:style w:type="character" w:customStyle="1" w:styleId="BoldCompleteChar">
    <w:name w:val="Bold Complete Char"/>
    <w:basedOn w:val="BoldContinueChar"/>
    <w:link w:val="BoldComplete"/>
    <w:rsid w:val="00502D07"/>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502D07"/>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502D07"/>
  </w:style>
  <w:style w:type="paragraph" w:styleId="Footer">
    <w:name w:val="footer"/>
    <w:basedOn w:val="Normal"/>
    <w:link w:val="FooterChar"/>
    <w:uiPriority w:val="99"/>
    <w:unhideWhenUsed/>
    <w:rsid w:val="0050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07"/>
  </w:style>
  <w:style w:type="paragraph" w:customStyle="1" w:styleId="StyleBoldCompleteAfter12pt">
    <w:name w:val="Style Bold Complete + After:  12 pt"/>
    <w:basedOn w:val="BoldComplete"/>
    <w:rsid w:val="003B75B3"/>
    <w:pPr>
      <w:spacing w:after="240"/>
    </w:pPr>
    <w:rPr>
      <w:rFonts w:ascii="Times New Roman" w:eastAsia="Times New Roman" w:hAnsi="Times New Roman" w:cs="Times New Roman"/>
      <w:bCs/>
      <w:szCs w:val="20"/>
    </w:rPr>
  </w:style>
  <w:style w:type="character" w:styleId="CommentReference">
    <w:name w:val="annotation reference"/>
    <w:basedOn w:val="DefaultParagraphFont"/>
    <w:uiPriority w:val="14"/>
    <w:semiHidden/>
    <w:unhideWhenUsed/>
    <w:rsid w:val="003B75B3"/>
    <w:rPr>
      <w:sz w:val="16"/>
      <w:szCs w:val="16"/>
    </w:rPr>
  </w:style>
  <w:style w:type="paragraph" w:styleId="CommentText">
    <w:name w:val="annotation text"/>
    <w:basedOn w:val="Normal"/>
    <w:link w:val="CommentTextChar"/>
    <w:uiPriority w:val="14"/>
    <w:semiHidden/>
    <w:unhideWhenUsed/>
    <w:rsid w:val="003B75B3"/>
    <w:pPr>
      <w:spacing w:line="240" w:lineRule="auto"/>
    </w:pPr>
    <w:rPr>
      <w:sz w:val="20"/>
      <w:szCs w:val="20"/>
    </w:rPr>
  </w:style>
  <w:style w:type="character" w:customStyle="1" w:styleId="CommentTextChar">
    <w:name w:val="Comment Text Char"/>
    <w:basedOn w:val="DefaultParagraphFont"/>
    <w:link w:val="CommentText"/>
    <w:uiPriority w:val="14"/>
    <w:semiHidden/>
    <w:rsid w:val="003B75B3"/>
    <w:rPr>
      <w:rFonts w:ascii="Times New Roman" w:hAnsi="Times New Roman"/>
      <w:sz w:val="20"/>
      <w:szCs w:val="20"/>
    </w:rPr>
  </w:style>
  <w:style w:type="paragraph" w:styleId="CommentSubject">
    <w:name w:val="annotation subject"/>
    <w:basedOn w:val="CommentText"/>
    <w:next w:val="CommentText"/>
    <w:link w:val="CommentSubjectChar"/>
    <w:uiPriority w:val="14"/>
    <w:semiHidden/>
    <w:unhideWhenUsed/>
    <w:rsid w:val="003B75B3"/>
    <w:rPr>
      <w:b/>
      <w:bCs/>
    </w:rPr>
  </w:style>
  <w:style w:type="character" w:customStyle="1" w:styleId="CommentSubjectChar">
    <w:name w:val="Comment Subject Char"/>
    <w:basedOn w:val="CommentTextChar"/>
    <w:link w:val="CommentSubject"/>
    <w:uiPriority w:val="14"/>
    <w:semiHidden/>
    <w:rsid w:val="003B75B3"/>
    <w:rPr>
      <w:rFonts w:ascii="Times New Roman" w:hAnsi="Times New Roman"/>
      <w:b/>
      <w:bCs/>
      <w:sz w:val="20"/>
      <w:szCs w:val="20"/>
    </w:rPr>
  </w:style>
  <w:style w:type="paragraph" w:styleId="Revision">
    <w:name w:val="Revision"/>
    <w:hidden/>
    <w:uiPriority w:val="99"/>
    <w:semiHidden/>
    <w:rsid w:val="003B75B3"/>
    <w:pPr>
      <w:spacing w:after="0" w:line="240" w:lineRule="auto"/>
    </w:pPr>
    <w:rPr>
      <w:rFonts w:ascii="Times New Roman" w:hAnsi="Times New Roman"/>
    </w:rPr>
  </w:style>
  <w:style w:type="paragraph" w:styleId="BalloonText">
    <w:name w:val="Balloon Text"/>
    <w:basedOn w:val="Normal"/>
    <w:link w:val="BalloonTextChar"/>
    <w:uiPriority w:val="14"/>
    <w:semiHidden/>
    <w:unhideWhenUsed/>
    <w:rsid w:val="003B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3B75B3"/>
    <w:rPr>
      <w:rFonts w:ascii="Tahoma" w:hAnsi="Tahoma" w:cs="Tahoma"/>
      <w:sz w:val="16"/>
      <w:szCs w:val="16"/>
    </w:rPr>
  </w:style>
  <w:style w:type="character" w:styleId="Hyperlink">
    <w:name w:val="Hyperlink"/>
    <w:basedOn w:val="DefaultParagraphFont"/>
    <w:uiPriority w:val="14"/>
    <w:unhideWhenUsed/>
    <w:rsid w:val="00E20024"/>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3B75B3"/>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502D07"/>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502D07"/>
    <w:rPr>
      <w:rFonts w:asciiTheme="minorHAnsi" w:hAnsiTheme="minorHAnsi"/>
      <w:b/>
      <w:szCs w:val="22"/>
      <w:lang w:bidi="en-US"/>
    </w:rPr>
  </w:style>
  <w:style w:type="paragraph" w:customStyle="1" w:styleId="BoldComplete">
    <w:name w:val="Bold Complete"/>
    <w:basedOn w:val="BoldContinue"/>
    <w:next w:val="Normal"/>
    <w:link w:val="BoldCompleteChar"/>
    <w:qFormat/>
    <w:rsid w:val="00502D07"/>
    <w:pPr>
      <w:numPr>
        <w:numId w:val="15"/>
      </w:numPr>
      <w:ind w:left="360"/>
    </w:pPr>
  </w:style>
  <w:style w:type="character" w:customStyle="1" w:styleId="BoldCompleteChar">
    <w:name w:val="Bold Complete Char"/>
    <w:basedOn w:val="BoldContinueChar"/>
    <w:link w:val="BoldComplete"/>
    <w:rsid w:val="00502D07"/>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502D07"/>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502D07"/>
  </w:style>
  <w:style w:type="paragraph" w:styleId="Footer">
    <w:name w:val="footer"/>
    <w:basedOn w:val="Normal"/>
    <w:link w:val="FooterChar"/>
    <w:uiPriority w:val="99"/>
    <w:unhideWhenUsed/>
    <w:rsid w:val="0050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07"/>
  </w:style>
  <w:style w:type="paragraph" w:customStyle="1" w:styleId="StyleBoldCompleteAfter12pt">
    <w:name w:val="Style Bold Complete + After:  12 pt"/>
    <w:basedOn w:val="BoldComplete"/>
    <w:rsid w:val="003B75B3"/>
    <w:pPr>
      <w:spacing w:after="240"/>
    </w:pPr>
    <w:rPr>
      <w:rFonts w:ascii="Times New Roman" w:eastAsia="Times New Roman" w:hAnsi="Times New Roman" w:cs="Times New Roman"/>
      <w:bCs/>
      <w:szCs w:val="20"/>
    </w:rPr>
  </w:style>
  <w:style w:type="character" w:styleId="CommentReference">
    <w:name w:val="annotation reference"/>
    <w:basedOn w:val="DefaultParagraphFont"/>
    <w:uiPriority w:val="14"/>
    <w:semiHidden/>
    <w:unhideWhenUsed/>
    <w:rsid w:val="003B75B3"/>
    <w:rPr>
      <w:sz w:val="16"/>
      <w:szCs w:val="16"/>
    </w:rPr>
  </w:style>
  <w:style w:type="paragraph" w:styleId="CommentText">
    <w:name w:val="annotation text"/>
    <w:basedOn w:val="Normal"/>
    <w:link w:val="CommentTextChar"/>
    <w:uiPriority w:val="14"/>
    <w:semiHidden/>
    <w:unhideWhenUsed/>
    <w:rsid w:val="003B75B3"/>
    <w:pPr>
      <w:spacing w:line="240" w:lineRule="auto"/>
    </w:pPr>
    <w:rPr>
      <w:sz w:val="20"/>
      <w:szCs w:val="20"/>
    </w:rPr>
  </w:style>
  <w:style w:type="character" w:customStyle="1" w:styleId="CommentTextChar">
    <w:name w:val="Comment Text Char"/>
    <w:basedOn w:val="DefaultParagraphFont"/>
    <w:link w:val="CommentText"/>
    <w:uiPriority w:val="14"/>
    <w:semiHidden/>
    <w:rsid w:val="003B75B3"/>
    <w:rPr>
      <w:rFonts w:ascii="Times New Roman" w:hAnsi="Times New Roman"/>
      <w:sz w:val="20"/>
      <w:szCs w:val="20"/>
    </w:rPr>
  </w:style>
  <w:style w:type="paragraph" w:styleId="CommentSubject">
    <w:name w:val="annotation subject"/>
    <w:basedOn w:val="CommentText"/>
    <w:next w:val="CommentText"/>
    <w:link w:val="CommentSubjectChar"/>
    <w:uiPriority w:val="14"/>
    <w:semiHidden/>
    <w:unhideWhenUsed/>
    <w:rsid w:val="003B75B3"/>
    <w:rPr>
      <w:b/>
      <w:bCs/>
    </w:rPr>
  </w:style>
  <w:style w:type="character" w:customStyle="1" w:styleId="CommentSubjectChar">
    <w:name w:val="Comment Subject Char"/>
    <w:basedOn w:val="CommentTextChar"/>
    <w:link w:val="CommentSubject"/>
    <w:uiPriority w:val="14"/>
    <w:semiHidden/>
    <w:rsid w:val="003B75B3"/>
    <w:rPr>
      <w:rFonts w:ascii="Times New Roman" w:hAnsi="Times New Roman"/>
      <w:b/>
      <w:bCs/>
      <w:sz w:val="20"/>
      <w:szCs w:val="20"/>
    </w:rPr>
  </w:style>
  <w:style w:type="paragraph" w:styleId="Revision">
    <w:name w:val="Revision"/>
    <w:hidden/>
    <w:uiPriority w:val="99"/>
    <w:semiHidden/>
    <w:rsid w:val="003B75B3"/>
    <w:pPr>
      <w:spacing w:after="0" w:line="240" w:lineRule="auto"/>
    </w:pPr>
    <w:rPr>
      <w:rFonts w:ascii="Times New Roman" w:hAnsi="Times New Roman"/>
    </w:rPr>
  </w:style>
  <w:style w:type="paragraph" w:styleId="BalloonText">
    <w:name w:val="Balloon Text"/>
    <w:basedOn w:val="Normal"/>
    <w:link w:val="BalloonTextChar"/>
    <w:uiPriority w:val="14"/>
    <w:semiHidden/>
    <w:unhideWhenUsed/>
    <w:rsid w:val="003B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3B75B3"/>
    <w:rPr>
      <w:rFonts w:ascii="Tahoma" w:hAnsi="Tahoma" w:cs="Tahoma"/>
      <w:sz w:val="16"/>
      <w:szCs w:val="16"/>
    </w:rPr>
  </w:style>
  <w:style w:type="character" w:styleId="Hyperlink">
    <w:name w:val="Hyperlink"/>
    <w:basedOn w:val="DefaultParagraphFont"/>
    <w:uiPriority w:val="14"/>
    <w:unhideWhenUsed/>
    <w:rsid w:val="00E2002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assets/public/permitting/air/Guidance/Title_V/sop_initial.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eq.texas.gov/permitting/central_registry/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Ferroalloy Production Facility Attributes Form OP-UA40</vt:lpstr>
    </vt:vector>
  </TitlesOfParts>
  <Company>TCEQ</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Ferroalloy Production Facility Attributes Form OP-UA40</dc:title>
  <dc:subject>Ferroalloy Production Facility Attributes Form OP-UA40</dc:subject>
  <dc:creator>TCEQ</dc:creator>
  <cp:keywords>Ferroalloy, arc furnace, silicon, ferrochrome, silicomanganese</cp:keywords>
  <cp:lastModifiedBy>TCEQ</cp:lastModifiedBy>
  <cp:revision>2</cp:revision>
  <cp:lastPrinted>2015-12-17T15:57:00Z</cp:lastPrinted>
  <dcterms:created xsi:type="dcterms:W3CDTF">2016-01-04T20:49:00Z</dcterms:created>
  <dcterms:modified xsi:type="dcterms:W3CDTF">2016-01-04T20:49:00Z</dcterms:modified>
</cp:coreProperties>
</file>