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5E7A" w14:textId="042D982D" w:rsidR="003C3CFE" w:rsidRPr="00C26E64" w:rsidRDefault="003C3CFE" w:rsidP="003C3CFE">
      <w:pPr>
        <w:jc w:val="center"/>
        <w:rPr>
          <w:rFonts w:asciiTheme="majorHAnsi" w:hAnsiTheme="majorHAnsi" w:cs="Helvetica"/>
          <w:b/>
          <w:bCs/>
        </w:rPr>
      </w:pPr>
      <w:r w:rsidRPr="00C26E64">
        <w:rPr>
          <w:rFonts w:asciiTheme="majorHAnsi" w:hAnsiTheme="majorHAnsi" w:cs="Helvetica"/>
          <w:b/>
          <w:bCs/>
        </w:rPr>
        <w:t>Blanchard Refining Company LLC</w:t>
      </w:r>
    </w:p>
    <w:p w14:paraId="2A515041" w14:textId="77777777" w:rsidR="003C3CFE" w:rsidRPr="00C26E64" w:rsidRDefault="003C3CFE" w:rsidP="003C3CFE">
      <w:pPr>
        <w:jc w:val="center"/>
        <w:rPr>
          <w:rFonts w:asciiTheme="majorHAnsi" w:hAnsiTheme="majorHAnsi" w:cs="Helvetica"/>
          <w:b/>
          <w:bCs/>
        </w:rPr>
      </w:pPr>
      <w:r w:rsidRPr="00C26E64">
        <w:rPr>
          <w:rFonts w:asciiTheme="majorHAnsi" w:hAnsiTheme="majorHAnsi" w:cs="Helvetica"/>
          <w:b/>
          <w:bCs/>
        </w:rPr>
        <w:t>Galveston Bay Refinery</w:t>
      </w:r>
    </w:p>
    <w:p w14:paraId="0C80909A" w14:textId="0AA98F55" w:rsidR="003C3CFE" w:rsidRPr="00C26E64" w:rsidRDefault="00FC78B8" w:rsidP="003C3CFE">
      <w:pPr>
        <w:jc w:val="center"/>
        <w:rPr>
          <w:rFonts w:asciiTheme="majorHAnsi" w:hAnsiTheme="majorHAnsi" w:cs="Helvetica"/>
          <w:b/>
          <w:bCs/>
        </w:rPr>
      </w:pPr>
      <w:r>
        <w:rPr>
          <w:rFonts w:asciiTheme="majorHAnsi" w:hAnsiTheme="majorHAnsi" w:cs="Helvetica"/>
          <w:b/>
          <w:bCs/>
        </w:rPr>
        <w:t>Plain Language Summary</w:t>
      </w:r>
      <w:r w:rsidR="00FC0FF5">
        <w:rPr>
          <w:rFonts w:asciiTheme="majorHAnsi" w:hAnsiTheme="majorHAnsi" w:cs="Helvetica"/>
          <w:b/>
          <w:bCs/>
        </w:rPr>
        <w:t xml:space="preserve"> for TPDES Application</w:t>
      </w:r>
    </w:p>
    <w:p w14:paraId="6462620D" w14:textId="77777777" w:rsidR="003C3CFE" w:rsidRDefault="003C3CFE" w:rsidP="008E3129">
      <w:pPr>
        <w:jc w:val="center"/>
        <w:rPr>
          <w:sz w:val="18"/>
        </w:rPr>
      </w:pPr>
    </w:p>
    <w:p w14:paraId="092A159E" w14:textId="48A22A68" w:rsidR="008E3129" w:rsidRDefault="008E3129" w:rsidP="008E3129">
      <w:pPr>
        <w:spacing w:after="120"/>
        <w:jc w:val="center"/>
        <w:rPr>
          <w:sz w:val="20"/>
          <w:szCs w:val="20"/>
        </w:rPr>
      </w:pPr>
      <w:r w:rsidRPr="008E3129">
        <w:rPr>
          <w:i/>
          <w:iCs/>
          <w:sz w:val="20"/>
          <w:szCs w:val="20"/>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8E3129">
        <w:rPr>
          <w:sz w:val="20"/>
          <w:szCs w:val="20"/>
        </w:rPr>
        <w:t>.</w:t>
      </w:r>
    </w:p>
    <w:p w14:paraId="69BF97E8" w14:textId="370260CE" w:rsidR="001D3941" w:rsidRDefault="001D3941">
      <w:pPr>
        <w:rPr>
          <w:sz w:val="18"/>
        </w:rPr>
      </w:pPr>
      <w:r>
        <w:rPr>
          <w:sz w:val="18"/>
        </w:rPr>
        <w:t xml:space="preserve">Blanchard Refining Company LLC (CN604166868) operates the Blanchard Refining Galveston Bay Refinery RN102535077, a </w:t>
      </w:r>
      <w:r w:rsidR="005E19C8">
        <w:rPr>
          <w:sz w:val="18"/>
        </w:rPr>
        <w:t>625</w:t>
      </w:r>
      <w:r>
        <w:rPr>
          <w:sz w:val="18"/>
        </w:rPr>
        <w:t>,000 barrels per day petroleum refinery. The facility is located at 2401 5</w:t>
      </w:r>
      <w:r w:rsidRPr="001D3941">
        <w:rPr>
          <w:sz w:val="18"/>
          <w:vertAlign w:val="superscript"/>
        </w:rPr>
        <w:t>th</w:t>
      </w:r>
      <w:r>
        <w:rPr>
          <w:sz w:val="18"/>
        </w:rPr>
        <w:t xml:space="preserve"> Avenue South in Texas City, Galveston County, Texas 77590. </w:t>
      </w:r>
    </w:p>
    <w:p w14:paraId="3CC9313A" w14:textId="0F23143A" w:rsidR="005E19C8" w:rsidRDefault="001D3941">
      <w:pPr>
        <w:rPr>
          <w:sz w:val="18"/>
        </w:rPr>
      </w:pPr>
      <w:r>
        <w:rPr>
          <w:sz w:val="18"/>
        </w:rPr>
        <w:t xml:space="preserve">This application </w:t>
      </w:r>
      <w:r w:rsidR="005E19C8">
        <w:rPr>
          <w:sz w:val="18"/>
        </w:rPr>
        <w:t>is a renewal with requested amendments for the existing discharges of treated process wastewaters, utility waters, and stormwater to the Texas City Ship Channel. The discharges are currently authorized under two separate Texas Pollutant Discharge Elimination System (TPDES) permits which reflect the historic operations of the two refineries</w:t>
      </w:r>
      <w:r w:rsidR="002738D8">
        <w:rPr>
          <w:sz w:val="18"/>
        </w:rPr>
        <w:t xml:space="preserve"> under separate owners</w:t>
      </w:r>
      <w:r w:rsidR="005E19C8">
        <w:rPr>
          <w:sz w:val="18"/>
        </w:rPr>
        <w:t>.</w:t>
      </w:r>
      <w:r w:rsidR="002738D8">
        <w:rPr>
          <w:sz w:val="18"/>
        </w:rPr>
        <w:t xml:space="preserve"> The refineries now operate under one owner as a single refining entity, the Galveston Bay Refinery, and a consolidated TPDES permit is requested. </w:t>
      </w:r>
    </w:p>
    <w:p w14:paraId="67EA0CB2" w14:textId="588A9B7C" w:rsidR="005E19C8" w:rsidRDefault="002738D8">
      <w:pPr>
        <w:rPr>
          <w:sz w:val="18"/>
        </w:rPr>
      </w:pPr>
      <w:r>
        <w:rPr>
          <w:sz w:val="18"/>
        </w:rPr>
        <w:t xml:space="preserve">This application is for a renewal to discharge 25,200,000 gallons per day of </w:t>
      </w:r>
      <w:r w:rsidR="001D3941">
        <w:rPr>
          <w:sz w:val="18"/>
        </w:rPr>
        <w:t xml:space="preserve">treated process wastewaters, stormwater, domestic wastewater and septic tank effluent, Purge Treatment Unit wastewater, ballast water, groundwater from remediation, effluent from the Blanchard Land Treatment Farm, and utility wastewater via Outfalls 001 or 011. </w:t>
      </w:r>
      <w:r w:rsidR="005E19C8">
        <w:rPr>
          <w:sz w:val="18"/>
        </w:rPr>
        <w:t>Outfalls 015 and 017 may be used as alternate discharge outfalls for the previously listed wastewaters.</w:t>
      </w:r>
    </w:p>
    <w:p w14:paraId="49CAA4A8" w14:textId="4D182B2F" w:rsidR="005E0C2B" w:rsidRDefault="005E19C8">
      <w:pPr>
        <w:rPr>
          <w:sz w:val="18"/>
        </w:rPr>
      </w:pPr>
      <w:r>
        <w:rPr>
          <w:sz w:val="18"/>
        </w:rPr>
        <w:t>Other outfalls requested for renewal include Outfalls 002, 003, 004, 005, 006, 007, 009, 010, 012, 014</w:t>
      </w:r>
      <w:r w:rsidR="00054766">
        <w:rPr>
          <w:sz w:val="18"/>
        </w:rPr>
        <w:t>, and 016</w:t>
      </w:r>
      <w:r>
        <w:rPr>
          <w:sz w:val="18"/>
        </w:rPr>
        <w:t xml:space="preserve">. These outfalls are authorized to discharge </w:t>
      </w:r>
      <w:r w:rsidR="00054766">
        <w:rPr>
          <w:sz w:val="18"/>
        </w:rPr>
        <w:t xml:space="preserve">various non-process wastewaters including </w:t>
      </w:r>
      <w:r>
        <w:rPr>
          <w:sz w:val="18"/>
        </w:rPr>
        <w:t>stormwater</w:t>
      </w:r>
      <w:r w:rsidR="00054766">
        <w:rPr>
          <w:sz w:val="18"/>
        </w:rPr>
        <w:t>,</w:t>
      </w:r>
      <w:r>
        <w:rPr>
          <w:sz w:val="18"/>
        </w:rPr>
        <w:t xml:space="preserve"> utility/</w:t>
      </w:r>
      <w:proofErr w:type="spellStart"/>
      <w:r>
        <w:rPr>
          <w:sz w:val="18"/>
        </w:rPr>
        <w:t>fireline</w:t>
      </w:r>
      <w:proofErr w:type="spellEnd"/>
      <w:r>
        <w:rPr>
          <w:sz w:val="18"/>
        </w:rPr>
        <w:t xml:space="preserve"> waters, fire-fighting training runoff, hydrotest waters, steam condensate, vapor displacement waters, certain water treatment wastewaters, and silt pond clarified water. </w:t>
      </w:r>
    </w:p>
    <w:p w14:paraId="44AABAC2" w14:textId="13A78DAF" w:rsidR="003C3CFE" w:rsidRDefault="00054766">
      <w:pPr>
        <w:rPr>
          <w:sz w:val="18"/>
        </w:rPr>
      </w:pPr>
      <w:r>
        <w:rPr>
          <w:sz w:val="18"/>
        </w:rPr>
        <w:t xml:space="preserve">The discharge of waters through Outfalls 001, 011, 015, and 017 are subject to federal effluent limitation guidelines at 40 CFR Part 419. The pollutants expected from these discharges based on 40 CFR Part 419 include: biological oxygen demand, total suspended solids, chemical oxygen demand or total organic carbon, oil and grease, phenolic compounds, ammonia, sulfide, total chromium, hexavalent chromium, and </w:t>
      </w:r>
      <w:proofErr w:type="spellStart"/>
      <w:r>
        <w:rPr>
          <w:sz w:val="18"/>
        </w:rPr>
        <w:t>pH</w:t>
      </w:r>
      <w:r w:rsidR="001D3941">
        <w:rPr>
          <w:sz w:val="18"/>
        </w:rPr>
        <w:t>.</w:t>
      </w:r>
      <w:proofErr w:type="spellEnd"/>
      <w:r>
        <w:rPr>
          <w:sz w:val="18"/>
        </w:rPr>
        <w:t xml:space="preserve"> As domestic wastewater is included in these discharges, enterococci is also expected.</w:t>
      </w:r>
      <w:r w:rsidR="003C3CFE">
        <w:rPr>
          <w:sz w:val="18"/>
        </w:rPr>
        <w:t xml:space="preserve"> Additional potential pollutants are included in the Industrial Wastewater Application Technical Report, Worksheet 2.0. </w:t>
      </w:r>
    </w:p>
    <w:p w14:paraId="6DFEB7FE" w14:textId="164DB6F6" w:rsidR="003C3CFE" w:rsidRDefault="003C3CFE">
      <w:pPr>
        <w:rPr>
          <w:sz w:val="18"/>
        </w:rPr>
      </w:pPr>
      <w:r>
        <w:rPr>
          <w:sz w:val="18"/>
        </w:rPr>
        <w:t xml:space="preserve">Process wastewaters, domestic wastewaters, and other authorized streams discharged through Outfalls 001, 011, 015, and 017 are treated by the following processes: primary and secondary oil and solids removal, biological organic degradation, and clarification. Stormwater and other authorized wastewaters discharged through Outfalls 002 through 007, 009, 010, 012, 014, and 016 do not receive treatment prior to discharge. </w:t>
      </w:r>
    </w:p>
    <w:p w14:paraId="0DAFB283" w14:textId="1D0108D5" w:rsidR="008E3129" w:rsidRDefault="001D3941">
      <w:pPr>
        <w:rPr>
          <w:sz w:val="18"/>
        </w:rPr>
      </w:pPr>
      <w:r>
        <w:rPr>
          <w:sz w:val="18"/>
        </w:rPr>
        <w:t xml:space="preserve"> </w:t>
      </w:r>
    </w:p>
    <w:sectPr w:rsidR="008E31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DA9E" w14:textId="77777777" w:rsidR="003C3CFE" w:rsidRDefault="003C3CFE" w:rsidP="003C3CFE">
      <w:pPr>
        <w:spacing w:after="0" w:line="240" w:lineRule="auto"/>
      </w:pPr>
      <w:r>
        <w:separator/>
      </w:r>
    </w:p>
  </w:endnote>
  <w:endnote w:type="continuationSeparator" w:id="0">
    <w:p w14:paraId="3F67AA4F" w14:textId="77777777" w:rsidR="003C3CFE" w:rsidRDefault="003C3CFE" w:rsidP="003C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4559" w14:textId="77777777" w:rsidR="00A425D6" w:rsidRDefault="00A42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045586"/>
      <w:docPartObj>
        <w:docPartGallery w:val="Page Numbers (Bottom of Page)"/>
        <w:docPartUnique/>
      </w:docPartObj>
    </w:sdtPr>
    <w:sdtEndPr>
      <w:rPr>
        <w:noProof/>
        <w:sz w:val="18"/>
        <w:szCs w:val="18"/>
      </w:rPr>
    </w:sdtEndPr>
    <w:sdtContent>
      <w:p w14:paraId="0D7495BB" w14:textId="60917ADD" w:rsidR="004D0304" w:rsidRPr="004D0304" w:rsidRDefault="004D0304">
        <w:pPr>
          <w:pStyle w:val="Footer"/>
          <w:jc w:val="center"/>
          <w:rPr>
            <w:sz w:val="18"/>
            <w:szCs w:val="18"/>
          </w:rPr>
        </w:pPr>
        <w:r w:rsidRPr="004D0304">
          <w:rPr>
            <w:sz w:val="18"/>
            <w:szCs w:val="18"/>
          </w:rPr>
          <w:t xml:space="preserve">Page </w:t>
        </w:r>
        <w:r w:rsidRPr="004D0304">
          <w:rPr>
            <w:sz w:val="18"/>
            <w:szCs w:val="18"/>
          </w:rPr>
          <w:fldChar w:fldCharType="begin"/>
        </w:r>
        <w:r w:rsidRPr="004D0304">
          <w:rPr>
            <w:sz w:val="18"/>
            <w:szCs w:val="18"/>
          </w:rPr>
          <w:instrText xml:space="preserve"> PAGE   \* MERGEFORMAT </w:instrText>
        </w:r>
        <w:r w:rsidRPr="004D0304">
          <w:rPr>
            <w:sz w:val="18"/>
            <w:szCs w:val="18"/>
          </w:rPr>
          <w:fldChar w:fldCharType="separate"/>
        </w:r>
        <w:r w:rsidRPr="004D0304">
          <w:rPr>
            <w:noProof/>
            <w:sz w:val="18"/>
            <w:szCs w:val="18"/>
          </w:rPr>
          <w:t>2</w:t>
        </w:r>
        <w:r w:rsidRPr="004D0304">
          <w:rPr>
            <w:noProof/>
            <w:sz w:val="18"/>
            <w:szCs w:val="18"/>
          </w:rPr>
          <w:fldChar w:fldCharType="end"/>
        </w:r>
        <w:r w:rsidRPr="004D0304">
          <w:rPr>
            <w:noProof/>
            <w:sz w:val="18"/>
            <w:szCs w:val="18"/>
          </w:rPr>
          <w:t xml:space="preserve"> of </w:t>
        </w:r>
        <w:r w:rsidR="008E3129">
          <w:rPr>
            <w:noProof/>
            <w:sz w:val="18"/>
            <w:szCs w:val="18"/>
          </w:rPr>
          <w:t>2</w:t>
        </w:r>
      </w:p>
    </w:sdtContent>
  </w:sdt>
  <w:p w14:paraId="78358718" w14:textId="77777777" w:rsidR="004D0304" w:rsidRDefault="004D0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A93E" w14:textId="77777777" w:rsidR="00A425D6" w:rsidRDefault="00A4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CAF4" w14:textId="77777777" w:rsidR="003C3CFE" w:rsidRDefault="003C3CFE" w:rsidP="003C3CFE">
      <w:pPr>
        <w:spacing w:after="0" w:line="240" w:lineRule="auto"/>
      </w:pPr>
      <w:r>
        <w:separator/>
      </w:r>
    </w:p>
  </w:footnote>
  <w:footnote w:type="continuationSeparator" w:id="0">
    <w:p w14:paraId="65A81B7A" w14:textId="77777777" w:rsidR="003C3CFE" w:rsidRDefault="003C3CFE" w:rsidP="003C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2658" w14:textId="77777777" w:rsidR="00A425D6" w:rsidRDefault="00A42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1F73" w14:textId="77777777" w:rsidR="00A425D6" w:rsidRDefault="00A42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529D" w14:textId="77777777" w:rsidR="00A425D6" w:rsidRDefault="00A42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cumentProtection w:edit="readOnly"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41"/>
    <w:rsid w:val="00054766"/>
    <w:rsid w:val="001D3941"/>
    <w:rsid w:val="00264D34"/>
    <w:rsid w:val="002738D8"/>
    <w:rsid w:val="003C3CFE"/>
    <w:rsid w:val="004D0304"/>
    <w:rsid w:val="00536CAB"/>
    <w:rsid w:val="00541FDD"/>
    <w:rsid w:val="005C06C5"/>
    <w:rsid w:val="005E0C2B"/>
    <w:rsid w:val="005E19C8"/>
    <w:rsid w:val="008E3129"/>
    <w:rsid w:val="00992A50"/>
    <w:rsid w:val="009E5301"/>
    <w:rsid w:val="00A425D6"/>
    <w:rsid w:val="00B013D3"/>
    <w:rsid w:val="00FC0FF5"/>
    <w:rsid w:val="00FC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443FAD"/>
  <w15:chartTrackingRefBased/>
  <w15:docId w15:val="{6F67A145-255E-4AF3-9F50-ACB80B5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FE"/>
  </w:style>
  <w:style w:type="paragraph" w:styleId="Footer">
    <w:name w:val="footer"/>
    <w:basedOn w:val="Normal"/>
    <w:link w:val="FooterChar"/>
    <w:uiPriority w:val="99"/>
    <w:unhideWhenUsed/>
    <w:rsid w:val="003C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CFE"/>
  </w:style>
  <w:style w:type="paragraph" w:customStyle="1" w:styleId="paragraph">
    <w:name w:val="paragraph"/>
    <w:basedOn w:val="Normal"/>
    <w:rsid w:val="008E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Rambøll_2021">
      <a:dk1>
        <a:srgbClr val="000000"/>
      </a:dk1>
      <a:lt1>
        <a:srgbClr val="FFFFFF"/>
      </a:lt1>
      <a:dk2>
        <a:srgbClr val="009DF0"/>
      </a:dk2>
      <a:lt2>
        <a:srgbClr val="273943"/>
      </a:lt2>
      <a:accent1>
        <a:srgbClr val="05326E"/>
      </a:accent1>
      <a:accent2>
        <a:srgbClr val="125A40"/>
      </a:accent2>
      <a:accent3>
        <a:srgbClr val="ADD095"/>
      </a:accent3>
      <a:accent4>
        <a:srgbClr val="62294B"/>
      </a:accent4>
      <a:accent5>
        <a:srgbClr val="FF8855"/>
      </a:accent5>
      <a:accent6>
        <a:srgbClr val="E3E1D8"/>
      </a:accent6>
      <a:hlink>
        <a:srgbClr val="009DF0"/>
      </a:hlink>
      <a:folHlink>
        <a:srgbClr val="CCEBFD"/>
      </a:folHlink>
    </a:clrScheme>
    <a:fontScheme name="Clientnam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for TPDES Application</dc:title>
  <dc:subject/>
  <dc:creator>Michele Mensing</dc:creator>
  <cp:keywords/>
  <dc:description/>
  <cp:lastModifiedBy>Leah Whallon</cp:lastModifiedBy>
  <cp:revision>4</cp:revision>
  <dcterms:created xsi:type="dcterms:W3CDTF">2022-10-31T20:07:00Z</dcterms:created>
  <dcterms:modified xsi:type="dcterms:W3CDTF">2023-01-26T21:42:00Z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