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1B0E250" w:rsidR="002B6551" w:rsidRPr="00D0432F" w:rsidRDefault="003E3736" w:rsidP="002B6551">
      <w:pPr>
        <w:pStyle w:val="BodyText"/>
        <w:rPr>
          <w:sz w:val="22"/>
          <w:szCs w:val="22"/>
        </w:rPr>
      </w:pPr>
      <w:sdt>
        <w:sdtPr>
          <w:rPr>
            <w:sz w:val="22"/>
            <w:szCs w:val="22"/>
          </w:rPr>
          <w:id w:val="-88238758"/>
          <w:placeholder>
            <w:docPart w:val="E05CEA5E633846ABB3951D7F1AA7C49F"/>
          </w:placeholder>
          <w15:color w:val="000000"/>
        </w:sdtPr>
        <w:sdtEndPr/>
        <w:sdtContent>
          <w:r w:rsidR="000B5D7E">
            <w:rPr>
              <w:sz w:val="22"/>
              <w:szCs w:val="22"/>
            </w:rPr>
            <w:t>BWC Texas City Terminals</w:t>
          </w:r>
          <w:r w:rsidR="00DF3D04">
            <w:rPr>
              <w:sz w:val="22"/>
              <w:szCs w:val="22"/>
            </w:rPr>
            <w:t xml:space="preserve"> LLC</w:t>
          </w:r>
        </w:sdtContent>
      </w:sdt>
      <w:r w:rsidR="00BE7811" w:rsidRPr="00D0432F">
        <w:rPr>
          <w:sz w:val="22"/>
          <w:szCs w:val="22"/>
        </w:rPr>
        <w:t xml:space="preserve"> </w:t>
      </w:r>
      <w:r w:rsidR="00482583">
        <w:rPr>
          <w:sz w:val="22"/>
          <w:szCs w:val="22"/>
        </w:rPr>
        <w:t>,</w:t>
      </w:r>
      <w:r w:rsidR="00BE7811" w:rsidRPr="00D0432F">
        <w:rPr>
          <w:sz w:val="22"/>
          <w:szCs w:val="22"/>
        </w:rPr>
        <w:t>(</w:t>
      </w:r>
      <w:sdt>
        <w:sdtPr>
          <w:rPr>
            <w:sz w:val="22"/>
            <w:szCs w:val="22"/>
          </w:rPr>
          <w:id w:val="-670794376"/>
          <w:placeholder>
            <w:docPart w:val="2EDCCEA943204A94B24B63490012A1D8"/>
          </w:placeholder>
          <w15:color w:val="000000"/>
        </w:sdtPr>
        <w:sdtEndPr/>
        <w:sdtContent>
          <w:r w:rsidR="00E262A2">
            <w:rPr>
              <w:sz w:val="22"/>
              <w:szCs w:val="22"/>
            </w:rPr>
            <w:t>CN603355892</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262A2">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262A2">
            <w:rPr>
              <w:sz w:val="22"/>
              <w:szCs w:val="22"/>
            </w:rPr>
            <w:t xml:space="preserve">Texas City Terminal </w:t>
          </w:r>
          <w:r w:rsidR="00DF3D04">
            <w:rPr>
              <w:sz w:val="22"/>
              <w:szCs w:val="22"/>
            </w:rPr>
            <w:t>1</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262A2">
            <w:rPr>
              <w:sz w:val="22"/>
              <w:szCs w:val="22"/>
            </w:rPr>
            <w:t>RN100218767</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F3D0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E262A2">
            <w:rPr>
              <w:sz w:val="22"/>
              <w:szCs w:val="22"/>
            </w:rPr>
            <w:t xml:space="preserve">bulk liquid storage terminal for petrochemicals, fuel oils, biofuels, animal fats, </w:t>
          </w:r>
          <w:r w:rsidR="00DF3D04">
            <w:rPr>
              <w:sz w:val="22"/>
              <w:szCs w:val="22"/>
            </w:rPr>
            <w:t xml:space="preserve">vegetable oils </w:t>
          </w:r>
          <w:r w:rsidR="00E262A2">
            <w:rPr>
              <w:sz w:val="22"/>
              <w:szCs w:val="22"/>
            </w:rPr>
            <w:t>and other liquid products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E262A2">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482583">
            <w:rPr>
              <w:sz w:val="22"/>
              <w:szCs w:val="22"/>
            </w:rPr>
            <w:t>201 Dock Rd.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482583">
            <w:rPr>
              <w:sz w:val="22"/>
              <w:szCs w:val="22"/>
            </w:rPr>
            <w:t xml:space="preserve">Texas City </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482583">
            <w:rPr>
              <w:sz w:val="22"/>
              <w:szCs w:val="22"/>
            </w:rPr>
            <w:t>Galveston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82583">
            <w:rPr>
              <w:sz w:val="22"/>
              <w:szCs w:val="22"/>
            </w:rPr>
            <w:t>77590</w:t>
          </w:r>
        </w:sdtContent>
      </w:sdt>
      <w:r w:rsidR="004F0746" w:rsidRPr="00D0432F">
        <w:rPr>
          <w:sz w:val="22"/>
          <w:szCs w:val="22"/>
        </w:rPr>
        <w:t>.</w:t>
      </w:r>
    </w:p>
    <w:p w14:paraId="26AC26BE" w14:textId="571D2A63" w:rsidR="002B6551" w:rsidRPr="008D5872" w:rsidRDefault="003E3736" w:rsidP="002B6551">
      <w:pPr>
        <w:pStyle w:val="BodyText"/>
        <w:rPr>
          <w:sz w:val="22"/>
          <w:szCs w:val="22"/>
        </w:rPr>
      </w:pPr>
      <w:sdt>
        <w:sdtPr>
          <w:rPr>
            <w:sz w:val="22"/>
            <w:szCs w:val="22"/>
          </w:rPr>
          <w:id w:val="29309987"/>
          <w:placeholder>
            <w:docPart w:val="AC64D974C4B24180AFF3F72141AA2916"/>
          </w:placeholder>
          <w15:color w:val="000000"/>
        </w:sdtPr>
        <w:sdtEndPr/>
        <w:sdtContent>
          <w:r>
            <w:rPr>
              <w:sz w:val="22"/>
              <w:szCs w:val="22"/>
            </w:rPr>
            <w:t xml:space="preserve">This application renewal is to renew Texas Pollutant Discharge Elimination System (TDPDES) Permit No. WQ0002109000 (EPA I.D. No. TX0075311) to authorize the discharge of treated wastewater at a volume not to exceed 84,000 gallons per day. </w:t>
          </w:r>
        </w:sdtContent>
      </w:sdt>
      <w:r w:rsidR="002B6551" w:rsidRPr="008D5872">
        <w:rPr>
          <w:i/>
          <w:iCs/>
          <w:color w:val="0000FF"/>
          <w:sz w:val="22"/>
          <w:szCs w:val="22"/>
        </w:rPr>
        <w:t xml:space="preserve"> </w:t>
      </w:r>
    </w:p>
    <w:p w14:paraId="53FB7055" w14:textId="6164F9CF" w:rsidR="00E66EC2" w:rsidRDefault="002B6551" w:rsidP="00E66EC2">
      <w:pPr>
        <w:pStyle w:val="BodyText"/>
        <w:rPr>
          <w:sz w:val="22"/>
          <w:szCs w:val="22"/>
        </w:rPr>
      </w:pPr>
      <w:r w:rsidRPr="008D5872">
        <w:rPr>
          <w:sz w:val="22"/>
          <w:szCs w:val="22"/>
        </w:rPr>
        <w:t>Discharges from the facility are expected to contain</w:t>
      </w:r>
      <w:r w:rsidR="00284526">
        <w:rPr>
          <w:sz w:val="22"/>
          <w:szCs w:val="22"/>
        </w:rPr>
        <w:t xml:space="preserve"> </w:t>
      </w:r>
      <w:sdt>
        <w:sdtPr>
          <w:rPr>
            <w:sz w:val="22"/>
            <w:szCs w:val="22"/>
          </w:rPr>
          <w:id w:val="-1803689246"/>
          <w:placeholder>
            <w:docPart w:val="6FFEEAFB9CBD459A953992395EB8EB62"/>
          </w:placeholder>
          <w15:color w:val="000000"/>
        </w:sdtPr>
        <w:sdtEndPr/>
        <w:sdtContent>
          <w:r w:rsidR="00284526">
            <w:rPr>
              <w:sz w:val="22"/>
              <w:szCs w:val="22"/>
            </w:rPr>
            <w:t xml:space="preserve">treated wastewater at a volume not to exceed 84,000 gallons a day where the waters </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84526">
            <w:rPr>
              <w:sz w:val="22"/>
              <w:szCs w:val="22"/>
            </w:rPr>
            <w:t>are</w:t>
          </w:r>
        </w:sdtContent>
      </w:sdt>
      <w:r w:rsidR="00E15DD0" w:rsidRPr="00D0432F">
        <w:rPr>
          <w:sz w:val="22"/>
          <w:szCs w:val="22"/>
        </w:rPr>
        <w:t xml:space="preserve"> </w:t>
      </w:r>
      <w:r w:rsidRPr="00D0432F">
        <w:rPr>
          <w:sz w:val="22"/>
          <w:szCs w:val="22"/>
        </w:rPr>
        <w:t>treated by</w:t>
      </w:r>
      <w:r w:rsidR="00284526">
        <w:rPr>
          <w:sz w:val="22"/>
          <w:szCs w:val="22"/>
        </w:rPr>
        <w:t xml:space="preserve"> onsite wastewater treatment process. </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84526">
            <w:rPr>
              <w:i/>
              <w:iCs/>
              <w:sz w:val="22"/>
              <w:szCs w:val="22"/>
            </w:rPr>
            <w:t>The wastewater system removes and eliminates containments from wastewater and converts into an effluent that can be returned to water cycle</w:t>
          </w:r>
        </w:sdtContent>
      </w:sdt>
      <w:r w:rsidR="003E3736">
        <w:rPr>
          <w:i/>
          <w:iCs/>
          <w:sz w:val="22"/>
          <w:szCs w:val="22"/>
        </w:rPr>
        <w:t>.</w:t>
      </w:r>
    </w:p>
    <w:p w14:paraId="61D5B262" w14:textId="77777777" w:rsidR="00E66EC2" w:rsidRDefault="00E66EC2" w:rsidP="00E66EC2">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8450516">
    <w:abstractNumId w:val="9"/>
  </w:num>
  <w:num w:numId="2" w16cid:durableId="651180624">
    <w:abstractNumId w:val="8"/>
  </w:num>
  <w:num w:numId="3" w16cid:durableId="1265963604">
    <w:abstractNumId w:val="7"/>
  </w:num>
  <w:num w:numId="4" w16cid:durableId="731346066">
    <w:abstractNumId w:val="6"/>
  </w:num>
  <w:num w:numId="5" w16cid:durableId="321205596">
    <w:abstractNumId w:val="5"/>
  </w:num>
  <w:num w:numId="6" w16cid:durableId="1241671229">
    <w:abstractNumId w:val="4"/>
  </w:num>
  <w:num w:numId="7" w16cid:durableId="923033723">
    <w:abstractNumId w:val="3"/>
  </w:num>
  <w:num w:numId="8" w16cid:durableId="37051376">
    <w:abstractNumId w:val="2"/>
  </w:num>
  <w:num w:numId="9" w16cid:durableId="1957516106">
    <w:abstractNumId w:val="1"/>
  </w:num>
  <w:num w:numId="10" w16cid:durableId="2011372581">
    <w:abstractNumId w:val="0"/>
  </w:num>
  <w:num w:numId="11" w16cid:durableId="687147510">
    <w:abstractNumId w:val="13"/>
  </w:num>
  <w:num w:numId="12" w16cid:durableId="728385255">
    <w:abstractNumId w:val="12"/>
  </w:num>
  <w:num w:numId="13" w16cid:durableId="636649202">
    <w:abstractNumId w:val="11"/>
  </w:num>
  <w:num w:numId="14" w16cid:durableId="261109049">
    <w:abstractNumId w:val="9"/>
  </w:num>
  <w:num w:numId="15" w16cid:durableId="1117874471">
    <w:abstractNumId w:val="8"/>
    <w:lvlOverride w:ilvl="0">
      <w:startOverride w:val="1"/>
    </w:lvlOverride>
  </w:num>
  <w:num w:numId="16" w16cid:durableId="167596039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B5D7E"/>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84526"/>
    <w:rsid w:val="00297D38"/>
    <w:rsid w:val="002B6551"/>
    <w:rsid w:val="002C68F3"/>
    <w:rsid w:val="00315557"/>
    <w:rsid w:val="00351FD0"/>
    <w:rsid w:val="003534C7"/>
    <w:rsid w:val="00393C75"/>
    <w:rsid w:val="003B41DF"/>
    <w:rsid w:val="003D7D1F"/>
    <w:rsid w:val="003E3736"/>
    <w:rsid w:val="003F5ABB"/>
    <w:rsid w:val="00417619"/>
    <w:rsid w:val="0046089F"/>
    <w:rsid w:val="004752E1"/>
    <w:rsid w:val="00482583"/>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DF3D04"/>
    <w:rsid w:val="00E14844"/>
    <w:rsid w:val="00E15DD0"/>
    <w:rsid w:val="00E162A4"/>
    <w:rsid w:val="00E262A2"/>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1277</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Moore, Narshenna (Texas City)</cp:lastModifiedBy>
  <cp:revision>2</cp:revision>
  <dcterms:created xsi:type="dcterms:W3CDTF">2023-08-18T18:06:00Z</dcterms:created>
  <dcterms:modified xsi:type="dcterms:W3CDTF">2023-08-18T18:06:00Z</dcterms:modified>
</cp:coreProperties>
</file>