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6AF02B1C" w14:textId="1BCF3FD1" w:rsidR="007571B3" w:rsidRPr="007571B3" w:rsidRDefault="007571B3" w:rsidP="007571B3">
      <w:pPr>
        <w:pStyle w:val="paragraph"/>
        <w:spacing w:line="276" w:lineRule="auto"/>
        <w:textAlignment w:val="baseline"/>
        <w:rPr>
          <w:rStyle w:val="normaltextrun"/>
          <w:rFonts w:ascii="Lucida Bright" w:hAnsi="Lucida Bright"/>
          <w:sz w:val="22"/>
          <w:szCs w:val="22"/>
          <w:shd w:val="clear" w:color="auto" w:fill="C0C0C0"/>
          <w:lang w:val="es"/>
        </w:rPr>
      </w:pPr>
      <w:r w:rsidRPr="007571B3">
        <w:rPr>
          <w:rStyle w:val="normaltextrun"/>
          <w:rFonts w:ascii="Lucida Bright" w:hAnsi="Lucida Bright"/>
          <w:sz w:val="22"/>
          <w:szCs w:val="22"/>
          <w:lang w:val="es"/>
        </w:rPr>
        <w:t xml:space="preserve">ISP Technologies Inc </w:t>
      </w:r>
      <w:r w:rsidRPr="007571B3">
        <w:rPr>
          <w:rStyle w:val="normaltextrun"/>
          <w:rFonts w:ascii="Lucida Bright" w:hAnsi="Lucida Bright"/>
          <w:sz w:val="22"/>
          <w:szCs w:val="22"/>
          <w:shd w:val="clear" w:color="auto" w:fill="C0C0C0"/>
          <w:lang w:val="es"/>
        </w:rPr>
        <w:t xml:space="preserve">(CN6005401389 ) opera la planta ISP Technologies Texas City, RN100825272, una planta de fabricación de productos químicos especiales utilizados en las industrias farmacéutica, de cuidado personal y de disolventes industriales. La planta está situada en 4501 Attwater Avenue, en Texas City, Galveston County, Texas 77592-2141. Esta solicitud es para una renovación con una enmienda mayor. </w:t>
      </w:r>
    </w:p>
    <w:p w14:paraId="1AB2C83C" w14:textId="77777777" w:rsidR="007571B3" w:rsidRPr="007571B3" w:rsidRDefault="007571B3" w:rsidP="007571B3">
      <w:pPr>
        <w:pStyle w:val="paragraph"/>
        <w:spacing w:line="276" w:lineRule="auto"/>
        <w:textAlignment w:val="baseline"/>
        <w:rPr>
          <w:rStyle w:val="normaltextrun"/>
          <w:rFonts w:ascii="Lucida Bright" w:hAnsi="Lucida Bright"/>
          <w:sz w:val="22"/>
          <w:szCs w:val="22"/>
          <w:shd w:val="clear" w:color="auto" w:fill="C0C0C0"/>
          <w:lang w:val="es"/>
        </w:rPr>
      </w:pPr>
      <w:r w:rsidRPr="007571B3">
        <w:rPr>
          <w:rStyle w:val="normaltextrun"/>
          <w:rFonts w:ascii="Lucida Bright" w:hAnsi="Lucida Bright"/>
          <w:sz w:val="22"/>
          <w:szCs w:val="22"/>
          <w:shd w:val="clear" w:color="auto" w:fill="C0C0C0"/>
          <w:lang w:val="es"/>
        </w:rPr>
        <w:t>No hay cambios solicitados para el Emisario 003 en esta renovación. La enmienda de importancia se solicita para modificar el caudal máximo admisible del emisario 001 en respuesta a un aumento de la intensidad de las precipitaciones que da lugar a un exceso ocasional de aguas pluviales que es necesario verter. El emisario 001 vierte aguas residuales no procedentes de procesos y aguas pluviales.  Las aguas fluyen por gravedad a través de una vía de desagüe hasta el estanque de 3 días o estanque de aguas pluviales. El agua se airea en la primera mitad del estanque de 3 días (se utiliza cuando es necesario). Esta aireación, cuando es necesaria, permite el tratamiento biológico. A continuación, el agua pasa por la segunda mitad del estanque de 3 días, que es una zona de sedimentación. En el estanque de aguas pluviales se produce tanto el tratamiento biológico a través de la aireación natural de la superficie, como la sedimentación y la neutralización elemental. El agua puede bombearse entre los dos estanques según sea necesario. El agua de ambos estanques se bombea al Emisario 001. Durante episodios de gran intensidad y acumulación de precipitaciones de varios días, los niveles del estanque pueden alcanzar su capacidad debido a la acumulación excesiva de aguas pluviales. Cuando se alcanza la capacidad del estanque, el sistema de aguas pluviales tiene el potencial de retroceder hacia la instalación, causando condiciones de inundación inseguras. La instalación dispone de una bomba portátil que puede utilizar para aumentar el caudal de efluentes y descargar el exceso de aguas pluviales a través del emisario 001, aunque este caudal sería superior al caudal máximo permitido actualmente de 2,01 MGD. La instalación no solicita cambios en los límites numéricos de caudal; sin embargo, solicitamos que el límite de caudal incluya una condición de contingencia para especificar que el límite máximo de caudal diario no se aplica durante determinadas condiciones de tiempo húmedo, y la instalación deberá controlar y notificar los caudales diarios de efluentes en tales circunstancias.</w:t>
      </w:r>
    </w:p>
    <w:p w14:paraId="57B87166" w14:textId="77777777" w:rsidR="007571B3" w:rsidRPr="007571B3" w:rsidRDefault="007571B3" w:rsidP="007571B3">
      <w:pPr>
        <w:pStyle w:val="paragraph"/>
        <w:spacing w:line="276" w:lineRule="auto"/>
        <w:textAlignment w:val="baseline"/>
        <w:rPr>
          <w:rStyle w:val="normaltextrun"/>
          <w:rFonts w:ascii="Lucida Bright" w:hAnsi="Lucida Bright"/>
          <w:sz w:val="22"/>
          <w:szCs w:val="22"/>
          <w:shd w:val="clear" w:color="auto" w:fill="C0C0C0"/>
          <w:lang w:val="es"/>
        </w:rPr>
      </w:pPr>
    </w:p>
    <w:p w14:paraId="59E33A75" w14:textId="77777777" w:rsidR="007571B3" w:rsidRPr="007571B3" w:rsidRDefault="007571B3" w:rsidP="007571B3">
      <w:pPr>
        <w:pStyle w:val="paragraph"/>
        <w:spacing w:line="276" w:lineRule="auto"/>
        <w:textAlignment w:val="baseline"/>
        <w:rPr>
          <w:rStyle w:val="normaltextrun"/>
          <w:rFonts w:ascii="Lucida Bright" w:hAnsi="Lucida Bright"/>
          <w:sz w:val="22"/>
          <w:szCs w:val="22"/>
          <w:shd w:val="clear" w:color="auto" w:fill="C0C0C0"/>
          <w:lang w:val="es"/>
        </w:rPr>
      </w:pPr>
      <w:r w:rsidRPr="007571B3">
        <w:rPr>
          <w:rStyle w:val="normaltextrun"/>
          <w:rFonts w:ascii="Lucida Bright" w:hAnsi="Lucida Bright"/>
          <w:sz w:val="22"/>
          <w:szCs w:val="22"/>
          <w:shd w:val="clear" w:color="auto" w:fill="C0C0C0"/>
          <w:lang w:val="es"/>
        </w:rPr>
        <w:t>No hay cambios respecto a las condiciones autorizadas actualmente en relación con los vertidos contaminantes de la instalación. Se espera que los vertidos de la instalación contengan carbono orgánico total, sólidos suspendidos totales, aceite y grasa, cobre total, zinc total, pH y temperatura. En el informe técnico de la solicitud de aguas residuales industriales, hoja de trabajo 2.0, se incluyen otros posibles contaminantes.</w:t>
      </w:r>
    </w:p>
    <w:p w14:paraId="696AEE88" w14:textId="6648354D" w:rsidR="0045346E" w:rsidRPr="00A776A3" w:rsidRDefault="007571B3" w:rsidP="007571B3">
      <w:pPr>
        <w:pStyle w:val="paragraph"/>
        <w:spacing w:before="0" w:beforeAutospacing="0" w:after="0" w:afterAutospacing="0" w:line="276" w:lineRule="auto"/>
        <w:textAlignment w:val="baseline"/>
        <w:rPr>
          <w:rFonts w:ascii="Lucida Bright" w:hAnsi="Lucida Bright" w:cs="Segoe UI"/>
          <w:sz w:val="22"/>
          <w:szCs w:val="22"/>
          <w:lang w:val="es-US"/>
        </w:rPr>
      </w:pPr>
      <w:r w:rsidRPr="007571B3">
        <w:rPr>
          <w:rStyle w:val="normaltextrun"/>
          <w:rFonts w:ascii="Lucida Bright" w:hAnsi="Lucida Bright"/>
          <w:sz w:val="22"/>
          <w:szCs w:val="22"/>
          <w:shd w:val="clear" w:color="auto" w:fill="C0C0C0"/>
          <w:lang w:val="es"/>
        </w:rPr>
        <w:t>El agua del río Brazos, suministrada por la Gulf Coast Water Authority, se trata mediante ultrafiltración antes de su uso en las instalaciones. Parte del agua se trata posteriormente mediante una unidad de ósmosis inversa y otros métodos de purificación del agua. Las corrientes de purga de estos procesos de tratamiento se dirigen a un desagüe. La purga de la torre de refrigeración sin contacto, la purga de la caldera, el condensado de vapor y las aguas pluviales de la zona oeste de la propiedad se dirigen a este mismo desagüe. El agua pasa por el estanque de 3 días y/o el estanque de aguas pluviales antes de verterse por el desagüe 001. Las aguas pluviales del lado este de la propiedad se vierten por el desagüe 003. Las aguas residuales de proceso se vierten in situ mediante inyección en pozo profundo (permisos UIC). Las aguas residuales sanitarias se vierten al POTW de la ciudad de Texas City</w:t>
      </w:r>
      <w:r w:rsidR="0045346E" w:rsidRPr="00A776A3">
        <w:rPr>
          <w:rStyle w:val="normaltextrun"/>
          <w:rFonts w:ascii="Lucida Bright" w:hAnsi="Lucida Bright"/>
          <w:sz w:val="22"/>
          <w:szCs w:val="22"/>
          <w:lang w:val="es"/>
        </w:rPr>
        <w:t>.</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89573766">
    <w:abstractNumId w:val="9"/>
  </w:num>
  <w:num w:numId="2" w16cid:durableId="931857411">
    <w:abstractNumId w:val="8"/>
  </w:num>
  <w:num w:numId="3" w16cid:durableId="120615564">
    <w:abstractNumId w:val="7"/>
  </w:num>
  <w:num w:numId="4" w16cid:durableId="377971723">
    <w:abstractNumId w:val="6"/>
  </w:num>
  <w:num w:numId="5" w16cid:durableId="565185758">
    <w:abstractNumId w:val="5"/>
  </w:num>
  <w:num w:numId="6" w16cid:durableId="1812013674">
    <w:abstractNumId w:val="4"/>
  </w:num>
  <w:num w:numId="7" w16cid:durableId="1959139163">
    <w:abstractNumId w:val="3"/>
  </w:num>
  <w:num w:numId="8" w16cid:durableId="2134515923">
    <w:abstractNumId w:val="2"/>
  </w:num>
  <w:num w:numId="9" w16cid:durableId="970284206">
    <w:abstractNumId w:val="1"/>
  </w:num>
  <w:num w:numId="10" w16cid:durableId="1503085701">
    <w:abstractNumId w:val="0"/>
  </w:num>
  <w:num w:numId="11" w16cid:durableId="170262873">
    <w:abstractNumId w:val="12"/>
  </w:num>
  <w:num w:numId="12" w16cid:durableId="115568515">
    <w:abstractNumId w:val="11"/>
  </w:num>
  <w:num w:numId="13" w16cid:durableId="350499875">
    <w:abstractNumId w:val="10"/>
  </w:num>
  <w:num w:numId="14" w16cid:durableId="703674227">
    <w:abstractNumId w:val="9"/>
  </w:num>
  <w:num w:numId="15" w16cid:durableId="227805597">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93C75"/>
    <w:rsid w:val="003A2339"/>
    <w:rsid w:val="003B41DF"/>
    <w:rsid w:val="003D7D1F"/>
    <w:rsid w:val="003F5ABB"/>
    <w:rsid w:val="00417619"/>
    <w:rsid w:val="0045346E"/>
    <w:rsid w:val="0046089F"/>
    <w:rsid w:val="004A726B"/>
    <w:rsid w:val="004D2CA6"/>
    <w:rsid w:val="004D54DD"/>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1B3"/>
    <w:rsid w:val="0075745D"/>
    <w:rsid w:val="007F1D92"/>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3748</Characters>
  <Application>Microsoft Office Word</Application>
  <DocSecurity>4</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2023-11-17T13:22:00Z</dcterms:created>
  <dcterms:modified xsi:type="dcterms:W3CDTF">2023-11-17T13:22:00Z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29e37d-a8a4-4222-a804-8a2bb3536c03_Enabled">
    <vt:lpwstr>true</vt:lpwstr>
  </property>
  <property fmtid="{D5CDD505-2E9C-101B-9397-08002B2CF9AE}" pid="3" name="MSIP_Label_ae29e37d-a8a4-4222-a804-8a2bb3536c03_SetDate">
    <vt:lpwstr>2023-11-02T16:22:16Z</vt:lpwstr>
  </property>
  <property fmtid="{D5CDD505-2E9C-101B-9397-08002B2CF9AE}" pid="4" name="MSIP_Label_ae29e37d-a8a4-4222-a804-8a2bb3536c03_Method">
    <vt:lpwstr>Standard</vt:lpwstr>
  </property>
  <property fmtid="{D5CDD505-2E9C-101B-9397-08002B2CF9AE}" pid="5" name="MSIP_Label_ae29e37d-a8a4-4222-a804-8a2bb3536c03_Name">
    <vt:lpwstr>General (Default)</vt:lpwstr>
  </property>
  <property fmtid="{D5CDD505-2E9C-101B-9397-08002B2CF9AE}" pid="6" name="MSIP_Label_ae29e37d-a8a4-4222-a804-8a2bb3536c03_SiteId">
    <vt:lpwstr>cb2bab3d-7d90-44ea-9e31-531011b1213d</vt:lpwstr>
  </property>
  <property fmtid="{D5CDD505-2E9C-101B-9397-08002B2CF9AE}" pid="7" name="MSIP_Label_ae29e37d-a8a4-4222-a804-8a2bb3536c03_ActionId">
    <vt:lpwstr>8468988c-37f1-4ebc-93cd-21d3131eb2b7</vt:lpwstr>
  </property>
  <property fmtid="{D5CDD505-2E9C-101B-9397-08002B2CF9AE}" pid="8" name="MSIP_Label_ae29e37d-a8a4-4222-a804-8a2bb3536c03_ContentBits">
    <vt:lpwstr>0</vt:lpwstr>
  </property>
</Properties>
</file>