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35806452"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71D6BDA2"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832FA4" w:rsidRPr="00832FA4">
        <w:rPr>
          <w:rFonts w:asciiTheme="minorHAnsi" w:hAnsiTheme="minorHAnsi"/>
          <w:b/>
          <w:sz w:val="22"/>
          <w:szCs w:val="22"/>
        </w:rPr>
        <w:t>WQ0004119000</w:t>
      </w:r>
    </w:p>
    <w:p w14:paraId="3C7E6FE6" w14:textId="77777777" w:rsidR="008B108E" w:rsidRPr="00341883" w:rsidRDefault="008B108E">
      <w:pPr>
        <w:widowControl w:val="0"/>
        <w:rPr>
          <w:rFonts w:asciiTheme="minorHAnsi" w:hAnsiTheme="minorHAnsi"/>
          <w:sz w:val="22"/>
          <w:szCs w:val="22"/>
        </w:rPr>
      </w:pPr>
    </w:p>
    <w:p w14:paraId="59979F72" w14:textId="73CBB285" w:rsidR="00FE2CAE" w:rsidRPr="00AA54BB" w:rsidRDefault="008B108E" w:rsidP="00ED7E06">
      <w:pPr>
        <w:pStyle w:val="Default"/>
        <w:rPr>
          <w:rFonts w:asciiTheme="minorHAnsi" w:hAnsiTheme="minorHAnsi"/>
          <w:color w:val="auto"/>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r w:rsidR="00ED7E06">
        <w:t xml:space="preserve"> </w:t>
      </w:r>
      <w:bookmarkStart w:id="0" w:name="_Hlk150254906"/>
      <w:r w:rsidR="00ED7E06" w:rsidRPr="00AA54BB">
        <w:rPr>
          <w:rFonts w:asciiTheme="minorHAnsi" w:hAnsiTheme="minorHAnsi"/>
          <w:color w:val="auto"/>
          <w:sz w:val="22"/>
          <w:szCs w:val="22"/>
        </w:rPr>
        <w:t>Nouryon Chemicals LLC and Nouryon Functional Chemicals LLC</w:t>
      </w:r>
      <w:bookmarkEnd w:id="0"/>
      <w:r w:rsidR="00AA54BB">
        <w:rPr>
          <w:rFonts w:asciiTheme="minorHAnsi" w:hAnsiTheme="minorHAnsi"/>
          <w:color w:val="auto"/>
          <w:sz w:val="22"/>
          <w:szCs w:val="22"/>
        </w:rPr>
        <w:t>,</w:t>
      </w:r>
      <w:r w:rsidR="004B4E25" w:rsidRPr="00AA54BB">
        <w:rPr>
          <w:rFonts w:asciiTheme="minorHAnsi" w:hAnsiTheme="minorHAnsi"/>
          <w:color w:val="auto"/>
          <w:sz w:val="22"/>
          <w:szCs w:val="22"/>
        </w:rPr>
        <w:t xml:space="preserve"> 525 West Van Buren Street, Suite 1600, Chicago, Illinois 60607, which own an organometallic compound manufacturing facility, have applied</w:t>
      </w:r>
      <w:r w:rsidRPr="00AA54BB">
        <w:rPr>
          <w:rFonts w:asciiTheme="minorHAnsi" w:hAnsiTheme="minorHAnsi"/>
          <w:color w:val="auto"/>
          <w:sz w:val="22"/>
          <w:szCs w:val="22"/>
        </w:rPr>
        <w:t xml:space="preserve"> to the Texas Commission on Environmental Quality (TCEQ) </w:t>
      </w:r>
      <w:r w:rsidR="007E37E3" w:rsidRPr="00AA54BB">
        <w:rPr>
          <w:rFonts w:asciiTheme="minorHAnsi" w:hAnsiTheme="minorHAnsi"/>
          <w:color w:val="auto"/>
          <w:sz w:val="22"/>
          <w:szCs w:val="22"/>
        </w:rPr>
        <w:t>to amend</w:t>
      </w:r>
      <w:r w:rsidRPr="00AA54BB">
        <w:rPr>
          <w:rFonts w:asciiTheme="minorHAnsi" w:hAnsiTheme="minorHAnsi"/>
          <w:color w:val="auto"/>
          <w:sz w:val="22"/>
          <w:szCs w:val="22"/>
        </w:rPr>
        <w:t xml:space="preserve"> Texas Pollutant Discharge Elimination System (TPDES) Permit No. </w:t>
      </w:r>
      <w:r w:rsidR="00832FA4" w:rsidRPr="00AA54BB">
        <w:rPr>
          <w:rFonts w:asciiTheme="minorHAnsi" w:hAnsiTheme="minorHAnsi"/>
          <w:color w:val="auto"/>
          <w:sz w:val="22"/>
          <w:szCs w:val="22"/>
        </w:rPr>
        <w:t xml:space="preserve">WQ0004119000 </w:t>
      </w:r>
      <w:r w:rsidRPr="00AA54BB">
        <w:rPr>
          <w:rFonts w:asciiTheme="minorHAnsi" w:hAnsiTheme="minorHAnsi"/>
          <w:color w:val="auto"/>
          <w:sz w:val="22"/>
          <w:szCs w:val="22"/>
        </w:rPr>
        <w:t xml:space="preserve">(EPA I.D. No. </w:t>
      </w:r>
      <w:r w:rsidR="00832FA4" w:rsidRPr="00AA54BB">
        <w:rPr>
          <w:rFonts w:asciiTheme="minorHAnsi" w:hAnsiTheme="minorHAnsi"/>
          <w:color w:val="auto"/>
          <w:sz w:val="22"/>
          <w:szCs w:val="22"/>
        </w:rPr>
        <w:t>TX0006688</w:t>
      </w:r>
      <w:r w:rsidRPr="00AA54BB">
        <w:rPr>
          <w:rFonts w:asciiTheme="minorHAnsi" w:hAnsiTheme="minorHAnsi"/>
          <w:color w:val="auto"/>
          <w:sz w:val="22"/>
          <w:szCs w:val="22"/>
        </w:rPr>
        <w:t xml:space="preserve">) to authorize </w:t>
      </w:r>
      <w:r w:rsidR="004B58F9" w:rsidRPr="00AA54BB">
        <w:rPr>
          <w:rFonts w:asciiTheme="minorHAnsi" w:hAnsiTheme="minorHAnsi"/>
          <w:color w:val="auto"/>
          <w:sz w:val="22"/>
          <w:szCs w:val="22"/>
        </w:rPr>
        <w:t xml:space="preserve">an increase in </w:t>
      </w:r>
      <w:r w:rsidRPr="00AA54BB">
        <w:rPr>
          <w:rFonts w:asciiTheme="minorHAnsi" w:hAnsiTheme="minorHAnsi"/>
          <w:color w:val="auto"/>
          <w:sz w:val="22"/>
          <w:szCs w:val="22"/>
        </w:rPr>
        <w:t>the discharge</w:t>
      </w:r>
      <w:r w:rsidR="00662E2A">
        <w:rPr>
          <w:rFonts w:asciiTheme="minorHAnsi" w:hAnsiTheme="minorHAnsi"/>
          <w:color w:val="auto"/>
          <w:sz w:val="22"/>
          <w:szCs w:val="22"/>
        </w:rPr>
        <w:t xml:space="preserve"> of</w:t>
      </w:r>
      <w:r w:rsidR="00B64B38">
        <w:rPr>
          <w:rFonts w:asciiTheme="minorHAnsi" w:hAnsiTheme="minorHAnsi"/>
          <w:color w:val="auto"/>
          <w:sz w:val="22"/>
          <w:szCs w:val="22"/>
        </w:rPr>
        <w:t xml:space="preserve"> treated wastewater and </w:t>
      </w:r>
      <w:r w:rsidR="00662E2A">
        <w:rPr>
          <w:rFonts w:asciiTheme="minorHAnsi" w:hAnsiTheme="minorHAnsi"/>
          <w:color w:val="auto"/>
          <w:sz w:val="22"/>
          <w:szCs w:val="22"/>
        </w:rPr>
        <w:t xml:space="preserve">stormwater </w:t>
      </w:r>
      <w:r w:rsidR="00B64B38">
        <w:rPr>
          <w:rFonts w:asciiTheme="minorHAnsi" w:hAnsiTheme="minorHAnsi"/>
          <w:color w:val="auto"/>
          <w:sz w:val="22"/>
          <w:szCs w:val="22"/>
        </w:rPr>
        <w:t xml:space="preserve">to a volume </w:t>
      </w:r>
      <w:r w:rsidRPr="00AA54BB">
        <w:rPr>
          <w:rFonts w:asciiTheme="minorHAnsi" w:hAnsiTheme="minorHAnsi"/>
          <w:color w:val="auto"/>
          <w:sz w:val="22"/>
          <w:szCs w:val="22"/>
        </w:rPr>
        <w:t>not to exceed a daily average flow of</w:t>
      </w:r>
      <w:r w:rsidR="004B4E25" w:rsidRPr="00AA54BB">
        <w:rPr>
          <w:rFonts w:asciiTheme="minorHAnsi" w:hAnsiTheme="minorHAnsi"/>
          <w:color w:val="auto"/>
          <w:sz w:val="22"/>
          <w:szCs w:val="22"/>
        </w:rPr>
        <w:t xml:space="preserve"> 60,000</w:t>
      </w:r>
      <w:r w:rsidRPr="00AA54BB">
        <w:rPr>
          <w:rFonts w:asciiTheme="minorHAnsi" w:hAnsiTheme="minorHAnsi"/>
          <w:color w:val="auto"/>
          <w:sz w:val="22"/>
          <w:szCs w:val="22"/>
        </w:rPr>
        <w:t xml:space="preserve"> gallons per day</w:t>
      </w:r>
      <w:r w:rsidR="004B4E25" w:rsidRPr="00AA54BB">
        <w:rPr>
          <w:rFonts w:asciiTheme="minorHAnsi" w:hAnsiTheme="minorHAnsi"/>
          <w:color w:val="auto"/>
          <w:sz w:val="22"/>
          <w:szCs w:val="22"/>
        </w:rPr>
        <w:t xml:space="preserve"> </w:t>
      </w:r>
      <w:r w:rsidR="00AA54BB" w:rsidRPr="00AA54BB">
        <w:rPr>
          <w:rFonts w:asciiTheme="minorHAnsi" w:hAnsiTheme="minorHAnsi"/>
          <w:color w:val="auto"/>
          <w:sz w:val="22"/>
          <w:szCs w:val="22"/>
        </w:rPr>
        <w:t>and a change in the Permit condition Other Requirement No.5 to allow for the discharge of stormwater up to 48 hours after large storm events</w:t>
      </w:r>
      <w:r w:rsidRPr="00AA54BB">
        <w:rPr>
          <w:rFonts w:asciiTheme="minorHAnsi" w:hAnsiTheme="minorHAnsi"/>
          <w:i/>
          <w:color w:val="auto"/>
          <w:sz w:val="22"/>
          <w:szCs w:val="22"/>
        </w:rPr>
        <w:t xml:space="preserve">. </w:t>
      </w:r>
      <w:r w:rsidRPr="00AA54BB">
        <w:rPr>
          <w:rFonts w:asciiTheme="minorHAnsi" w:hAnsiTheme="minorHAnsi"/>
          <w:color w:val="auto"/>
          <w:sz w:val="22"/>
          <w:szCs w:val="22"/>
        </w:rPr>
        <w:t>The facility is located</w:t>
      </w:r>
      <w:r w:rsidR="00AA54BB" w:rsidRPr="00AA54BB">
        <w:rPr>
          <w:rFonts w:asciiTheme="minorHAnsi" w:hAnsiTheme="minorHAnsi"/>
          <w:color w:val="auto"/>
          <w:sz w:val="22"/>
          <w:szCs w:val="22"/>
        </w:rPr>
        <w:t xml:space="preserve"> at 730 Independence Parkway</w:t>
      </w:r>
      <w:r w:rsidR="00B64B38">
        <w:rPr>
          <w:rFonts w:asciiTheme="minorHAnsi" w:hAnsiTheme="minorHAnsi"/>
          <w:color w:val="auto"/>
          <w:sz w:val="22"/>
          <w:szCs w:val="22"/>
        </w:rPr>
        <w:t xml:space="preserve"> South</w:t>
      </w:r>
      <w:r w:rsidR="00AA54BB" w:rsidRPr="00AA54BB">
        <w:rPr>
          <w:rFonts w:asciiTheme="minorHAnsi" w:hAnsiTheme="minorHAnsi"/>
          <w:color w:val="auto"/>
          <w:sz w:val="22"/>
          <w:szCs w:val="22"/>
        </w:rPr>
        <w:t>, La Porte, in Harris County, Texas 7</w:t>
      </w:r>
      <w:r w:rsidR="00B64B38">
        <w:rPr>
          <w:rFonts w:asciiTheme="minorHAnsi" w:hAnsiTheme="minorHAnsi"/>
          <w:color w:val="auto"/>
          <w:sz w:val="22"/>
          <w:szCs w:val="22"/>
        </w:rPr>
        <w:t>7</w:t>
      </w:r>
      <w:r w:rsidR="00AA54BB" w:rsidRPr="00AA54BB">
        <w:rPr>
          <w:rFonts w:asciiTheme="minorHAnsi" w:hAnsiTheme="minorHAnsi"/>
          <w:color w:val="auto"/>
          <w:sz w:val="22"/>
          <w:szCs w:val="22"/>
        </w:rPr>
        <w:t>57</w:t>
      </w:r>
      <w:r w:rsidR="00B64B38">
        <w:rPr>
          <w:rFonts w:asciiTheme="minorHAnsi" w:hAnsiTheme="minorHAnsi"/>
          <w:color w:val="auto"/>
          <w:sz w:val="22"/>
          <w:szCs w:val="22"/>
        </w:rPr>
        <w:t>1</w:t>
      </w:r>
      <w:r w:rsidR="00AA54BB" w:rsidRPr="00AA54BB">
        <w:rPr>
          <w:rFonts w:asciiTheme="minorHAnsi" w:hAnsiTheme="minorHAnsi"/>
          <w:color w:val="auto"/>
          <w:sz w:val="22"/>
          <w:szCs w:val="22"/>
        </w:rPr>
        <w:t xml:space="preserve">. </w:t>
      </w:r>
      <w:r w:rsidRPr="00AA54BB">
        <w:rPr>
          <w:rFonts w:asciiTheme="minorHAnsi" w:hAnsiTheme="minorHAnsi"/>
          <w:color w:val="auto"/>
          <w:sz w:val="22"/>
          <w:szCs w:val="22"/>
        </w:rPr>
        <w:t xml:space="preserve">The discharge route is from the plant site to </w:t>
      </w:r>
      <w:r w:rsidR="00AA54BB" w:rsidRPr="00AA54BB">
        <w:rPr>
          <w:rFonts w:asciiTheme="minorHAnsi" w:hAnsiTheme="minorHAnsi"/>
          <w:bCs/>
          <w:color w:val="auto"/>
          <w:sz w:val="22"/>
          <w:szCs w:val="22"/>
        </w:rPr>
        <w:t>a drainage ditch (Phillips Ditch)</w:t>
      </w:r>
      <w:r w:rsidR="005F202A">
        <w:rPr>
          <w:rFonts w:asciiTheme="minorHAnsi" w:hAnsiTheme="minorHAnsi"/>
          <w:bCs/>
          <w:color w:val="auto"/>
          <w:sz w:val="22"/>
          <w:szCs w:val="22"/>
        </w:rPr>
        <w:t xml:space="preserve">; </w:t>
      </w:r>
      <w:r w:rsidR="00AA54BB" w:rsidRPr="00AA54BB">
        <w:rPr>
          <w:rFonts w:asciiTheme="minorHAnsi" w:hAnsiTheme="minorHAnsi"/>
          <w:bCs/>
          <w:color w:val="auto"/>
          <w:sz w:val="22"/>
          <w:szCs w:val="22"/>
        </w:rPr>
        <w:t>thence to Santa Anna Bayou</w:t>
      </w:r>
      <w:r w:rsidR="005F202A">
        <w:rPr>
          <w:rFonts w:asciiTheme="minorHAnsi" w:hAnsiTheme="minorHAnsi"/>
          <w:bCs/>
          <w:color w:val="auto"/>
          <w:sz w:val="22"/>
          <w:szCs w:val="22"/>
        </w:rPr>
        <w:t>;</w:t>
      </w:r>
      <w:r w:rsidR="00AA54BB" w:rsidRPr="00AA54BB">
        <w:rPr>
          <w:rFonts w:asciiTheme="minorHAnsi" w:hAnsiTheme="minorHAnsi"/>
          <w:bCs/>
          <w:color w:val="auto"/>
          <w:sz w:val="22"/>
          <w:szCs w:val="22"/>
        </w:rPr>
        <w:t xml:space="preserve"> thence to Houston Ship Channel/San Jacinto River Tidal</w:t>
      </w:r>
      <w:r w:rsidR="00AA54BB" w:rsidRPr="00AA54BB">
        <w:rPr>
          <w:rFonts w:asciiTheme="minorHAnsi" w:hAnsiTheme="minorHAnsi"/>
          <w:b/>
          <w:color w:val="auto"/>
          <w:sz w:val="22"/>
          <w:szCs w:val="22"/>
        </w:rPr>
        <w:t xml:space="preserve">. </w:t>
      </w:r>
      <w:r w:rsidRPr="00AA54BB">
        <w:rPr>
          <w:rFonts w:asciiTheme="minorHAnsi" w:hAnsiTheme="minorHAnsi"/>
          <w:color w:val="auto"/>
          <w:sz w:val="22"/>
          <w:szCs w:val="22"/>
        </w:rPr>
        <w:t>TCEQ received this application on</w:t>
      </w:r>
      <w:r w:rsidR="00AA54BB" w:rsidRPr="00AA54BB">
        <w:rPr>
          <w:rFonts w:asciiTheme="minorHAnsi" w:hAnsiTheme="minorHAnsi"/>
          <w:color w:val="auto"/>
          <w:sz w:val="22"/>
          <w:szCs w:val="22"/>
        </w:rPr>
        <w:t xml:space="preserve"> August 28, 2023.</w:t>
      </w:r>
      <w:r w:rsidRPr="00AA54BB">
        <w:rPr>
          <w:rFonts w:asciiTheme="minorHAnsi" w:hAnsiTheme="minorHAnsi"/>
          <w:color w:val="auto"/>
          <w:sz w:val="22"/>
          <w:szCs w:val="22"/>
        </w:rPr>
        <w:t xml:space="preserve"> </w:t>
      </w:r>
      <w:r w:rsidR="00C35D72" w:rsidRPr="00AA54BB">
        <w:rPr>
          <w:rFonts w:asciiTheme="minorHAnsi" w:hAnsiTheme="minorHAnsi"/>
          <w:color w:val="auto"/>
          <w:sz w:val="22"/>
          <w:szCs w:val="22"/>
        </w:rPr>
        <w:t>The permit application will be available for viewing and copying at</w:t>
      </w:r>
      <w:r w:rsidR="00AA54BB" w:rsidRPr="00AA54BB">
        <w:rPr>
          <w:rFonts w:asciiTheme="minorHAnsi" w:hAnsiTheme="minorHAnsi"/>
          <w:color w:val="auto"/>
          <w:sz w:val="22"/>
          <w:szCs w:val="22"/>
        </w:rPr>
        <w:t xml:space="preserve"> La Porte Library, 600 South Broadway</w:t>
      </w:r>
      <w:r w:rsidR="00B64B38">
        <w:rPr>
          <w:rFonts w:asciiTheme="minorHAnsi" w:hAnsiTheme="minorHAnsi"/>
          <w:color w:val="auto"/>
          <w:sz w:val="22"/>
          <w:szCs w:val="22"/>
        </w:rPr>
        <w:t xml:space="preserve"> Street</w:t>
      </w:r>
      <w:r w:rsidR="00AA54BB" w:rsidRPr="00AA54BB">
        <w:rPr>
          <w:rFonts w:asciiTheme="minorHAnsi" w:hAnsiTheme="minorHAnsi"/>
          <w:color w:val="auto"/>
          <w:sz w:val="22"/>
          <w:szCs w:val="22"/>
        </w:rPr>
        <w:t>, La Porte,</w:t>
      </w:r>
      <w:r w:rsidR="00C35D72" w:rsidRPr="00AA54BB">
        <w:rPr>
          <w:rFonts w:asciiTheme="minorHAnsi" w:hAnsiTheme="minorHAnsi"/>
          <w:color w:val="auto"/>
          <w:sz w:val="22"/>
          <w:szCs w:val="22"/>
        </w:rPr>
        <w:t xml:space="preserve"> Texas prior to the date </w:t>
      </w:r>
      <w:r w:rsidR="00E33AAD" w:rsidRPr="00AA54BB">
        <w:rPr>
          <w:rFonts w:asciiTheme="minorHAnsi" w:hAnsiTheme="minorHAnsi"/>
          <w:color w:val="auto"/>
          <w:sz w:val="22"/>
          <w:szCs w:val="22"/>
        </w:rPr>
        <w:t>this notice</w:t>
      </w:r>
      <w:r w:rsidR="00C35D72" w:rsidRPr="00AA54BB">
        <w:rPr>
          <w:rFonts w:asciiTheme="minorHAnsi" w:hAnsiTheme="minorHAnsi"/>
          <w:color w:val="auto"/>
          <w:sz w:val="22"/>
          <w:szCs w:val="22"/>
        </w:rPr>
        <w:t xml:space="preserve"> is published in the newspaper. </w:t>
      </w:r>
      <w:r w:rsidR="00FE2CAE" w:rsidRPr="00AA54BB">
        <w:rPr>
          <w:rFonts w:asciiTheme="minorHAnsi" w:hAnsiTheme="minorHAnsi"/>
          <w:color w:val="auto"/>
          <w:sz w:val="22"/>
          <w:szCs w:val="22"/>
        </w:rPr>
        <w:t xml:space="preserve">This link to an electronic map of the site or facility's general location is provided as a public courtesy and not part of the application or notice. For </w:t>
      </w:r>
      <w:r w:rsidR="00EA70EC" w:rsidRPr="00AA54BB">
        <w:rPr>
          <w:rFonts w:asciiTheme="minorHAnsi" w:hAnsiTheme="minorHAnsi"/>
          <w:color w:val="auto"/>
          <w:sz w:val="22"/>
          <w:szCs w:val="22"/>
        </w:rPr>
        <w:t xml:space="preserve">the </w:t>
      </w:r>
      <w:r w:rsidR="00FE2CAE" w:rsidRPr="00AA54BB">
        <w:rPr>
          <w:rFonts w:asciiTheme="minorHAnsi" w:hAnsiTheme="minorHAnsi"/>
          <w:color w:val="auto"/>
          <w:sz w:val="22"/>
          <w:szCs w:val="22"/>
        </w:rPr>
        <w:t xml:space="preserve">exact location, refer to </w:t>
      </w:r>
      <w:r w:rsidR="00EA70EC" w:rsidRPr="00AA54BB">
        <w:rPr>
          <w:rFonts w:asciiTheme="minorHAnsi" w:hAnsiTheme="minorHAnsi"/>
          <w:color w:val="auto"/>
          <w:sz w:val="22"/>
          <w:szCs w:val="22"/>
        </w:rPr>
        <w:t xml:space="preserve">the </w:t>
      </w:r>
      <w:r w:rsidR="00FE2CAE" w:rsidRPr="00AA54BB">
        <w:rPr>
          <w:rFonts w:asciiTheme="minorHAnsi" w:hAnsiTheme="minorHAnsi"/>
          <w:color w:val="auto"/>
          <w:sz w:val="22"/>
          <w:szCs w:val="22"/>
        </w:rPr>
        <w:t>application.</w:t>
      </w:r>
    </w:p>
    <w:p w14:paraId="5476E464" w14:textId="728E9719" w:rsidR="008B108E" w:rsidRDefault="008D4BAB" w:rsidP="00341883">
      <w:pPr>
        <w:widowControl w:val="0"/>
        <w:rPr>
          <w:rFonts w:ascii="Georgia" w:hAnsi="Georgia"/>
          <w:color w:val="FF0000"/>
          <w:sz w:val="22"/>
          <w:szCs w:val="22"/>
        </w:rPr>
      </w:pPr>
      <w:hyperlink r:id="rId6" w:history="1">
        <w:r w:rsidR="00AA54BB" w:rsidRPr="006F4ED3">
          <w:rPr>
            <w:rStyle w:val="Hyperlink"/>
            <w:rFonts w:ascii="Georgia" w:hAnsi="Georgia"/>
            <w:sz w:val="22"/>
            <w:szCs w:val="22"/>
          </w:rPr>
          <w:t>https://gisweb.tceq.texas.gov/LocationMapper/?marker=-95.088611,29.712222&amp;level=18</w:t>
        </w:r>
      </w:hyperlink>
    </w:p>
    <w:p w14:paraId="4624A702" w14:textId="77777777" w:rsidR="00AA54BB" w:rsidRPr="00341883" w:rsidRDefault="00AA54BB" w:rsidP="00341883">
      <w:pPr>
        <w:widowControl w:val="0"/>
        <w:rPr>
          <w:rFonts w:asciiTheme="minorHAnsi" w:hAnsiTheme="minorHAnsi"/>
          <w:color w:val="FF0000"/>
          <w:sz w:val="22"/>
          <w:szCs w:val="22"/>
        </w:rPr>
      </w:pPr>
    </w:p>
    <w:p w14:paraId="7024AC30" w14:textId="38F1D18E"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341883" w:rsidRDefault="008B108E" w:rsidP="00341883">
      <w:pPr>
        <w:widowControl w:val="0"/>
        <w:rPr>
          <w:rFonts w:asciiTheme="minorHAnsi" w:hAnsiTheme="minorHAnsi"/>
          <w:sz w:val="22"/>
          <w:szCs w:val="22"/>
        </w:rPr>
      </w:pPr>
    </w:p>
    <w:p w14:paraId="50772E90" w14:textId="729BD708"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BF4322">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t>
      </w:r>
      <w:r w:rsidRPr="00341883">
        <w:rPr>
          <w:rFonts w:asciiTheme="minorHAnsi" w:hAnsiTheme="minorHAnsi"/>
          <w:sz w:val="22"/>
          <w:szCs w:val="22"/>
        </w:rPr>
        <w:lastRenderedPageBreak/>
        <w:t>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0FB43B8" w14:textId="77777777" w:rsidR="005F202A" w:rsidRPr="00341883" w:rsidRDefault="005F202A"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BF4322">
      <w:pPr>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0D28DDA5" w:rsidR="008B108E" w:rsidRPr="00341883" w:rsidRDefault="008B108E" w:rsidP="00DE5892">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AA54BB" w:rsidRPr="00AA54BB">
        <w:rPr>
          <w:rFonts w:asciiTheme="minorHAnsi" w:hAnsiTheme="minorHAnsi"/>
          <w:sz w:val="22"/>
          <w:szCs w:val="22"/>
        </w:rPr>
        <w:t>Nouryon Chemicals LLC and Nouryon Functional Chemicals LLC</w:t>
      </w:r>
      <w:r w:rsidR="00662E2A">
        <w:rPr>
          <w:rFonts w:asciiTheme="minorHAnsi" w:hAnsiTheme="minorHAns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ed above or by calling</w:t>
      </w:r>
      <w:r w:rsidR="00AA54BB">
        <w:rPr>
          <w:rFonts w:asciiTheme="minorHAnsi" w:hAnsiTheme="minorHAnsi"/>
          <w:sz w:val="22"/>
          <w:szCs w:val="22"/>
        </w:rPr>
        <w:t xml:space="preserve"> Mr. Derek Schilling, Environmental </w:t>
      </w:r>
      <w:r w:rsidR="005F202A">
        <w:rPr>
          <w:rFonts w:asciiTheme="minorHAnsi" w:hAnsiTheme="minorHAnsi"/>
          <w:sz w:val="22"/>
          <w:szCs w:val="22"/>
        </w:rPr>
        <w:t>M</w:t>
      </w:r>
      <w:r w:rsidR="00AA54BB">
        <w:rPr>
          <w:rFonts w:asciiTheme="minorHAnsi" w:hAnsiTheme="minorHAnsi"/>
          <w:sz w:val="22"/>
          <w:szCs w:val="22"/>
        </w:rPr>
        <w:t>anager</w:t>
      </w:r>
      <w:r w:rsidR="005F202A">
        <w:rPr>
          <w:rFonts w:asciiTheme="minorHAnsi" w:hAnsiTheme="minorHAnsi"/>
          <w:sz w:val="22"/>
          <w:szCs w:val="22"/>
        </w:rPr>
        <w:t>,</w:t>
      </w:r>
      <w:r w:rsidR="00AA54BB">
        <w:rPr>
          <w:rFonts w:asciiTheme="minorHAnsi" w:hAnsiTheme="minorHAnsi"/>
          <w:sz w:val="22"/>
          <w:szCs w:val="22"/>
        </w:rPr>
        <w:t xml:space="preserve"> at 281-817-9260. </w:t>
      </w:r>
      <w:r w:rsidR="007E37E3" w:rsidRPr="00341883">
        <w:rPr>
          <w:rFonts w:asciiTheme="minorHAnsi" w:hAnsiTheme="minorHAnsi"/>
          <w:sz w:val="22"/>
          <w:szCs w:val="22"/>
        </w:rPr>
        <w:t xml:space="preserve">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2ECA5DCC"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464EC7" w:rsidRPr="009E5F8E">
        <w:rPr>
          <w:rFonts w:asciiTheme="minorHAnsi" w:hAnsiTheme="minorHAnsi"/>
          <w:iCs/>
          <w:sz w:val="22"/>
          <w:szCs w:val="22"/>
        </w:rPr>
        <w:t xml:space="preserve">November </w:t>
      </w:r>
      <w:r w:rsidR="005F202A" w:rsidRPr="009E5F8E">
        <w:rPr>
          <w:rFonts w:asciiTheme="minorHAnsi" w:hAnsiTheme="minorHAnsi"/>
          <w:iCs/>
          <w:sz w:val="22"/>
          <w:szCs w:val="22"/>
        </w:rPr>
        <w:t>7</w:t>
      </w:r>
      <w:r w:rsidR="00464EC7" w:rsidRPr="009E5F8E">
        <w:rPr>
          <w:rFonts w:asciiTheme="minorHAnsi" w:hAnsiTheme="minorHAnsi"/>
          <w:iCs/>
          <w:sz w:val="22"/>
          <w:szCs w:val="22"/>
        </w:rPr>
        <w:t>,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F4206"/>
    <w:rsid w:val="00211B4A"/>
    <w:rsid w:val="002C0D07"/>
    <w:rsid w:val="002D0AFD"/>
    <w:rsid w:val="003101B4"/>
    <w:rsid w:val="00341883"/>
    <w:rsid w:val="00370E08"/>
    <w:rsid w:val="00425605"/>
    <w:rsid w:val="00464EC7"/>
    <w:rsid w:val="00495C32"/>
    <w:rsid w:val="004B4E25"/>
    <w:rsid w:val="004B58F9"/>
    <w:rsid w:val="0052493C"/>
    <w:rsid w:val="00576E3C"/>
    <w:rsid w:val="00593D95"/>
    <w:rsid w:val="005C01E6"/>
    <w:rsid w:val="005D3584"/>
    <w:rsid w:val="005F202A"/>
    <w:rsid w:val="00635677"/>
    <w:rsid w:val="006559E1"/>
    <w:rsid w:val="00662E2A"/>
    <w:rsid w:val="006A0971"/>
    <w:rsid w:val="007268BC"/>
    <w:rsid w:val="007C74EA"/>
    <w:rsid w:val="007E37E3"/>
    <w:rsid w:val="007E6DEF"/>
    <w:rsid w:val="00832FA4"/>
    <w:rsid w:val="00894584"/>
    <w:rsid w:val="008B108E"/>
    <w:rsid w:val="008D4BAB"/>
    <w:rsid w:val="0097751A"/>
    <w:rsid w:val="009E5F8E"/>
    <w:rsid w:val="00AA336D"/>
    <w:rsid w:val="00AA54BB"/>
    <w:rsid w:val="00AF0A20"/>
    <w:rsid w:val="00B64B38"/>
    <w:rsid w:val="00BE191C"/>
    <w:rsid w:val="00BF4322"/>
    <w:rsid w:val="00BF679C"/>
    <w:rsid w:val="00C328F5"/>
    <w:rsid w:val="00C35D72"/>
    <w:rsid w:val="00C5034B"/>
    <w:rsid w:val="00D446B1"/>
    <w:rsid w:val="00DE5892"/>
    <w:rsid w:val="00E33AAD"/>
    <w:rsid w:val="00E6080B"/>
    <w:rsid w:val="00E80384"/>
    <w:rsid w:val="00E9142B"/>
    <w:rsid w:val="00E9729B"/>
    <w:rsid w:val="00EA70EC"/>
    <w:rsid w:val="00ED7E06"/>
    <w:rsid w:val="00F41B2F"/>
    <w:rsid w:val="00F6001F"/>
    <w:rsid w:val="00F70C20"/>
    <w:rsid w:val="00F73599"/>
    <w:rsid w:val="00F7361D"/>
    <w:rsid w:val="00F90A62"/>
    <w:rsid w:val="00FC77F4"/>
    <w:rsid w:val="00FE2CAE"/>
    <w:rsid w:val="00FF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 w:type="paragraph" w:customStyle="1" w:styleId="Default">
    <w:name w:val="Default"/>
    <w:rsid w:val="00ED7E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088611,29.712222&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1145</Words>
  <Characters>6503</Characters>
  <Application>Microsoft Office Word</Application>
  <DocSecurity>2</DocSecurity>
  <Lines>119</Lines>
  <Paragraphs>19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7648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10</cp:revision>
  <cp:lastPrinted>2023-11-06T21:47:00Z</cp:lastPrinted>
  <dcterms:created xsi:type="dcterms:W3CDTF">2023-09-08T16:45:00Z</dcterms:created>
  <dcterms:modified xsi:type="dcterms:W3CDTF">2023-11-07T20:53:00Z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4508e73ca6750230b50f4155f10e3eb3ede319372e193b80c3011fc87cc7cf8e</vt:lpwstr>
  </property>
</Properties>
</file>