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DDB8" w14:textId="77777777" w:rsidR="00752258" w:rsidRDefault="00752258" w:rsidP="00673C74">
      <w:pPr>
        <w:spacing w:after="60"/>
        <w:rPr>
          <w:rFonts w:asciiTheme="minorHAnsi" w:hAnsiTheme="minorHAnsi" w:cstheme="minorHAnsi"/>
          <w:b/>
          <w:bCs/>
          <w:iCs/>
          <w:sz w:val="22"/>
          <w:szCs w:val="22"/>
        </w:rPr>
      </w:pPr>
    </w:p>
    <w:p w14:paraId="7B76C9F3" w14:textId="5DD9F333" w:rsidR="00D96B4B" w:rsidRPr="00440C39" w:rsidRDefault="00D96B4B" w:rsidP="00673C74">
      <w:pPr>
        <w:tabs>
          <w:tab w:val="clear" w:pos="720"/>
          <w:tab w:val="left" w:pos="7920"/>
        </w:tabs>
        <w:spacing w:after="60"/>
        <w:rPr>
          <w:rFonts w:asciiTheme="minorHAnsi" w:hAnsiTheme="minorHAnsi" w:cstheme="minorHAnsi"/>
          <w:sz w:val="22"/>
          <w:szCs w:val="22"/>
        </w:rPr>
      </w:pPr>
      <w:r w:rsidRPr="004D457E">
        <w:rPr>
          <w:rFonts w:asciiTheme="minorHAnsi" w:hAnsiTheme="minorHAnsi" w:cstheme="minorHAnsi"/>
          <w:b/>
          <w:bCs/>
          <w:sz w:val="22"/>
          <w:szCs w:val="22"/>
        </w:rPr>
        <w:t>Moderato</w:t>
      </w:r>
      <w:r w:rsidR="004B6982" w:rsidRPr="004D457E">
        <w:rPr>
          <w:rFonts w:asciiTheme="minorHAnsi" w:hAnsiTheme="minorHAnsi" w:cstheme="minorHAnsi"/>
          <w:b/>
          <w:bCs/>
          <w:sz w:val="22"/>
          <w:szCs w:val="22"/>
        </w:rPr>
        <w:t>r</w:t>
      </w:r>
      <w:r w:rsidR="00440C39" w:rsidRPr="00440C39">
        <w:rPr>
          <w:rFonts w:asciiTheme="minorHAnsi" w:hAnsiTheme="minorHAnsi" w:cstheme="minorHAnsi"/>
          <w:sz w:val="22"/>
          <w:szCs w:val="22"/>
        </w:rPr>
        <w:tab/>
      </w:r>
      <w:r w:rsidR="003F3A60">
        <w:rPr>
          <w:rFonts w:asciiTheme="minorHAnsi" w:hAnsiTheme="minorHAnsi" w:cstheme="minorHAnsi"/>
          <w:b/>
          <w:bCs/>
          <w:sz w:val="22"/>
          <w:szCs w:val="22"/>
        </w:rPr>
        <w:t>Mike Lindner</w:t>
      </w:r>
    </w:p>
    <w:p w14:paraId="63642E65" w14:textId="0D53DB40" w:rsidR="008B0811" w:rsidRDefault="00D96B4B" w:rsidP="00373C63">
      <w:pPr>
        <w:pStyle w:val="ListParagraph"/>
        <w:numPr>
          <w:ilvl w:val="0"/>
          <w:numId w:val="30"/>
        </w:numPr>
        <w:ind w:left="360"/>
        <w:rPr>
          <w:rFonts w:asciiTheme="minorHAnsi" w:hAnsiTheme="minorHAnsi" w:cstheme="minorHAnsi"/>
          <w:sz w:val="22"/>
          <w:szCs w:val="22"/>
        </w:rPr>
      </w:pPr>
      <w:r w:rsidRPr="00E768D9">
        <w:rPr>
          <w:rFonts w:asciiTheme="minorHAnsi" w:hAnsiTheme="minorHAnsi" w:cstheme="minorHAnsi"/>
          <w:sz w:val="22"/>
          <w:szCs w:val="22"/>
        </w:rPr>
        <w:t xml:space="preserve">Welcome and </w:t>
      </w:r>
      <w:r w:rsidR="00961759" w:rsidRPr="00E768D9">
        <w:rPr>
          <w:rFonts w:asciiTheme="minorHAnsi" w:hAnsiTheme="minorHAnsi" w:cstheme="minorHAnsi"/>
          <w:sz w:val="22"/>
          <w:szCs w:val="22"/>
        </w:rPr>
        <w:t>i</w:t>
      </w:r>
      <w:r w:rsidRPr="00E768D9">
        <w:rPr>
          <w:rFonts w:asciiTheme="minorHAnsi" w:hAnsiTheme="minorHAnsi" w:cstheme="minorHAnsi"/>
          <w:sz w:val="22"/>
          <w:szCs w:val="22"/>
        </w:rPr>
        <w:t>ntroductions</w:t>
      </w:r>
    </w:p>
    <w:p w14:paraId="650ED30E" w14:textId="77777777" w:rsidR="00394237" w:rsidRPr="00394237" w:rsidRDefault="00394237" w:rsidP="00373C63">
      <w:pPr>
        <w:rPr>
          <w:rFonts w:asciiTheme="minorHAnsi" w:hAnsiTheme="minorHAnsi" w:cstheme="minorHAnsi"/>
          <w:sz w:val="22"/>
          <w:szCs w:val="22"/>
        </w:rPr>
      </w:pPr>
    </w:p>
    <w:p w14:paraId="26340866" w14:textId="51D0A4C8" w:rsidR="00752258" w:rsidRDefault="00752258" w:rsidP="00673C74">
      <w:pPr>
        <w:spacing w:after="60"/>
        <w:rPr>
          <w:rFonts w:asciiTheme="minorHAnsi" w:hAnsiTheme="minorHAnsi" w:cstheme="minorHAnsi"/>
          <w:b/>
          <w:bCs/>
          <w:iCs/>
          <w:sz w:val="22"/>
          <w:szCs w:val="22"/>
        </w:rPr>
      </w:pPr>
    </w:p>
    <w:p w14:paraId="2A79744E" w14:textId="269E5D68" w:rsidR="00607474" w:rsidRPr="00673C74" w:rsidRDefault="004D067A" w:rsidP="00673C74">
      <w:pPr>
        <w:tabs>
          <w:tab w:val="clear" w:pos="720"/>
          <w:tab w:val="left" w:pos="7920"/>
        </w:tabs>
        <w:spacing w:after="60"/>
        <w:rPr>
          <w:rFonts w:asciiTheme="minorHAnsi" w:hAnsiTheme="minorHAnsi" w:cstheme="minorHAnsi"/>
          <w:b/>
          <w:bCs/>
          <w:sz w:val="22"/>
          <w:szCs w:val="22"/>
          <w:u w:val="single"/>
        </w:rPr>
      </w:pPr>
      <w:r>
        <w:rPr>
          <w:rFonts w:asciiTheme="minorHAnsi" w:hAnsiTheme="minorHAnsi" w:cstheme="minorHAnsi"/>
          <w:b/>
          <w:bCs/>
          <w:sz w:val="22"/>
          <w:szCs w:val="22"/>
        </w:rPr>
        <w:t>Regionalization Petition</w:t>
      </w:r>
      <w:r w:rsidR="006E1998">
        <w:rPr>
          <w:rFonts w:asciiTheme="minorHAnsi" w:hAnsiTheme="minorHAnsi" w:cstheme="minorHAnsi"/>
          <w:sz w:val="22"/>
          <w:szCs w:val="22"/>
        </w:rPr>
        <w:tab/>
      </w:r>
      <w:r w:rsidR="003B6EF6">
        <w:rPr>
          <w:rFonts w:asciiTheme="minorHAnsi" w:hAnsiTheme="minorHAnsi" w:cstheme="minorHAnsi"/>
          <w:b/>
          <w:bCs/>
          <w:sz w:val="22"/>
          <w:szCs w:val="22"/>
        </w:rPr>
        <w:t>Firoj Vahora</w:t>
      </w:r>
    </w:p>
    <w:p w14:paraId="55C4EE00" w14:textId="0B5D4AF9" w:rsidR="006C06D3" w:rsidRPr="00373C63" w:rsidRDefault="00387FF7" w:rsidP="00373C63">
      <w:pPr>
        <w:pStyle w:val="ListParagraph"/>
        <w:numPr>
          <w:ilvl w:val="0"/>
          <w:numId w:val="30"/>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Review of issues</w:t>
      </w:r>
      <w:r w:rsidR="003B6EF6" w:rsidRPr="00373C63">
        <w:rPr>
          <w:rFonts w:asciiTheme="minorHAnsi" w:hAnsiTheme="minorHAnsi" w:cstheme="minorHAnsi"/>
          <w:sz w:val="22"/>
          <w:szCs w:val="22"/>
        </w:rPr>
        <w:t xml:space="preserve"> i</w:t>
      </w:r>
      <w:r w:rsidR="006C06D3" w:rsidRPr="00373C63">
        <w:rPr>
          <w:rFonts w:asciiTheme="minorHAnsi" w:hAnsiTheme="minorHAnsi" w:cstheme="minorHAnsi"/>
          <w:sz w:val="22"/>
          <w:szCs w:val="22"/>
        </w:rPr>
        <w:t xml:space="preserve">dentified in </w:t>
      </w:r>
      <w:r w:rsidR="006B279C" w:rsidRPr="00373C63">
        <w:rPr>
          <w:rFonts w:asciiTheme="minorHAnsi" w:hAnsiTheme="minorHAnsi" w:cstheme="minorHAnsi"/>
          <w:sz w:val="22"/>
          <w:szCs w:val="22"/>
        </w:rPr>
        <w:t>r</w:t>
      </w:r>
      <w:r w:rsidR="006C06D3" w:rsidRPr="00373C63">
        <w:rPr>
          <w:rFonts w:asciiTheme="minorHAnsi" w:hAnsiTheme="minorHAnsi" w:cstheme="minorHAnsi"/>
          <w:sz w:val="22"/>
          <w:szCs w:val="22"/>
        </w:rPr>
        <w:t xml:space="preserve">ule </w:t>
      </w:r>
      <w:r w:rsidR="006B279C" w:rsidRPr="00373C63">
        <w:rPr>
          <w:rFonts w:asciiTheme="minorHAnsi" w:hAnsiTheme="minorHAnsi" w:cstheme="minorHAnsi"/>
          <w:sz w:val="22"/>
          <w:szCs w:val="22"/>
        </w:rPr>
        <w:t>p</w:t>
      </w:r>
      <w:r w:rsidR="006C06D3" w:rsidRPr="00373C63">
        <w:rPr>
          <w:rFonts w:asciiTheme="minorHAnsi" w:hAnsiTheme="minorHAnsi" w:cstheme="minorHAnsi"/>
          <w:sz w:val="22"/>
          <w:szCs w:val="22"/>
        </w:rPr>
        <w:t>etition</w:t>
      </w:r>
    </w:p>
    <w:p w14:paraId="1511E8A2" w14:textId="77777777" w:rsidR="00394237" w:rsidRPr="00394237" w:rsidRDefault="00394237" w:rsidP="00373C63">
      <w:pPr>
        <w:tabs>
          <w:tab w:val="left" w:pos="7920"/>
        </w:tabs>
        <w:rPr>
          <w:rFonts w:asciiTheme="minorHAnsi" w:hAnsiTheme="minorHAnsi" w:cstheme="minorHAnsi"/>
          <w:sz w:val="22"/>
          <w:szCs w:val="22"/>
        </w:rPr>
      </w:pPr>
    </w:p>
    <w:p w14:paraId="4E4715B1" w14:textId="2472254A" w:rsidR="00EB3871" w:rsidRPr="00373C63" w:rsidRDefault="004D067A" w:rsidP="00373C63">
      <w:pPr>
        <w:pStyle w:val="ListParagraph"/>
        <w:numPr>
          <w:ilvl w:val="0"/>
          <w:numId w:val="30"/>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 xml:space="preserve">Commission </w:t>
      </w:r>
      <w:r w:rsidR="003B6EF6" w:rsidRPr="00373C63">
        <w:rPr>
          <w:rFonts w:asciiTheme="minorHAnsi" w:hAnsiTheme="minorHAnsi" w:cstheme="minorHAnsi"/>
          <w:sz w:val="22"/>
          <w:szCs w:val="22"/>
        </w:rPr>
        <w:t>d</w:t>
      </w:r>
      <w:r w:rsidRPr="00373C63">
        <w:rPr>
          <w:rFonts w:asciiTheme="minorHAnsi" w:hAnsiTheme="minorHAnsi" w:cstheme="minorHAnsi"/>
          <w:sz w:val="22"/>
          <w:szCs w:val="22"/>
        </w:rPr>
        <w:t>irection</w:t>
      </w:r>
    </w:p>
    <w:p w14:paraId="4A0D5ECD" w14:textId="3E19FD6F" w:rsidR="00394237" w:rsidRDefault="00394237" w:rsidP="00394237">
      <w:pPr>
        <w:tabs>
          <w:tab w:val="left" w:pos="7920"/>
        </w:tabs>
        <w:rPr>
          <w:rFonts w:asciiTheme="minorHAnsi" w:hAnsiTheme="minorHAnsi" w:cstheme="minorHAnsi"/>
          <w:sz w:val="22"/>
          <w:szCs w:val="22"/>
        </w:rPr>
      </w:pPr>
    </w:p>
    <w:p w14:paraId="061C7341" w14:textId="77777777" w:rsidR="00394237" w:rsidRPr="00394237" w:rsidRDefault="00394237" w:rsidP="00394237">
      <w:pPr>
        <w:tabs>
          <w:tab w:val="left" w:pos="7920"/>
        </w:tabs>
        <w:rPr>
          <w:rFonts w:asciiTheme="minorHAnsi" w:hAnsiTheme="minorHAnsi" w:cstheme="minorHAnsi"/>
          <w:sz w:val="22"/>
          <w:szCs w:val="22"/>
        </w:rPr>
      </w:pPr>
    </w:p>
    <w:p w14:paraId="65F58AE6" w14:textId="77777777" w:rsidR="006E1998" w:rsidRDefault="006E1998" w:rsidP="00673C74">
      <w:pPr>
        <w:tabs>
          <w:tab w:val="left" w:pos="7920"/>
        </w:tabs>
        <w:spacing w:after="60"/>
        <w:rPr>
          <w:rFonts w:asciiTheme="minorHAnsi" w:hAnsiTheme="minorHAnsi" w:cstheme="minorHAnsi"/>
          <w:b/>
          <w:bCs/>
          <w:sz w:val="22"/>
          <w:szCs w:val="22"/>
          <w:u w:val="single"/>
        </w:rPr>
      </w:pPr>
    </w:p>
    <w:p w14:paraId="3EAF2580" w14:textId="3BF8D558" w:rsidR="00BD606B" w:rsidRDefault="003B6EF6" w:rsidP="00673C74">
      <w:pPr>
        <w:tabs>
          <w:tab w:val="left" w:pos="7920"/>
        </w:tabs>
        <w:spacing w:after="60"/>
        <w:rPr>
          <w:rFonts w:asciiTheme="minorHAnsi" w:hAnsiTheme="minorHAnsi" w:cstheme="minorHAnsi"/>
          <w:sz w:val="22"/>
          <w:szCs w:val="22"/>
        </w:rPr>
      </w:pPr>
      <w:r>
        <w:rPr>
          <w:rFonts w:asciiTheme="minorHAnsi" w:hAnsiTheme="minorHAnsi" w:cstheme="minorHAnsi"/>
          <w:b/>
          <w:bCs/>
          <w:sz w:val="22"/>
          <w:szCs w:val="22"/>
        </w:rPr>
        <w:t>Draft Regionalization Guidance Document</w:t>
      </w:r>
      <w:r w:rsidR="003F3A60">
        <w:rPr>
          <w:rFonts w:asciiTheme="minorHAnsi" w:hAnsiTheme="minorHAnsi" w:cstheme="minorHAnsi"/>
          <w:b/>
          <w:bCs/>
          <w:sz w:val="22"/>
          <w:szCs w:val="22"/>
        </w:rPr>
        <w:t xml:space="preserve"> [</w:t>
      </w:r>
      <w:r w:rsidR="00E768D9">
        <w:rPr>
          <w:rFonts w:asciiTheme="minorHAnsi" w:hAnsiTheme="minorHAnsi" w:cstheme="minorHAnsi"/>
          <w:b/>
          <w:bCs/>
          <w:sz w:val="22"/>
          <w:szCs w:val="22"/>
        </w:rPr>
        <w:t>20</w:t>
      </w:r>
      <w:r w:rsidR="003F3A60">
        <w:rPr>
          <w:rFonts w:asciiTheme="minorHAnsi" w:hAnsiTheme="minorHAnsi" w:cstheme="minorHAnsi"/>
          <w:b/>
          <w:bCs/>
          <w:sz w:val="22"/>
          <w:szCs w:val="22"/>
        </w:rPr>
        <w:t xml:space="preserve"> mins.]</w:t>
      </w:r>
      <w:r w:rsidR="000B4D10">
        <w:rPr>
          <w:rFonts w:asciiTheme="minorHAnsi" w:hAnsiTheme="minorHAnsi" w:cstheme="minorHAnsi"/>
          <w:sz w:val="22"/>
          <w:szCs w:val="22"/>
        </w:rPr>
        <w:tab/>
      </w:r>
      <w:r>
        <w:rPr>
          <w:rFonts w:asciiTheme="minorHAnsi" w:hAnsiTheme="minorHAnsi" w:cstheme="minorHAnsi"/>
          <w:b/>
          <w:bCs/>
          <w:sz w:val="22"/>
          <w:szCs w:val="22"/>
        </w:rPr>
        <w:t>Jose (Alfonso) Martinez</w:t>
      </w:r>
    </w:p>
    <w:p w14:paraId="025C7431" w14:textId="4FBE81FF" w:rsidR="00E768D9" w:rsidRDefault="00AB1627" w:rsidP="00373C63">
      <w:pPr>
        <w:pStyle w:val="ListParagraph"/>
        <w:numPr>
          <w:ilvl w:val="0"/>
          <w:numId w:val="33"/>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Purpose and scope</w:t>
      </w:r>
    </w:p>
    <w:p w14:paraId="5A0F538C" w14:textId="77777777" w:rsidR="00212AE2" w:rsidRPr="00212AE2" w:rsidRDefault="00212AE2" w:rsidP="00212AE2">
      <w:pPr>
        <w:pStyle w:val="ListParagraph"/>
        <w:numPr>
          <w:ilvl w:val="1"/>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This guidance is intended to assist TCEQ technical review staff and the regulated community in implementing the regionalization policy. This document outlines the steps needed to determine if regionalization is a practical option for your development. This document is designed to:</w:t>
      </w:r>
    </w:p>
    <w:p w14:paraId="190511A8"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Help TCEQ staff and owners/operators of potential new domestic wastewater treatment plants (WWTPs) evaluate the possibility of regionalization.</w:t>
      </w:r>
    </w:p>
    <w:p w14:paraId="5A8DF1AC" w14:textId="72830DCE" w:rsidR="00212AE2" w:rsidRPr="00373C63"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Describe the information needed to evaluate regionalization as a practical option versus building a new, stand-alone wastewater treatment plant.</w:t>
      </w:r>
    </w:p>
    <w:p w14:paraId="6F2C7550" w14:textId="240EF2BD" w:rsidR="00E768D9" w:rsidRDefault="00E768D9" w:rsidP="00373C63">
      <w:pPr>
        <w:pStyle w:val="ListParagraph"/>
        <w:numPr>
          <w:ilvl w:val="0"/>
          <w:numId w:val="33"/>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R</w:t>
      </w:r>
      <w:r w:rsidR="00AB1627" w:rsidRPr="00373C63">
        <w:rPr>
          <w:rFonts w:asciiTheme="minorHAnsi" w:hAnsiTheme="minorHAnsi" w:cstheme="minorHAnsi"/>
          <w:sz w:val="22"/>
          <w:szCs w:val="22"/>
        </w:rPr>
        <w:t>oles in evaluating implementation</w:t>
      </w:r>
    </w:p>
    <w:p w14:paraId="091F367E" w14:textId="77777777" w:rsidR="00212AE2" w:rsidRPr="00212AE2" w:rsidRDefault="00212AE2" w:rsidP="00212AE2">
      <w:pPr>
        <w:pStyle w:val="ListParagraph"/>
        <w:numPr>
          <w:ilvl w:val="1"/>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Applicants proposing a new domestic WWTP, existing WWTPs, and TCEQ all have a role in regionalization.</w:t>
      </w:r>
    </w:p>
    <w:p w14:paraId="0D7A3593" w14:textId="77777777" w:rsidR="00212AE2" w:rsidRPr="00212AE2" w:rsidRDefault="00212AE2" w:rsidP="00212AE2">
      <w:pPr>
        <w:pStyle w:val="ListParagraph"/>
        <w:tabs>
          <w:tab w:val="left" w:pos="7920"/>
        </w:tabs>
        <w:ind w:left="1440" w:firstLine="0"/>
        <w:rPr>
          <w:rFonts w:asciiTheme="minorHAnsi" w:hAnsiTheme="minorHAnsi" w:cstheme="minorHAnsi"/>
          <w:b/>
          <w:bCs/>
          <w:sz w:val="22"/>
          <w:szCs w:val="22"/>
        </w:rPr>
      </w:pPr>
      <w:r w:rsidRPr="00212AE2">
        <w:rPr>
          <w:rFonts w:asciiTheme="minorHAnsi" w:hAnsiTheme="minorHAnsi" w:cstheme="minorHAnsi"/>
          <w:b/>
          <w:bCs/>
          <w:sz w:val="22"/>
          <w:szCs w:val="22"/>
        </w:rPr>
        <w:t>What is My Role?</w:t>
      </w:r>
    </w:p>
    <w:p w14:paraId="24660BEA" w14:textId="77777777" w:rsidR="00212AE2" w:rsidRPr="00212AE2" w:rsidRDefault="00212AE2" w:rsidP="00212AE2">
      <w:pPr>
        <w:pStyle w:val="ListParagraph"/>
        <w:numPr>
          <w:ilvl w:val="1"/>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If you plan to build a new WWTP system, you must follow the application requirements in TCEQ Forms 10054 and 10053ins (Instructions). These forms require that you submit information to justify the need for a permit and to satisfy the regionalization requirements. An important part of the planning process includes considering the possibility of regionalization versus building a stand-alone system.</w:t>
      </w:r>
    </w:p>
    <w:p w14:paraId="79E3DCBB" w14:textId="77777777" w:rsidR="00212AE2" w:rsidRPr="00212AE2" w:rsidRDefault="00212AE2" w:rsidP="00212AE2">
      <w:pPr>
        <w:pStyle w:val="ListParagraph"/>
        <w:tabs>
          <w:tab w:val="left" w:pos="7920"/>
        </w:tabs>
        <w:ind w:left="1440" w:firstLine="0"/>
        <w:rPr>
          <w:rFonts w:asciiTheme="minorHAnsi" w:hAnsiTheme="minorHAnsi" w:cstheme="minorHAnsi"/>
          <w:b/>
          <w:bCs/>
          <w:sz w:val="22"/>
          <w:szCs w:val="22"/>
        </w:rPr>
      </w:pPr>
      <w:r w:rsidRPr="00212AE2">
        <w:rPr>
          <w:rFonts w:asciiTheme="minorHAnsi" w:hAnsiTheme="minorHAnsi" w:cstheme="minorHAnsi"/>
          <w:b/>
          <w:bCs/>
          <w:sz w:val="22"/>
          <w:szCs w:val="22"/>
        </w:rPr>
        <w:t>What is the Role of Existing WWTPs?</w:t>
      </w:r>
    </w:p>
    <w:p w14:paraId="3597F223" w14:textId="77777777" w:rsidR="00212AE2" w:rsidRPr="00212AE2" w:rsidRDefault="00212AE2" w:rsidP="00212AE2">
      <w:pPr>
        <w:pStyle w:val="ListParagraph"/>
        <w:numPr>
          <w:ilvl w:val="1"/>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Existing WWTPs must provide prompt responses to requests for service. They should also treat all applicants fairly, charge reasonable application fees, and charge cost-based fees for providing wastewater service to those requesting service.</w:t>
      </w:r>
    </w:p>
    <w:p w14:paraId="2130FA77" w14:textId="77777777" w:rsidR="00212AE2" w:rsidRPr="00212AE2" w:rsidRDefault="00212AE2" w:rsidP="00212AE2">
      <w:pPr>
        <w:pStyle w:val="ListParagraph"/>
        <w:tabs>
          <w:tab w:val="left" w:pos="7920"/>
        </w:tabs>
        <w:ind w:left="1440" w:firstLine="0"/>
        <w:rPr>
          <w:rFonts w:asciiTheme="minorHAnsi" w:hAnsiTheme="minorHAnsi" w:cstheme="minorHAnsi"/>
          <w:b/>
          <w:bCs/>
          <w:sz w:val="22"/>
          <w:szCs w:val="22"/>
        </w:rPr>
      </w:pPr>
      <w:r w:rsidRPr="00212AE2">
        <w:rPr>
          <w:rFonts w:asciiTheme="minorHAnsi" w:hAnsiTheme="minorHAnsi" w:cstheme="minorHAnsi"/>
          <w:b/>
          <w:bCs/>
          <w:sz w:val="22"/>
          <w:szCs w:val="22"/>
        </w:rPr>
        <w:t>What is TCEQ’s Role?</w:t>
      </w:r>
    </w:p>
    <w:p w14:paraId="6C8304BD" w14:textId="6F056139" w:rsidR="00212AE2" w:rsidRPr="00373C63" w:rsidRDefault="00212AE2" w:rsidP="00212AE2">
      <w:pPr>
        <w:pStyle w:val="ListParagraph"/>
        <w:numPr>
          <w:ilvl w:val="1"/>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We want to promote the use of regional and area wide WWTP systems. To meet these responsibilities, we review the justification of permit need and all supporting documentation required by the permit application for regionalization. Failure to provide sufficient justification of the need for the permit or each proposed phase may result in a recommendation of denial of the application or denial of one or more proposed phases.</w:t>
      </w:r>
    </w:p>
    <w:p w14:paraId="4359916A" w14:textId="46E04157" w:rsidR="00BD606B" w:rsidRDefault="00E768D9" w:rsidP="00373C63">
      <w:pPr>
        <w:pStyle w:val="ListParagraph"/>
        <w:numPr>
          <w:ilvl w:val="0"/>
          <w:numId w:val="33"/>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D</w:t>
      </w:r>
      <w:r w:rsidR="00387FF7" w:rsidRPr="00373C63">
        <w:rPr>
          <w:rFonts w:asciiTheme="minorHAnsi" w:hAnsiTheme="minorHAnsi" w:cstheme="minorHAnsi"/>
          <w:sz w:val="22"/>
          <w:szCs w:val="22"/>
        </w:rPr>
        <w:t>evelopment of application materials</w:t>
      </w:r>
    </w:p>
    <w:p w14:paraId="7BF1A902" w14:textId="77777777" w:rsidR="00212AE2" w:rsidRPr="00212AE2" w:rsidRDefault="00212AE2" w:rsidP="00212AE2">
      <w:pPr>
        <w:pStyle w:val="ListParagraph"/>
        <w:numPr>
          <w:ilvl w:val="1"/>
          <w:numId w:val="33"/>
        </w:numPr>
        <w:tabs>
          <w:tab w:val="left" w:pos="7920"/>
        </w:tabs>
        <w:rPr>
          <w:rFonts w:asciiTheme="minorHAnsi" w:hAnsiTheme="minorHAnsi" w:cstheme="minorHAnsi"/>
          <w:b/>
          <w:bCs/>
          <w:sz w:val="22"/>
          <w:szCs w:val="22"/>
        </w:rPr>
      </w:pPr>
      <w:r w:rsidRPr="00212AE2">
        <w:rPr>
          <w:rFonts w:asciiTheme="minorHAnsi" w:hAnsiTheme="minorHAnsi" w:cstheme="minorHAnsi"/>
          <w:b/>
          <w:bCs/>
          <w:sz w:val="22"/>
          <w:szCs w:val="22"/>
        </w:rPr>
        <w:t>Justification of permit</w:t>
      </w:r>
    </w:p>
    <w:p w14:paraId="00EDB9A7"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 xml:space="preserve">Provide a justification for the proposed flows in Domestic Technical Report 1.0 of the permit application (TCEQ-10054). </w:t>
      </w:r>
    </w:p>
    <w:p w14:paraId="3AF7DBF6"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 xml:space="preserve">Provide an anticipated construction start date and operation schedule for each phase being proposed. </w:t>
      </w:r>
    </w:p>
    <w:p w14:paraId="51BE5139"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 xml:space="preserve">If construction is dependent upon housing or commercial development, provide information from the developer such as the size of the development (number of lots), the date </w:t>
      </w:r>
      <w:r w:rsidRPr="00212AE2">
        <w:rPr>
          <w:rFonts w:asciiTheme="minorHAnsi" w:hAnsiTheme="minorHAnsi" w:cstheme="minorHAnsi"/>
          <w:sz w:val="22"/>
          <w:szCs w:val="22"/>
        </w:rPr>
        <w:lastRenderedPageBreak/>
        <w:t xml:space="preserve">construction on the development is scheduled to begin, and the anticipated growth rate of the development (number of houses per month or year). </w:t>
      </w:r>
    </w:p>
    <w:p w14:paraId="0D3EC962"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 xml:space="preserve">Attach population estimates or projections used to derive the flow estimates and anticipated growth rates for developments. </w:t>
      </w:r>
    </w:p>
    <w:p w14:paraId="3CC067A1" w14:textId="77777777" w:rsidR="00212AE2" w:rsidRP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 xml:space="preserve">Provide the source and basis upon which population figures were derived (census or other methodology) </w:t>
      </w:r>
    </w:p>
    <w:p w14:paraId="25823491" w14:textId="77777777" w:rsidR="00212AE2" w:rsidRDefault="00212AE2" w:rsidP="00212AE2">
      <w:pPr>
        <w:pStyle w:val="ListParagraph"/>
        <w:numPr>
          <w:ilvl w:val="2"/>
          <w:numId w:val="33"/>
        </w:numPr>
        <w:tabs>
          <w:tab w:val="left" w:pos="7920"/>
        </w:tabs>
        <w:rPr>
          <w:rFonts w:asciiTheme="minorHAnsi" w:hAnsiTheme="minorHAnsi" w:cstheme="minorHAnsi"/>
          <w:sz w:val="22"/>
          <w:szCs w:val="22"/>
        </w:rPr>
      </w:pPr>
      <w:r w:rsidRPr="00212AE2">
        <w:rPr>
          <w:rFonts w:asciiTheme="minorHAnsi" w:hAnsiTheme="minorHAnsi" w:cstheme="minorHAnsi"/>
          <w:sz w:val="22"/>
          <w:szCs w:val="22"/>
        </w:rPr>
        <w:t>Provide population projections at the end of the design life of the treatment facility and the source and basis upon which population figures were derived.</w:t>
      </w:r>
    </w:p>
    <w:p w14:paraId="7B73F3D4" w14:textId="77777777" w:rsidR="00212AE2" w:rsidRDefault="00212AE2" w:rsidP="00212AE2">
      <w:pPr>
        <w:pStyle w:val="ListParagraph"/>
        <w:numPr>
          <w:ilvl w:val="1"/>
          <w:numId w:val="33"/>
        </w:numPr>
        <w:tabs>
          <w:tab w:val="left" w:pos="7920"/>
        </w:tabs>
        <w:rPr>
          <w:rFonts w:asciiTheme="minorHAnsi" w:hAnsiTheme="minorHAnsi" w:cstheme="minorHAnsi"/>
          <w:b/>
          <w:bCs/>
          <w:sz w:val="22"/>
          <w:szCs w:val="22"/>
        </w:rPr>
      </w:pPr>
      <w:r w:rsidRPr="00212AE2">
        <w:rPr>
          <w:rFonts w:asciiTheme="minorHAnsi" w:hAnsiTheme="minorHAnsi" w:cstheme="minorHAnsi"/>
          <w:b/>
          <w:bCs/>
          <w:sz w:val="22"/>
          <w:szCs w:val="22"/>
        </w:rPr>
        <w:t>Regionalization section of permit</w:t>
      </w:r>
    </w:p>
    <w:p w14:paraId="7277F0F3" w14:textId="77777777" w:rsidR="00212AE2" w:rsidRPr="00212AE2" w:rsidRDefault="00212AE2" w:rsidP="00212AE2">
      <w:pPr>
        <w:pStyle w:val="ListParagraph"/>
        <w:numPr>
          <w:ilvl w:val="2"/>
          <w:numId w:val="33"/>
        </w:numPr>
        <w:tabs>
          <w:tab w:val="left" w:pos="7920"/>
        </w:tabs>
        <w:rPr>
          <w:rFonts w:asciiTheme="minorHAnsi" w:hAnsiTheme="minorHAnsi" w:cstheme="minorHAnsi"/>
          <w:b/>
          <w:bCs/>
          <w:sz w:val="22"/>
          <w:szCs w:val="22"/>
        </w:rPr>
      </w:pPr>
      <w:r w:rsidRPr="00212AE2">
        <w:rPr>
          <w:rFonts w:asciiTheme="minorHAnsi" w:hAnsiTheme="minorHAnsi" w:cstheme="minorHAnsi"/>
          <w:sz w:val="22"/>
          <w:szCs w:val="22"/>
        </w:rPr>
        <w:t xml:space="preserve">As required in Domestic Technical Report 1.1 of the permit application (TCEQ-10054), identify if the proposed service area is located within an incorporated city (if the applicant is not a city).  </w:t>
      </w:r>
    </w:p>
    <w:p w14:paraId="4A8485B8" w14:textId="77777777" w:rsidR="00212AE2" w:rsidRPr="00212AE2" w:rsidRDefault="00212AE2" w:rsidP="00212AE2">
      <w:pPr>
        <w:pStyle w:val="ListParagraph"/>
        <w:numPr>
          <w:ilvl w:val="2"/>
          <w:numId w:val="33"/>
        </w:numPr>
        <w:tabs>
          <w:tab w:val="left" w:pos="7920"/>
        </w:tabs>
        <w:rPr>
          <w:rFonts w:asciiTheme="minorHAnsi" w:hAnsiTheme="minorHAnsi" w:cstheme="minorHAnsi"/>
          <w:b/>
          <w:bCs/>
          <w:sz w:val="22"/>
          <w:szCs w:val="22"/>
        </w:rPr>
      </w:pPr>
      <w:r w:rsidRPr="00212AE2">
        <w:rPr>
          <w:rFonts w:asciiTheme="minorHAnsi" w:hAnsiTheme="minorHAnsi" w:cstheme="minorHAnsi"/>
          <w:sz w:val="22"/>
          <w:szCs w:val="22"/>
        </w:rPr>
        <w:t xml:space="preserve">Identify if any portion of the service area is within another utility’s sewer Certificate of Convenience and Necessity (CCN) area. </w:t>
      </w:r>
    </w:p>
    <w:p w14:paraId="18FD609A" w14:textId="77777777" w:rsidR="00212AE2" w:rsidRPr="00212AE2" w:rsidRDefault="00212AE2" w:rsidP="00212AE2">
      <w:pPr>
        <w:pStyle w:val="ListParagraph"/>
        <w:numPr>
          <w:ilvl w:val="2"/>
          <w:numId w:val="33"/>
        </w:numPr>
        <w:tabs>
          <w:tab w:val="left" w:pos="7920"/>
        </w:tabs>
        <w:rPr>
          <w:rFonts w:asciiTheme="minorHAnsi" w:hAnsiTheme="minorHAnsi" w:cstheme="minorHAnsi"/>
          <w:b/>
          <w:bCs/>
          <w:sz w:val="22"/>
          <w:szCs w:val="22"/>
        </w:rPr>
      </w:pPr>
      <w:r w:rsidRPr="00212AE2">
        <w:rPr>
          <w:rFonts w:asciiTheme="minorHAnsi" w:hAnsiTheme="minorHAnsi" w:cstheme="minorHAnsi"/>
          <w:sz w:val="22"/>
          <w:szCs w:val="22"/>
        </w:rPr>
        <w:t xml:space="preserve">Identify if there are any permitted domestic wastewater treatment facilities or sanitary sewer collection systems within a three-mile radius of the proposed wastewater treatment facility and show these facilities on an area map. </w:t>
      </w:r>
    </w:p>
    <w:p w14:paraId="47571425" w14:textId="072E5EF4" w:rsidR="00394237" w:rsidRPr="00212AE2" w:rsidRDefault="00212AE2" w:rsidP="00212AE2">
      <w:pPr>
        <w:pStyle w:val="ListParagraph"/>
        <w:numPr>
          <w:ilvl w:val="2"/>
          <w:numId w:val="33"/>
        </w:numPr>
        <w:tabs>
          <w:tab w:val="left" w:pos="7920"/>
        </w:tabs>
        <w:rPr>
          <w:rFonts w:asciiTheme="minorHAnsi" w:hAnsiTheme="minorHAnsi" w:cstheme="minorHAnsi"/>
          <w:b/>
          <w:bCs/>
          <w:sz w:val="22"/>
          <w:szCs w:val="22"/>
        </w:rPr>
      </w:pPr>
      <w:r w:rsidRPr="00212AE2">
        <w:rPr>
          <w:rFonts w:asciiTheme="minorHAnsi" w:hAnsiTheme="minorHAnsi" w:cstheme="minorHAnsi"/>
          <w:sz w:val="22"/>
          <w:szCs w:val="22"/>
        </w:rPr>
        <w:t>Applicants are not required to send correspondence requesting service to permittees with unbuilt facilities; however, they must still be included in the list of facilities and located on the map.</w:t>
      </w:r>
    </w:p>
    <w:p w14:paraId="7BEEB810" w14:textId="55DF2B54" w:rsidR="003F3A60" w:rsidRDefault="003F3A60" w:rsidP="00373C63">
      <w:pPr>
        <w:pStyle w:val="ListParagraph"/>
        <w:numPr>
          <w:ilvl w:val="0"/>
          <w:numId w:val="33"/>
        </w:numPr>
        <w:tabs>
          <w:tab w:val="left" w:pos="7920"/>
        </w:tabs>
        <w:spacing w:after="60"/>
        <w:rPr>
          <w:rFonts w:asciiTheme="minorHAnsi" w:hAnsiTheme="minorHAnsi" w:cstheme="minorHAnsi"/>
          <w:sz w:val="22"/>
          <w:szCs w:val="22"/>
        </w:rPr>
      </w:pPr>
      <w:r w:rsidRPr="00373C63">
        <w:rPr>
          <w:rFonts w:asciiTheme="minorHAnsi" w:hAnsiTheme="minorHAnsi" w:cstheme="minorHAnsi"/>
          <w:sz w:val="22"/>
          <w:szCs w:val="22"/>
        </w:rPr>
        <w:t xml:space="preserve">Tools for locating nearby </w:t>
      </w:r>
      <w:r w:rsidR="00E768D9" w:rsidRPr="00373C63">
        <w:rPr>
          <w:rFonts w:asciiTheme="minorHAnsi" w:hAnsiTheme="minorHAnsi" w:cstheme="minorHAnsi"/>
          <w:sz w:val="22"/>
          <w:szCs w:val="22"/>
        </w:rPr>
        <w:t>wastewater treatment plants</w:t>
      </w:r>
      <w:r w:rsidRPr="00373C63">
        <w:rPr>
          <w:rFonts w:asciiTheme="minorHAnsi" w:hAnsiTheme="minorHAnsi" w:cstheme="minorHAnsi"/>
          <w:sz w:val="22"/>
          <w:szCs w:val="22"/>
        </w:rPr>
        <w:t xml:space="preserve"> and collection systems</w:t>
      </w:r>
    </w:p>
    <w:p w14:paraId="280E0437" w14:textId="77777777" w:rsidR="00212AE2" w:rsidRPr="00212AE2"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sz w:val="22"/>
          <w:szCs w:val="22"/>
        </w:rPr>
        <w:t>CCN Map Viewer by the PUC</w:t>
      </w:r>
    </w:p>
    <w:p w14:paraId="6D8E09A8" w14:textId="3CC47724" w:rsidR="00212AE2" w:rsidRPr="00373C63"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sz w:val="22"/>
          <w:szCs w:val="22"/>
        </w:rPr>
        <w:t>TCEQ Wastewater Outfall Map Viewer</w:t>
      </w:r>
    </w:p>
    <w:p w14:paraId="114B7632" w14:textId="165A2520" w:rsidR="003F3A60" w:rsidRDefault="003F3A60" w:rsidP="00373C63">
      <w:pPr>
        <w:pStyle w:val="ListParagraph"/>
        <w:numPr>
          <w:ilvl w:val="0"/>
          <w:numId w:val="33"/>
        </w:numPr>
        <w:tabs>
          <w:tab w:val="left" w:pos="7920"/>
        </w:tabs>
        <w:spacing w:after="60"/>
        <w:rPr>
          <w:rFonts w:asciiTheme="minorHAnsi" w:hAnsiTheme="minorHAnsi" w:cstheme="minorHAnsi"/>
          <w:sz w:val="22"/>
          <w:szCs w:val="22"/>
        </w:rPr>
      </w:pPr>
      <w:r w:rsidRPr="00373C63">
        <w:rPr>
          <w:rFonts w:asciiTheme="minorHAnsi" w:hAnsiTheme="minorHAnsi" w:cstheme="minorHAnsi"/>
          <w:sz w:val="22"/>
          <w:szCs w:val="22"/>
        </w:rPr>
        <w:t>Special cases and exceptions</w:t>
      </w:r>
    </w:p>
    <w:p w14:paraId="5041AAC8" w14:textId="77777777" w:rsidR="00212AE2" w:rsidRPr="00212AE2"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b/>
          <w:bCs/>
          <w:sz w:val="22"/>
          <w:szCs w:val="22"/>
        </w:rPr>
        <w:t>Case 1:</w:t>
      </w:r>
      <w:r w:rsidRPr="00212AE2">
        <w:rPr>
          <w:rFonts w:asciiTheme="minorHAnsi" w:hAnsiTheme="minorHAnsi" w:cstheme="minorHAnsi"/>
          <w:sz w:val="22"/>
          <w:szCs w:val="22"/>
        </w:rPr>
        <w:t xml:space="preserve"> There are no existing permitted domestic wastewater treatment facilities or sanitary sewer collection systems within three miles of your planned service area.</w:t>
      </w:r>
    </w:p>
    <w:p w14:paraId="02419DA4" w14:textId="77777777" w:rsidR="00212AE2" w:rsidRPr="00212AE2"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b/>
          <w:bCs/>
          <w:sz w:val="22"/>
          <w:szCs w:val="22"/>
        </w:rPr>
        <w:t>Case 2:</w:t>
      </w:r>
      <w:r w:rsidRPr="00212AE2">
        <w:rPr>
          <w:rFonts w:asciiTheme="minorHAnsi" w:hAnsiTheme="minorHAnsi" w:cstheme="minorHAnsi"/>
          <w:sz w:val="22"/>
          <w:szCs w:val="22"/>
        </w:rPr>
        <w:t xml:space="preserve"> Your service request has been denied.</w:t>
      </w:r>
    </w:p>
    <w:p w14:paraId="2A494E08" w14:textId="77777777" w:rsidR="00212AE2" w:rsidRPr="00212AE2"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b/>
          <w:bCs/>
          <w:sz w:val="22"/>
          <w:szCs w:val="22"/>
        </w:rPr>
        <w:t>Case 3:</w:t>
      </w:r>
      <w:r w:rsidRPr="00212AE2">
        <w:rPr>
          <w:rFonts w:asciiTheme="minorHAnsi" w:hAnsiTheme="minorHAnsi" w:cstheme="minorHAnsi"/>
          <w:sz w:val="22"/>
          <w:szCs w:val="22"/>
        </w:rPr>
        <w:t xml:space="preserve"> The cost of connecting to a neighboring system is more expensive than the cost of the proposed facility.</w:t>
      </w:r>
    </w:p>
    <w:p w14:paraId="1B4F04DC" w14:textId="59435E40" w:rsidR="00212AE2" w:rsidRPr="00373C63" w:rsidRDefault="00212AE2" w:rsidP="00212AE2">
      <w:pPr>
        <w:pStyle w:val="ListParagraph"/>
        <w:numPr>
          <w:ilvl w:val="1"/>
          <w:numId w:val="33"/>
        </w:numPr>
        <w:tabs>
          <w:tab w:val="left" w:pos="7920"/>
        </w:tabs>
        <w:spacing w:after="60"/>
        <w:rPr>
          <w:rFonts w:asciiTheme="minorHAnsi" w:hAnsiTheme="minorHAnsi" w:cstheme="minorHAnsi"/>
          <w:sz w:val="22"/>
          <w:szCs w:val="22"/>
        </w:rPr>
      </w:pPr>
      <w:r w:rsidRPr="00212AE2">
        <w:rPr>
          <w:rFonts w:asciiTheme="minorHAnsi" w:hAnsiTheme="minorHAnsi" w:cstheme="minorHAnsi"/>
          <w:sz w:val="22"/>
          <w:szCs w:val="22"/>
        </w:rPr>
        <w:t>Exceptions: If any of the three cases above does not fit your regionalization scenario, then, on a case-by-case basis, TCEQ can consider other cases with supporting documentation.</w:t>
      </w:r>
    </w:p>
    <w:p w14:paraId="1FE27AFB" w14:textId="77777777" w:rsidR="00752258" w:rsidRPr="00752258" w:rsidRDefault="00752258" w:rsidP="00673C74">
      <w:pPr>
        <w:spacing w:after="60"/>
        <w:rPr>
          <w:rFonts w:asciiTheme="minorHAnsi" w:hAnsiTheme="minorHAnsi" w:cstheme="minorHAnsi"/>
          <w:b/>
          <w:bCs/>
          <w:iCs/>
          <w:sz w:val="22"/>
          <w:szCs w:val="22"/>
        </w:rPr>
      </w:pPr>
    </w:p>
    <w:p w14:paraId="42221EF6" w14:textId="7A33BD4F" w:rsidR="00D35909" w:rsidRPr="00440C39" w:rsidRDefault="004A237D" w:rsidP="00673C74">
      <w:pPr>
        <w:tabs>
          <w:tab w:val="left" w:pos="7920"/>
        </w:tabs>
        <w:spacing w:after="60"/>
        <w:rPr>
          <w:rFonts w:asciiTheme="minorHAnsi" w:hAnsiTheme="minorHAnsi" w:cstheme="minorHAnsi"/>
          <w:b/>
          <w:bCs/>
          <w:sz w:val="22"/>
          <w:szCs w:val="22"/>
        </w:rPr>
      </w:pPr>
      <w:r w:rsidRPr="00853129">
        <w:rPr>
          <w:rFonts w:asciiTheme="minorHAnsi" w:hAnsiTheme="minorHAnsi" w:cstheme="minorHAnsi"/>
          <w:b/>
          <w:bCs/>
          <w:sz w:val="22"/>
          <w:szCs w:val="22"/>
        </w:rPr>
        <w:t>Public</w:t>
      </w:r>
      <w:r w:rsidR="007D6FA6" w:rsidRPr="00853129">
        <w:rPr>
          <w:rFonts w:asciiTheme="minorHAnsi" w:hAnsiTheme="minorHAnsi" w:cstheme="minorHAnsi"/>
          <w:b/>
          <w:bCs/>
          <w:sz w:val="22"/>
          <w:szCs w:val="22"/>
        </w:rPr>
        <w:t xml:space="preserve"> </w:t>
      </w:r>
      <w:r w:rsidR="003479B2" w:rsidRPr="00853129">
        <w:rPr>
          <w:rFonts w:asciiTheme="minorHAnsi" w:hAnsiTheme="minorHAnsi" w:cstheme="minorHAnsi"/>
          <w:b/>
          <w:bCs/>
          <w:sz w:val="22"/>
          <w:szCs w:val="22"/>
        </w:rPr>
        <w:t>Participation</w:t>
      </w:r>
      <w:r w:rsidR="008407C2" w:rsidRPr="008407C2">
        <w:rPr>
          <w:rFonts w:asciiTheme="minorHAnsi" w:hAnsiTheme="minorHAnsi" w:cstheme="minorHAnsi"/>
          <w:b/>
          <w:bCs/>
          <w:sz w:val="22"/>
          <w:szCs w:val="22"/>
        </w:rPr>
        <w:tab/>
      </w:r>
      <w:r w:rsidR="003F3A60">
        <w:rPr>
          <w:rFonts w:asciiTheme="minorHAnsi" w:hAnsiTheme="minorHAnsi" w:cstheme="minorHAnsi"/>
          <w:b/>
          <w:bCs/>
          <w:sz w:val="22"/>
          <w:szCs w:val="22"/>
        </w:rPr>
        <w:t>Mike Lindner</w:t>
      </w:r>
    </w:p>
    <w:p w14:paraId="5D69D8C0" w14:textId="1C7712B0" w:rsidR="00DF1A0A" w:rsidRPr="00373C63" w:rsidRDefault="003479B2" w:rsidP="00373C63">
      <w:pPr>
        <w:pStyle w:val="ListParagraph"/>
        <w:numPr>
          <w:ilvl w:val="0"/>
          <w:numId w:val="34"/>
        </w:numPr>
        <w:tabs>
          <w:tab w:val="left" w:pos="7920"/>
        </w:tabs>
        <w:ind w:left="720"/>
        <w:rPr>
          <w:rFonts w:asciiTheme="minorHAnsi" w:hAnsiTheme="minorHAnsi" w:cstheme="minorHAnsi"/>
          <w:sz w:val="22"/>
          <w:szCs w:val="22"/>
        </w:rPr>
      </w:pPr>
      <w:r w:rsidRPr="00373C63">
        <w:rPr>
          <w:rFonts w:asciiTheme="minorHAnsi" w:hAnsiTheme="minorHAnsi" w:cstheme="minorHAnsi"/>
          <w:sz w:val="22"/>
          <w:szCs w:val="22"/>
        </w:rPr>
        <w:t xml:space="preserve">Stakeholder </w:t>
      </w:r>
      <w:r w:rsidR="00367005" w:rsidRPr="00373C63">
        <w:rPr>
          <w:rFonts w:asciiTheme="minorHAnsi" w:hAnsiTheme="minorHAnsi" w:cstheme="minorHAnsi"/>
          <w:sz w:val="22"/>
          <w:szCs w:val="22"/>
        </w:rPr>
        <w:t xml:space="preserve">oral </w:t>
      </w:r>
      <w:r w:rsidR="00292A99" w:rsidRPr="00373C63">
        <w:rPr>
          <w:rFonts w:asciiTheme="minorHAnsi" w:hAnsiTheme="minorHAnsi" w:cstheme="minorHAnsi"/>
          <w:sz w:val="22"/>
          <w:szCs w:val="22"/>
        </w:rPr>
        <w:t>comments</w:t>
      </w:r>
      <w:r w:rsidR="00CB5A61" w:rsidRPr="00373C63">
        <w:rPr>
          <w:rFonts w:asciiTheme="minorHAnsi" w:hAnsiTheme="minorHAnsi" w:cstheme="minorHAnsi"/>
          <w:sz w:val="22"/>
          <w:szCs w:val="22"/>
        </w:rPr>
        <w:t xml:space="preserve"> and recommendations</w:t>
      </w:r>
    </w:p>
    <w:p w14:paraId="1F14A06A" w14:textId="42AECA0E" w:rsidR="00394237" w:rsidRDefault="00394237" w:rsidP="00373C63">
      <w:pPr>
        <w:tabs>
          <w:tab w:val="left" w:pos="7920"/>
        </w:tabs>
        <w:rPr>
          <w:rFonts w:asciiTheme="minorHAnsi" w:hAnsiTheme="minorHAnsi" w:cstheme="minorHAnsi"/>
          <w:sz w:val="22"/>
          <w:szCs w:val="22"/>
        </w:rPr>
      </w:pPr>
    </w:p>
    <w:p w14:paraId="468A4172" w14:textId="40FD7B65" w:rsidR="00394237" w:rsidRDefault="00394237" w:rsidP="00373C63">
      <w:pPr>
        <w:tabs>
          <w:tab w:val="left" w:pos="7920"/>
        </w:tabs>
        <w:rPr>
          <w:rFonts w:asciiTheme="minorHAnsi" w:hAnsiTheme="minorHAnsi" w:cstheme="minorHAnsi"/>
          <w:sz w:val="22"/>
          <w:szCs w:val="22"/>
        </w:rPr>
      </w:pPr>
    </w:p>
    <w:p w14:paraId="5773A862" w14:textId="77777777" w:rsidR="00394237" w:rsidRPr="00394237" w:rsidRDefault="00394237" w:rsidP="00373C63">
      <w:pPr>
        <w:tabs>
          <w:tab w:val="left" w:pos="7920"/>
        </w:tabs>
        <w:rPr>
          <w:rFonts w:asciiTheme="minorHAnsi" w:hAnsiTheme="minorHAnsi" w:cstheme="minorHAnsi"/>
          <w:sz w:val="22"/>
          <w:szCs w:val="22"/>
        </w:rPr>
      </w:pPr>
    </w:p>
    <w:p w14:paraId="3DD11FC1" w14:textId="1EC770A3" w:rsidR="00440C39" w:rsidRPr="00373C63" w:rsidRDefault="00440C39" w:rsidP="00373C63">
      <w:pPr>
        <w:pStyle w:val="ListParagraph"/>
        <w:numPr>
          <w:ilvl w:val="0"/>
          <w:numId w:val="34"/>
        </w:numPr>
        <w:tabs>
          <w:tab w:val="left" w:pos="7920"/>
        </w:tabs>
        <w:ind w:left="720"/>
        <w:rPr>
          <w:rFonts w:asciiTheme="minorHAnsi" w:hAnsiTheme="minorHAnsi" w:cstheme="minorHAnsi"/>
          <w:sz w:val="22"/>
          <w:szCs w:val="22"/>
        </w:rPr>
      </w:pPr>
      <w:r w:rsidRPr="00373C63">
        <w:rPr>
          <w:rFonts w:asciiTheme="minorHAnsi" w:hAnsiTheme="minorHAnsi" w:cstheme="minorHAnsi"/>
          <w:sz w:val="22"/>
          <w:szCs w:val="22"/>
        </w:rPr>
        <w:t xml:space="preserve">Questions &amp; </w:t>
      </w:r>
      <w:r w:rsidR="00961759" w:rsidRPr="00373C63">
        <w:rPr>
          <w:rFonts w:asciiTheme="minorHAnsi" w:hAnsiTheme="minorHAnsi" w:cstheme="minorHAnsi"/>
          <w:sz w:val="22"/>
          <w:szCs w:val="22"/>
        </w:rPr>
        <w:t>a</w:t>
      </w:r>
      <w:r w:rsidRPr="00373C63">
        <w:rPr>
          <w:rFonts w:asciiTheme="minorHAnsi" w:hAnsiTheme="minorHAnsi" w:cstheme="minorHAnsi"/>
          <w:sz w:val="22"/>
          <w:szCs w:val="22"/>
        </w:rPr>
        <w:t>nswers</w:t>
      </w:r>
    </w:p>
    <w:p w14:paraId="15E1B1DF" w14:textId="77777777" w:rsidR="00752258" w:rsidRDefault="00752258" w:rsidP="00673C74">
      <w:pPr>
        <w:spacing w:after="60"/>
        <w:rPr>
          <w:rFonts w:asciiTheme="minorHAnsi" w:hAnsiTheme="minorHAnsi" w:cstheme="minorHAnsi"/>
          <w:b/>
          <w:bCs/>
          <w:iCs/>
          <w:sz w:val="22"/>
          <w:szCs w:val="22"/>
        </w:rPr>
      </w:pPr>
    </w:p>
    <w:p w14:paraId="68F86A2E" w14:textId="0B0F9783" w:rsidR="00A939AF" w:rsidRDefault="008529E9" w:rsidP="00673C74">
      <w:pPr>
        <w:tabs>
          <w:tab w:val="left" w:pos="7920"/>
        </w:tabs>
        <w:spacing w:after="60"/>
        <w:rPr>
          <w:rFonts w:asciiTheme="minorHAnsi" w:hAnsiTheme="minorHAnsi" w:cstheme="minorHAnsi"/>
          <w:b/>
          <w:bCs/>
          <w:sz w:val="22"/>
          <w:szCs w:val="22"/>
          <w:u w:val="single"/>
        </w:rPr>
      </w:pPr>
      <w:r w:rsidRPr="00853129">
        <w:rPr>
          <w:rFonts w:asciiTheme="minorHAnsi" w:hAnsiTheme="minorHAnsi" w:cstheme="minorHAnsi"/>
          <w:b/>
          <w:bCs/>
          <w:sz w:val="22"/>
          <w:szCs w:val="22"/>
        </w:rPr>
        <w:t>Next Steps</w:t>
      </w:r>
      <w:r w:rsidR="003F3A60">
        <w:rPr>
          <w:rFonts w:asciiTheme="minorHAnsi" w:hAnsiTheme="minorHAnsi" w:cstheme="minorHAnsi"/>
          <w:b/>
          <w:bCs/>
          <w:sz w:val="22"/>
          <w:szCs w:val="22"/>
        </w:rPr>
        <w:t xml:space="preserve"> [</w:t>
      </w:r>
      <w:r w:rsidR="008407C2" w:rsidRPr="008407C2">
        <w:rPr>
          <w:rFonts w:asciiTheme="minorHAnsi" w:hAnsiTheme="minorHAnsi" w:cstheme="minorHAnsi"/>
          <w:b/>
          <w:bCs/>
          <w:sz w:val="22"/>
          <w:szCs w:val="22"/>
        </w:rPr>
        <w:tab/>
      </w:r>
      <w:r w:rsidR="003F3A60">
        <w:rPr>
          <w:rFonts w:asciiTheme="minorHAnsi" w:hAnsiTheme="minorHAnsi" w:cstheme="minorHAnsi"/>
          <w:b/>
          <w:bCs/>
          <w:sz w:val="22"/>
          <w:szCs w:val="22"/>
        </w:rPr>
        <w:t>Mike Lindner</w:t>
      </w:r>
    </w:p>
    <w:p w14:paraId="0E51EE8B" w14:textId="6B196492" w:rsidR="00F121EF" w:rsidRPr="00373C63" w:rsidRDefault="00FF780C" w:rsidP="00373C63">
      <w:pPr>
        <w:pStyle w:val="ListParagraph"/>
        <w:numPr>
          <w:ilvl w:val="0"/>
          <w:numId w:val="35"/>
        </w:numPr>
        <w:tabs>
          <w:tab w:val="left" w:pos="7920"/>
        </w:tabs>
        <w:rPr>
          <w:rFonts w:asciiTheme="minorHAnsi" w:hAnsiTheme="minorHAnsi" w:cstheme="minorHAnsi"/>
          <w:sz w:val="22"/>
          <w:szCs w:val="22"/>
        </w:rPr>
      </w:pPr>
      <w:r w:rsidRPr="00373C63">
        <w:rPr>
          <w:rFonts w:asciiTheme="minorHAnsi" w:hAnsiTheme="minorHAnsi" w:cstheme="minorHAnsi"/>
          <w:sz w:val="22"/>
          <w:szCs w:val="22"/>
        </w:rPr>
        <w:t>Milestones and anticipated timeline</w:t>
      </w:r>
    </w:p>
    <w:p w14:paraId="324A8F2D" w14:textId="7034433F" w:rsidR="00752258" w:rsidRDefault="00752258" w:rsidP="00673C74">
      <w:pPr>
        <w:spacing w:after="60"/>
        <w:rPr>
          <w:rFonts w:asciiTheme="minorHAnsi" w:hAnsiTheme="minorHAnsi" w:cstheme="minorHAnsi"/>
          <w:b/>
          <w:bCs/>
          <w:iCs/>
          <w:sz w:val="22"/>
          <w:szCs w:val="22"/>
        </w:rPr>
      </w:pPr>
    </w:p>
    <w:p w14:paraId="2004ACBE" w14:textId="6E63BB61" w:rsidR="00394237" w:rsidRDefault="00394237" w:rsidP="00673C74">
      <w:pPr>
        <w:spacing w:after="60"/>
        <w:rPr>
          <w:rFonts w:asciiTheme="minorHAnsi" w:hAnsiTheme="minorHAnsi" w:cstheme="minorHAnsi"/>
          <w:b/>
          <w:bCs/>
          <w:iCs/>
          <w:sz w:val="22"/>
          <w:szCs w:val="22"/>
        </w:rPr>
      </w:pPr>
    </w:p>
    <w:p w14:paraId="03186796" w14:textId="5A4A95F8" w:rsidR="00394237" w:rsidRDefault="00394237" w:rsidP="00673C74">
      <w:pPr>
        <w:spacing w:after="60"/>
        <w:rPr>
          <w:rFonts w:asciiTheme="minorHAnsi" w:hAnsiTheme="minorHAnsi" w:cstheme="minorHAnsi"/>
          <w:b/>
          <w:bCs/>
          <w:iCs/>
          <w:sz w:val="22"/>
          <w:szCs w:val="22"/>
        </w:rPr>
      </w:pPr>
    </w:p>
    <w:p w14:paraId="7A6838F0" w14:textId="77777777" w:rsidR="00394237" w:rsidRDefault="00394237" w:rsidP="00673C74">
      <w:pPr>
        <w:spacing w:after="60"/>
        <w:rPr>
          <w:rFonts w:asciiTheme="minorHAnsi" w:hAnsiTheme="minorHAnsi" w:cstheme="minorHAnsi"/>
          <w:b/>
          <w:bCs/>
          <w:iCs/>
          <w:sz w:val="22"/>
          <w:szCs w:val="22"/>
        </w:rPr>
      </w:pPr>
    </w:p>
    <w:p w14:paraId="5C3F6A0F" w14:textId="68387BDC" w:rsidR="00CA1BE9" w:rsidRPr="00440C39" w:rsidRDefault="0042268C" w:rsidP="00673C74">
      <w:pPr>
        <w:spacing w:after="60"/>
        <w:rPr>
          <w:rFonts w:asciiTheme="minorHAnsi" w:hAnsiTheme="minorHAnsi" w:cstheme="minorHAnsi"/>
          <w:b/>
          <w:bCs/>
          <w:sz w:val="22"/>
          <w:szCs w:val="22"/>
        </w:rPr>
      </w:pPr>
      <w:r w:rsidRPr="00440C39">
        <w:rPr>
          <w:rFonts w:asciiTheme="minorHAnsi" w:hAnsiTheme="minorHAnsi" w:cstheme="minorHAnsi"/>
          <w:b/>
          <w:bCs/>
          <w:sz w:val="22"/>
          <w:szCs w:val="22"/>
          <w:u w:val="single"/>
        </w:rPr>
        <w:t>Adjournment</w:t>
      </w:r>
    </w:p>
    <w:p w14:paraId="118DA2D8" w14:textId="40238D4B" w:rsidR="00381012" w:rsidRPr="00440C39" w:rsidRDefault="00830335" w:rsidP="00673C74">
      <w:pPr>
        <w:rPr>
          <w:rFonts w:asciiTheme="minorHAnsi" w:hAnsiTheme="minorHAnsi" w:cstheme="minorHAnsi"/>
          <w:sz w:val="22"/>
          <w:szCs w:val="22"/>
        </w:rPr>
      </w:pPr>
      <w:r>
        <w:rPr>
          <w:rFonts w:asciiTheme="minorHAnsi" w:hAnsiTheme="minorHAnsi" w:cstheme="minorHAnsi"/>
          <w:sz w:val="22"/>
          <w:szCs w:val="22"/>
        </w:rPr>
        <w:t>This</w:t>
      </w:r>
      <w:r w:rsidR="00381012" w:rsidRPr="00440C39">
        <w:rPr>
          <w:rFonts w:asciiTheme="minorHAnsi" w:hAnsiTheme="minorHAnsi" w:cstheme="minorHAnsi"/>
          <w:sz w:val="22"/>
          <w:szCs w:val="22"/>
        </w:rPr>
        <w:t xml:space="preserve"> </w:t>
      </w:r>
      <w:r w:rsidR="003B6EF6">
        <w:rPr>
          <w:rFonts w:asciiTheme="minorHAnsi" w:hAnsiTheme="minorHAnsi" w:cstheme="minorHAnsi"/>
          <w:color w:val="000000"/>
          <w:sz w:val="22"/>
          <w:szCs w:val="22"/>
          <w:lang w:val="en"/>
        </w:rPr>
        <w:t>Regionalization</w:t>
      </w:r>
      <w:r w:rsidR="00DD4BA6">
        <w:rPr>
          <w:rFonts w:asciiTheme="minorHAnsi" w:hAnsiTheme="minorHAnsi" w:cstheme="minorHAnsi"/>
          <w:color w:val="000000"/>
          <w:sz w:val="22"/>
          <w:szCs w:val="22"/>
          <w:lang w:val="en"/>
        </w:rPr>
        <w:t xml:space="preserve"> </w:t>
      </w:r>
      <w:r w:rsidR="00DD4BA6" w:rsidRPr="00E7680C">
        <w:rPr>
          <w:rFonts w:asciiTheme="minorHAnsi" w:hAnsiTheme="minorHAnsi" w:cstheme="minorHAnsi"/>
          <w:color w:val="000000"/>
          <w:sz w:val="22"/>
          <w:szCs w:val="22"/>
          <w:lang w:val="en"/>
        </w:rPr>
        <w:t xml:space="preserve">Stakeholder </w:t>
      </w:r>
      <w:r w:rsidR="00381012" w:rsidRPr="00440C39">
        <w:rPr>
          <w:rFonts w:asciiTheme="minorHAnsi" w:hAnsiTheme="minorHAnsi" w:cstheme="minorHAnsi"/>
          <w:sz w:val="22"/>
          <w:szCs w:val="22"/>
        </w:rPr>
        <w:t>meeting</w:t>
      </w:r>
      <w:r>
        <w:rPr>
          <w:rFonts w:asciiTheme="minorHAnsi" w:hAnsiTheme="minorHAnsi" w:cstheme="minorHAnsi"/>
          <w:sz w:val="22"/>
          <w:szCs w:val="22"/>
        </w:rPr>
        <w:t xml:space="preserve"> recording will be </w:t>
      </w:r>
      <w:r w:rsidR="00381012" w:rsidRPr="00440C39">
        <w:rPr>
          <w:rFonts w:asciiTheme="minorHAnsi" w:hAnsiTheme="minorHAnsi" w:cstheme="minorHAnsi"/>
          <w:sz w:val="22"/>
          <w:szCs w:val="22"/>
        </w:rPr>
        <w:t xml:space="preserve">available </w:t>
      </w:r>
      <w:r>
        <w:rPr>
          <w:rFonts w:asciiTheme="minorHAnsi" w:hAnsiTheme="minorHAnsi" w:cstheme="minorHAnsi"/>
          <w:sz w:val="22"/>
          <w:szCs w:val="22"/>
        </w:rPr>
        <w:t xml:space="preserve">for viewing on the TCEQ agency YouTube channel at: </w:t>
      </w:r>
      <w:hyperlink r:id="rId8" w:history="1">
        <w:r w:rsidRPr="00830335">
          <w:rPr>
            <w:rStyle w:val="Hyperlink"/>
            <w:rFonts w:asciiTheme="minorHAnsi" w:hAnsiTheme="minorHAnsi" w:cstheme="minorHAnsi"/>
            <w:sz w:val="22"/>
            <w:szCs w:val="22"/>
          </w:rPr>
          <w:t>https://www.youtube.com/user/TCEQNews</w:t>
        </w:r>
      </w:hyperlink>
    </w:p>
    <w:p w14:paraId="34A64C92" w14:textId="77777777" w:rsidR="00752258" w:rsidRDefault="00752258" w:rsidP="00673C74">
      <w:pPr>
        <w:spacing w:after="60"/>
        <w:rPr>
          <w:rFonts w:asciiTheme="minorHAnsi" w:hAnsiTheme="minorHAnsi" w:cstheme="minorHAnsi"/>
          <w:b/>
          <w:bCs/>
          <w:iCs/>
          <w:sz w:val="22"/>
          <w:szCs w:val="22"/>
        </w:rPr>
      </w:pPr>
    </w:p>
    <w:p w14:paraId="469A5E5D" w14:textId="176BC026" w:rsidR="00CB12DB" w:rsidRPr="00AF612E" w:rsidRDefault="00CB12DB" w:rsidP="00673C74">
      <w:pPr>
        <w:spacing w:after="60"/>
        <w:rPr>
          <w:rFonts w:asciiTheme="minorHAnsi" w:hAnsiTheme="minorHAnsi" w:cstheme="minorHAnsi"/>
          <w:color w:val="0000FF"/>
          <w:sz w:val="20"/>
          <w:szCs w:val="20"/>
        </w:rPr>
      </w:pPr>
      <w:r w:rsidRPr="00CB12DB">
        <w:rPr>
          <w:rFonts w:asciiTheme="minorHAnsi" w:hAnsiTheme="minorHAnsi" w:cstheme="minorHAnsi"/>
          <w:b/>
          <w:bCs/>
          <w:color w:val="000000"/>
          <w:sz w:val="22"/>
          <w:szCs w:val="22"/>
          <w:u w:val="single"/>
        </w:rPr>
        <w:lastRenderedPageBreak/>
        <w:t>Webcast attendees:</w:t>
      </w:r>
      <w:r w:rsidRPr="00CB12DB">
        <w:rPr>
          <w:rFonts w:ascii="Lucida Bright" w:hAnsi="Lucida Bright" w:cs="Lucida Bright"/>
          <w:b/>
          <w:bCs/>
          <w:color w:val="000000"/>
          <w:sz w:val="22"/>
          <w:szCs w:val="22"/>
        </w:rPr>
        <w:t xml:space="preserve"> </w:t>
      </w:r>
      <w:r w:rsidRPr="00AF612E">
        <w:rPr>
          <w:rFonts w:asciiTheme="minorHAnsi" w:hAnsiTheme="minorHAnsi" w:cstheme="minorHAnsi"/>
          <w:color w:val="000000"/>
          <w:sz w:val="20"/>
          <w:szCs w:val="20"/>
        </w:rPr>
        <w:t xml:space="preserve">Please submit an email to </w:t>
      </w:r>
      <w:hyperlink r:id="rId9" w:history="1">
        <w:r w:rsidRPr="00AF612E">
          <w:rPr>
            <w:rStyle w:val="Hyperlink"/>
            <w:rFonts w:asciiTheme="minorHAnsi" w:hAnsiTheme="minorHAnsi" w:cstheme="minorHAnsi"/>
            <w:sz w:val="20"/>
            <w:szCs w:val="20"/>
          </w:rPr>
          <w:t>Outreach@tceq.texas.gov</w:t>
        </w:r>
      </w:hyperlink>
      <w:r w:rsidRPr="00AF612E">
        <w:rPr>
          <w:rFonts w:asciiTheme="minorHAnsi" w:hAnsiTheme="minorHAnsi" w:cstheme="minorHAnsi"/>
          <w:color w:val="0000FF"/>
          <w:sz w:val="20"/>
          <w:szCs w:val="20"/>
        </w:rPr>
        <w:t xml:space="preserve"> </w:t>
      </w:r>
      <w:r w:rsidRPr="00AF612E">
        <w:rPr>
          <w:rFonts w:asciiTheme="minorHAnsi" w:hAnsiTheme="minorHAnsi" w:cstheme="minorHAnsi"/>
          <w:color w:val="000000"/>
          <w:sz w:val="20"/>
          <w:szCs w:val="20"/>
        </w:rPr>
        <w:t xml:space="preserve">with </w:t>
      </w:r>
      <w:r w:rsidRPr="00AF612E">
        <w:rPr>
          <w:rFonts w:asciiTheme="minorHAnsi" w:hAnsiTheme="minorHAnsi" w:cstheme="minorHAnsi"/>
          <w:b/>
          <w:bCs/>
          <w:color w:val="000000"/>
          <w:sz w:val="20"/>
          <w:szCs w:val="20"/>
        </w:rPr>
        <w:t>“</w:t>
      </w:r>
      <w:r w:rsidR="003B6EF6">
        <w:rPr>
          <w:rFonts w:asciiTheme="minorHAnsi" w:hAnsiTheme="minorHAnsi" w:cstheme="minorHAnsi"/>
          <w:b/>
          <w:bCs/>
          <w:color w:val="000000"/>
          <w:sz w:val="20"/>
          <w:szCs w:val="20"/>
        </w:rPr>
        <w:t>Regionalization</w:t>
      </w:r>
      <w:r w:rsidRPr="00AF612E">
        <w:rPr>
          <w:rFonts w:asciiTheme="minorHAnsi" w:hAnsiTheme="minorHAnsi" w:cstheme="minorHAnsi"/>
          <w:b/>
          <w:bCs/>
          <w:color w:val="000000"/>
          <w:sz w:val="20"/>
          <w:szCs w:val="20"/>
        </w:rPr>
        <w:t xml:space="preserve">” </w:t>
      </w:r>
      <w:r w:rsidRPr="00AF612E">
        <w:rPr>
          <w:rFonts w:asciiTheme="minorHAnsi" w:hAnsiTheme="minorHAnsi" w:cstheme="minorHAnsi"/>
          <w:color w:val="000000"/>
          <w:sz w:val="20"/>
          <w:szCs w:val="20"/>
        </w:rPr>
        <w:t>in the subject line and include your title/contact Information (business affiliation and phone number) to be registered on the attendance roster. You may submit this information in advance.</w:t>
      </w:r>
    </w:p>
    <w:p w14:paraId="690283F2" w14:textId="77777777" w:rsidR="00752258" w:rsidRDefault="00752258" w:rsidP="00673C74">
      <w:pPr>
        <w:spacing w:after="60"/>
        <w:rPr>
          <w:rFonts w:asciiTheme="minorHAnsi" w:hAnsiTheme="minorHAnsi" w:cstheme="minorHAnsi"/>
          <w:b/>
          <w:bCs/>
          <w:iCs/>
          <w:sz w:val="22"/>
          <w:szCs w:val="22"/>
        </w:rPr>
      </w:pPr>
    </w:p>
    <w:p w14:paraId="18F8AB69" w14:textId="561A1D3D" w:rsidR="00E7680C" w:rsidRPr="00673C74" w:rsidRDefault="00C178DB" w:rsidP="00673C74">
      <w:pPr>
        <w:spacing w:after="60"/>
        <w:rPr>
          <w:rFonts w:asciiTheme="minorHAnsi" w:hAnsiTheme="minorHAnsi" w:cstheme="minorHAnsi"/>
          <w:color w:val="000000"/>
          <w:sz w:val="20"/>
          <w:szCs w:val="20"/>
          <w:lang w:val="en"/>
        </w:rPr>
      </w:pPr>
      <w:r w:rsidRPr="00440C39">
        <w:rPr>
          <w:rFonts w:asciiTheme="minorHAnsi" w:hAnsiTheme="minorHAnsi" w:cstheme="minorHAnsi"/>
          <w:b/>
          <w:bCs/>
          <w:color w:val="000000"/>
          <w:sz w:val="22"/>
          <w:szCs w:val="22"/>
          <w:u w:val="single"/>
          <w:lang w:val="en"/>
        </w:rPr>
        <w:t xml:space="preserve">Meeting </w:t>
      </w:r>
      <w:r w:rsidR="00126CE4" w:rsidRPr="00440C39">
        <w:rPr>
          <w:rFonts w:asciiTheme="minorHAnsi" w:hAnsiTheme="minorHAnsi" w:cstheme="minorHAnsi"/>
          <w:b/>
          <w:bCs/>
          <w:color w:val="000000"/>
          <w:sz w:val="22"/>
          <w:szCs w:val="22"/>
          <w:u w:val="single"/>
          <w:lang w:val="en"/>
        </w:rPr>
        <w:t>attendees</w:t>
      </w:r>
      <w:r w:rsidR="00381012" w:rsidRPr="00440C39">
        <w:rPr>
          <w:rFonts w:asciiTheme="minorHAnsi" w:hAnsiTheme="minorHAnsi" w:cstheme="minorHAnsi"/>
          <w:b/>
          <w:bCs/>
          <w:color w:val="000000"/>
          <w:sz w:val="22"/>
          <w:szCs w:val="22"/>
          <w:u w:val="single"/>
          <w:lang w:val="en"/>
        </w:rPr>
        <w:t>:</w:t>
      </w:r>
      <w:r w:rsidR="00D52060">
        <w:rPr>
          <w:rFonts w:asciiTheme="minorHAnsi" w:hAnsiTheme="minorHAnsi" w:cstheme="minorHAnsi"/>
          <w:color w:val="000000"/>
          <w:sz w:val="22"/>
          <w:szCs w:val="22"/>
          <w:lang w:val="en"/>
        </w:rPr>
        <w:t xml:space="preserve"> </w:t>
      </w:r>
      <w:r w:rsidR="009111AF" w:rsidRPr="00673C74">
        <w:rPr>
          <w:rFonts w:asciiTheme="minorHAnsi" w:hAnsiTheme="minorHAnsi" w:cstheme="minorHAnsi"/>
          <w:color w:val="000000"/>
          <w:sz w:val="20"/>
          <w:szCs w:val="20"/>
          <w:lang w:val="en"/>
        </w:rPr>
        <w:t xml:space="preserve">If you wish to join the </w:t>
      </w:r>
      <w:r w:rsidR="003B6EF6">
        <w:rPr>
          <w:rFonts w:asciiTheme="minorHAnsi" w:hAnsiTheme="minorHAnsi" w:cstheme="minorHAnsi"/>
          <w:color w:val="000000"/>
          <w:sz w:val="22"/>
          <w:szCs w:val="22"/>
          <w:lang w:val="en"/>
        </w:rPr>
        <w:t xml:space="preserve">Regionalization </w:t>
      </w:r>
      <w:r w:rsidR="009111AF" w:rsidRPr="00673C74">
        <w:rPr>
          <w:rFonts w:asciiTheme="minorHAnsi" w:hAnsiTheme="minorHAnsi" w:cstheme="minorHAnsi"/>
          <w:color w:val="000000"/>
          <w:sz w:val="20"/>
          <w:szCs w:val="20"/>
          <w:lang w:val="en"/>
        </w:rPr>
        <w:t>Stakeholder group, p</w:t>
      </w:r>
      <w:r w:rsidR="00126CE4" w:rsidRPr="00673C74">
        <w:rPr>
          <w:rFonts w:asciiTheme="minorHAnsi" w:hAnsiTheme="minorHAnsi" w:cstheme="minorHAnsi"/>
          <w:color w:val="000000"/>
          <w:sz w:val="20"/>
          <w:szCs w:val="20"/>
          <w:lang w:val="en"/>
        </w:rPr>
        <w:t>lease submit an email to</w:t>
      </w:r>
      <w:r w:rsidR="00F63BBC" w:rsidRPr="00673C74">
        <w:rPr>
          <w:rFonts w:asciiTheme="minorHAnsi" w:hAnsiTheme="minorHAnsi" w:cstheme="minorHAnsi"/>
          <w:color w:val="000000"/>
          <w:sz w:val="20"/>
          <w:szCs w:val="20"/>
          <w:lang w:val="en"/>
        </w:rPr>
        <w:t xml:space="preserve"> </w:t>
      </w:r>
      <w:hyperlink r:id="rId10" w:history="1">
        <w:r w:rsidR="00F63BBC" w:rsidRPr="00673C74">
          <w:rPr>
            <w:rStyle w:val="Hyperlink"/>
            <w:rFonts w:asciiTheme="minorHAnsi" w:hAnsiTheme="minorHAnsi" w:cstheme="minorHAnsi"/>
            <w:sz w:val="20"/>
            <w:szCs w:val="20"/>
            <w:lang w:val="en"/>
          </w:rPr>
          <w:t>Outreach@tceq.texas.gov</w:t>
        </w:r>
      </w:hyperlink>
      <w:r w:rsidR="00F63BBC" w:rsidRPr="00673C74">
        <w:rPr>
          <w:rFonts w:asciiTheme="minorHAnsi" w:hAnsiTheme="minorHAnsi" w:cstheme="minorHAnsi"/>
          <w:color w:val="000000"/>
          <w:sz w:val="20"/>
          <w:szCs w:val="20"/>
          <w:lang w:val="en"/>
        </w:rPr>
        <w:t xml:space="preserve"> </w:t>
      </w:r>
      <w:r w:rsidR="00126CE4" w:rsidRPr="00673C74">
        <w:rPr>
          <w:rFonts w:asciiTheme="minorHAnsi" w:hAnsiTheme="minorHAnsi" w:cstheme="minorHAnsi"/>
          <w:color w:val="000000"/>
          <w:sz w:val="20"/>
          <w:szCs w:val="20"/>
          <w:lang w:val="en"/>
        </w:rPr>
        <w:t xml:space="preserve">with </w:t>
      </w:r>
      <w:r w:rsidR="00126CE4" w:rsidRPr="00673C74">
        <w:rPr>
          <w:rFonts w:asciiTheme="minorHAnsi" w:hAnsiTheme="minorHAnsi" w:cstheme="minorHAnsi"/>
          <w:sz w:val="20"/>
          <w:szCs w:val="20"/>
          <w:lang w:eastAsia="ko-KR"/>
        </w:rPr>
        <w:t>“WQAWG</w:t>
      </w:r>
      <w:r w:rsidR="00276440" w:rsidRPr="00673C74">
        <w:rPr>
          <w:rFonts w:asciiTheme="minorHAnsi" w:hAnsiTheme="minorHAnsi" w:cstheme="minorHAnsi"/>
          <w:sz w:val="20"/>
          <w:szCs w:val="20"/>
          <w:lang w:eastAsia="ko-KR"/>
        </w:rPr>
        <w:t xml:space="preserve"> </w:t>
      </w:r>
      <w:r w:rsidR="003B6EF6">
        <w:rPr>
          <w:rFonts w:asciiTheme="minorHAnsi" w:hAnsiTheme="minorHAnsi" w:cstheme="minorHAnsi"/>
          <w:color w:val="000000"/>
          <w:sz w:val="22"/>
          <w:szCs w:val="22"/>
          <w:lang w:val="en"/>
        </w:rPr>
        <w:t>Regionalization</w:t>
      </w:r>
      <w:r w:rsidR="00126CE4" w:rsidRPr="00673C74">
        <w:rPr>
          <w:rFonts w:asciiTheme="minorHAnsi" w:hAnsiTheme="minorHAnsi" w:cstheme="minorHAnsi"/>
          <w:sz w:val="20"/>
          <w:szCs w:val="20"/>
          <w:lang w:eastAsia="ko-KR"/>
        </w:rPr>
        <w:t xml:space="preserve">” </w:t>
      </w:r>
      <w:r w:rsidR="00126CE4" w:rsidRPr="00673C74">
        <w:rPr>
          <w:rFonts w:asciiTheme="minorHAnsi" w:hAnsiTheme="minorHAnsi" w:cstheme="minorHAnsi"/>
          <w:color w:val="000000"/>
          <w:sz w:val="20"/>
          <w:szCs w:val="20"/>
          <w:lang w:val="en"/>
        </w:rPr>
        <w:t>in the subject line</w:t>
      </w:r>
      <w:r w:rsidR="00381012" w:rsidRPr="00673C74">
        <w:rPr>
          <w:rFonts w:asciiTheme="minorHAnsi" w:hAnsiTheme="minorHAnsi" w:cstheme="minorHAnsi"/>
          <w:color w:val="000000"/>
          <w:sz w:val="20"/>
          <w:szCs w:val="20"/>
          <w:lang w:val="en"/>
        </w:rPr>
        <w:t xml:space="preserve"> and</w:t>
      </w:r>
      <w:r w:rsidR="00126CE4" w:rsidRPr="00673C74">
        <w:rPr>
          <w:rFonts w:asciiTheme="minorHAnsi" w:hAnsiTheme="minorHAnsi" w:cstheme="minorHAnsi"/>
          <w:color w:val="000000"/>
          <w:sz w:val="20"/>
          <w:szCs w:val="20"/>
          <w:lang w:val="en"/>
        </w:rPr>
        <w:t xml:space="preserve"> include your</w:t>
      </w:r>
      <w:r w:rsidR="009111AF" w:rsidRPr="00673C74">
        <w:rPr>
          <w:rFonts w:asciiTheme="minorHAnsi" w:hAnsiTheme="minorHAnsi" w:cstheme="minorHAnsi"/>
          <w:color w:val="000000"/>
          <w:sz w:val="20"/>
          <w:szCs w:val="20"/>
          <w:lang w:val="en"/>
        </w:rPr>
        <w:t xml:space="preserve">: </w:t>
      </w:r>
    </w:p>
    <w:p w14:paraId="3C1A9F41" w14:textId="77726D43" w:rsidR="00E7680C" w:rsidRPr="00673C74" w:rsidRDefault="009111AF" w:rsidP="00673C74">
      <w:pPr>
        <w:spacing w:after="60"/>
        <w:rPr>
          <w:rFonts w:asciiTheme="minorHAnsi" w:hAnsiTheme="minorHAnsi" w:cstheme="minorHAnsi"/>
          <w:color w:val="000000"/>
          <w:sz w:val="20"/>
          <w:szCs w:val="20"/>
          <w:lang w:val="en"/>
        </w:rPr>
      </w:pPr>
      <w:r w:rsidRPr="00673C74">
        <w:rPr>
          <w:rFonts w:asciiTheme="minorHAnsi" w:hAnsiTheme="minorHAnsi" w:cstheme="minorHAnsi"/>
          <w:color w:val="000000"/>
          <w:sz w:val="20"/>
          <w:szCs w:val="20"/>
          <w:lang w:val="en"/>
        </w:rPr>
        <w:t xml:space="preserve">a) </w:t>
      </w:r>
      <w:r w:rsidRPr="00673C74">
        <w:rPr>
          <w:rFonts w:asciiTheme="minorHAnsi" w:hAnsiTheme="minorHAnsi" w:cstheme="minorHAnsi"/>
          <w:i/>
          <w:iCs/>
          <w:color w:val="000000"/>
          <w:sz w:val="20"/>
          <w:szCs w:val="20"/>
          <w:lang w:val="en"/>
        </w:rPr>
        <w:t>First &amp; Last Name</w:t>
      </w:r>
      <w:r w:rsidRPr="00673C74">
        <w:rPr>
          <w:rFonts w:asciiTheme="minorHAnsi" w:hAnsiTheme="minorHAnsi" w:cstheme="minorHAnsi"/>
          <w:color w:val="000000"/>
          <w:sz w:val="20"/>
          <w:szCs w:val="20"/>
          <w:lang w:val="en"/>
        </w:rPr>
        <w:t xml:space="preserve">, b) </w:t>
      </w:r>
      <w:r w:rsidRPr="00673C74">
        <w:rPr>
          <w:rFonts w:asciiTheme="minorHAnsi" w:hAnsiTheme="minorHAnsi" w:cstheme="minorHAnsi"/>
          <w:i/>
          <w:iCs/>
          <w:color w:val="000000"/>
          <w:sz w:val="20"/>
          <w:szCs w:val="20"/>
          <w:lang w:val="en"/>
        </w:rPr>
        <w:t>Company Name</w:t>
      </w:r>
      <w:r w:rsidRPr="00673C74">
        <w:rPr>
          <w:rFonts w:asciiTheme="minorHAnsi" w:hAnsiTheme="minorHAnsi" w:cstheme="minorHAnsi"/>
          <w:color w:val="000000"/>
          <w:sz w:val="20"/>
          <w:szCs w:val="20"/>
          <w:lang w:val="en"/>
        </w:rPr>
        <w:t xml:space="preserve">, c) </w:t>
      </w:r>
      <w:r w:rsidRPr="00673C74">
        <w:rPr>
          <w:rFonts w:asciiTheme="minorHAnsi" w:hAnsiTheme="minorHAnsi" w:cstheme="minorHAnsi"/>
          <w:i/>
          <w:iCs/>
          <w:color w:val="000000"/>
          <w:sz w:val="20"/>
          <w:szCs w:val="20"/>
          <w:lang w:val="en"/>
        </w:rPr>
        <w:t>Job Title</w:t>
      </w:r>
      <w:r w:rsidRPr="00673C74">
        <w:rPr>
          <w:rFonts w:asciiTheme="minorHAnsi" w:hAnsiTheme="minorHAnsi" w:cstheme="minorHAnsi"/>
          <w:color w:val="000000"/>
          <w:sz w:val="20"/>
          <w:szCs w:val="20"/>
          <w:lang w:val="en"/>
        </w:rPr>
        <w:t xml:space="preserve">, d) </w:t>
      </w:r>
      <w:r w:rsidRPr="00673C74">
        <w:rPr>
          <w:rFonts w:asciiTheme="minorHAnsi" w:hAnsiTheme="minorHAnsi" w:cstheme="minorHAnsi"/>
          <w:i/>
          <w:iCs/>
          <w:color w:val="000000"/>
          <w:sz w:val="20"/>
          <w:szCs w:val="20"/>
          <w:lang w:val="en"/>
        </w:rPr>
        <w:t>Email</w:t>
      </w:r>
      <w:r w:rsidR="00E7680C" w:rsidRPr="00673C74">
        <w:rPr>
          <w:rFonts w:asciiTheme="minorHAnsi" w:hAnsiTheme="minorHAnsi" w:cstheme="minorHAnsi"/>
          <w:color w:val="000000"/>
          <w:sz w:val="20"/>
          <w:szCs w:val="20"/>
          <w:lang w:val="en"/>
        </w:rPr>
        <w:t>,</w:t>
      </w:r>
      <w:r w:rsidRPr="00673C74">
        <w:rPr>
          <w:rFonts w:asciiTheme="minorHAnsi" w:hAnsiTheme="minorHAnsi" w:cstheme="minorHAnsi"/>
          <w:i/>
          <w:iCs/>
          <w:color w:val="000000"/>
          <w:sz w:val="20"/>
          <w:szCs w:val="20"/>
          <w:lang w:val="en"/>
        </w:rPr>
        <w:t xml:space="preserve"> </w:t>
      </w:r>
      <w:r w:rsidRPr="00673C74">
        <w:rPr>
          <w:rFonts w:asciiTheme="minorHAnsi" w:hAnsiTheme="minorHAnsi" w:cstheme="minorHAnsi"/>
          <w:color w:val="000000"/>
          <w:sz w:val="20"/>
          <w:szCs w:val="20"/>
          <w:lang w:val="en"/>
        </w:rPr>
        <w:t xml:space="preserve">e) </w:t>
      </w:r>
      <w:r w:rsidRPr="00673C74">
        <w:rPr>
          <w:rFonts w:asciiTheme="minorHAnsi" w:hAnsiTheme="minorHAnsi" w:cstheme="minorHAnsi"/>
          <w:i/>
          <w:iCs/>
          <w:color w:val="000000"/>
          <w:sz w:val="20"/>
          <w:szCs w:val="20"/>
          <w:lang w:val="en"/>
        </w:rPr>
        <w:t>Business affiliation</w:t>
      </w:r>
      <w:r w:rsidRPr="00673C74">
        <w:rPr>
          <w:rFonts w:asciiTheme="minorHAnsi" w:hAnsiTheme="minorHAnsi" w:cstheme="minorHAnsi"/>
          <w:color w:val="000000"/>
          <w:sz w:val="20"/>
          <w:szCs w:val="20"/>
          <w:lang w:val="en"/>
        </w:rPr>
        <w:t xml:space="preserve">, f) </w:t>
      </w:r>
      <w:r w:rsidRPr="00673C74">
        <w:rPr>
          <w:rFonts w:asciiTheme="minorHAnsi" w:hAnsiTheme="minorHAnsi" w:cstheme="minorHAnsi"/>
          <w:i/>
          <w:iCs/>
          <w:color w:val="000000"/>
          <w:sz w:val="20"/>
          <w:szCs w:val="20"/>
          <w:lang w:val="en"/>
        </w:rPr>
        <w:t>Address</w:t>
      </w:r>
      <w:r w:rsidRPr="00673C74">
        <w:rPr>
          <w:rFonts w:asciiTheme="minorHAnsi" w:hAnsiTheme="minorHAnsi" w:cstheme="minorHAnsi"/>
          <w:color w:val="000000"/>
          <w:sz w:val="20"/>
          <w:szCs w:val="20"/>
          <w:lang w:val="en"/>
        </w:rPr>
        <w:t xml:space="preserve">, and g) </w:t>
      </w:r>
      <w:r w:rsidR="00B5222D" w:rsidRPr="00673C74">
        <w:rPr>
          <w:rFonts w:asciiTheme="minorHAnsi" w:hAnsiTheme="minorHAnsi" w:cstheme="minorHAnsi"/>
          <w:i/>
          <w:iCs/>
          <w:color w:val="000000"/>
          <w:sz w:val="20"/>
          <w:szCs w:val="20"/>
          <w:lang w:val="en"/>
        </w:rPr>
        <w:t>P</w:t>
      </w:r>
      <w:r w:rsidRPr="00673C74">
        <w:rPr>
          <w:rFonts w:asciiTheme="minorHAnsi" w:hAnsiTheme="minorHAnsi" w:cstheme="minorHAnsi"/>
          <w:i/>
          <w:iCs/>
          <w:color w:val="000000"/>
          <w:sz w:val="20"/>
          <w:szCs w:val="20"/>
          <w:lang w:val="en"/>
        </w:rPr>
        <w:t>hone number</w:t>
      </w:r>
      <w:r w:rsidRPr="00673C74">
        <w:rPr>
          <w:rFonts w:asciiTheme="minorHAnsi" w:hAnsiTheme="minorHAnsi" w:cstheme="minorHAnsi"/>
          <w:color w:val="000000"/>
          <w:sz w:val="20"/>
          <w:szCs w:val="20"/>
          <w:lang w:val="en"/>
        </w:rPr>
        <w:t>.</w:t>
      </w:r>
      <w:r w:rsidR="00F0763C" w:rsidRPr="00673C74">
        <w:rPr>
          <w:rFonts w:asciiTheme="minorHAnsi" w:hAnsiTheme="minorHAnsi" w:cstheme="minorHAnsi"/>
          <w:color w:val="000000"/>
          <w:sz w:val="20"/>
          <w:szCs w:val="20"/>
          <w:lang w:val="en"/>
        </w:rPr>
        <w:t xml:space="preserve">  </w:t>
      </w:r>
    </w:p>
    <w:p w14:paraId="64F93CC2" w14:textId="3D436B56" w:rsidR="00CB12DB" w:rsidRDefault="00CB12DB" w:rsidP="00673C74">
      <w:pPr>
        <w:spacing w:after="60"/>
        <w:rPr>
          <w:rFonts w:asciiTheme="minorHAnsi" w:hAnsiTheme="minorHAnsi" w:cstheme="minorHAnsi"/>
          <w:b/>
          <w:bCs/>
          <w:iCs/>
          <w:sz w:val="22"/>
          <w:szCs w:val="22"/>
        </w:rPr>
      </w:pPr>
    </w:p>
    <w:p w14:paraId="5E79945D" w14:textId="59A14109" w:rsidR="00F00E12" w:rsidRDefault="00F00E12" w:rsidP="00673C74">
      <w:pPr>
        <w:spacing w:after="60"/>
        <w:rPr>
          <w:rFonts w:asciiTheme="minorHAnsi" w:hAnsiTheme="minorHAnsi" w:cstheme="minorHAnsi"/>
          <w:b/>
          <w:bCs/>
          <w:iCs/>
          <w:sz w:val="22"/>
          <w:szCs w:val="22"/>
        </w:rPr>
      </w:pPr>
      <w:r>
        <w:rPr>
          <w:rFonts w:asciiTheme="minorHAnsi" w:hAnsiTheme="minorHAnsi" w:cstheme="minorHAnsi"/>
          <w:b/>
          <w:bCs/>
          <w:iCs/>
          <w:sz w:val="22"/>
          <w:szCs w:val="22"/>
        </w:rPr>
        <w:t>If you have questions about the meeting, please call the Water Quality Division at 512-239-4671.</w:t>
      </w:r>
    </w:p>
    <w:p w14:paraId="10E0E0F8" w14:textId="77777777" w:rsidR="00F00E12" w:rsidRDefault="00F00E12" w:rsidP="00673C74">
      <w:pPr>
        <w:spacing w:after="60"/>
        <w:rPr>
          <w:rFonts w:asciiTheme="minorHAnsi" w:hAnsiTheme="minorHAnsi" w:cstheme="minorHAnsi"/>
          <w:b/>
          <w:bCs/>
          <w:iCs/>
          <w:sz w:val="22"/>
          <w:szCs w:val="22"/>
        </w:rPr>
      </w:pPr>
    </w:p>
    <w:p w14:paraId="39C0F5E9" w14:textId="2D1A4C98" w:rsidR="00E7680C" w:rsidRPr="00E7680C" w:rsidRDefault="004B6982" w:rsidP="00673C74">
      <w:pPr>
        <w:spacing w:after="60"/>
        <w:rPr>
          <w:b/>
          <w:bCs/>
          <w:iCs/>
          <w:lang w:val="en"/>
        </w:rPr>
      </w:pPr>
      <w:r w:rsidRPr="00E7680C">
        <w:rPr>
          <w:rFonts w:asciiTheme="minorHAnsi" w:hAnsiTheme="minorHAnsi" w:cstheme="minorHAnsi"/>
          <w:b/>
          <w:bCs/>
          <w:iCs/>
          <w:sz w:val="22"/>
          <w:szCs w:val="22"/>
        </w:rPr>
        <w:t>Th</w:t>
      </w:r>
      <w:r w:rsidR="00A2359F" w:rsidRPr="00E7680C">
        <w:rPr>
          <w:rFonts w:asciiTheme="minorHAnsi" w:hAnsiTheme="minorHAnsi" w:cstheme="minorHAnsi"/>
          <w:b/>
          <w:bCs/>
          <w:iCs/>
          <w:sz w:val="22"/>
          <w:szCs w:val="22"/>
        </w:rPr>
        <w:t>ank you</w:t>
      </w:r>
      <w:r w:rsidR="00F86672" w:rsidRPr="00E7680C">
        <w:rPr>
          <w:rFonts w:asciiTheme="minorHAnsi" w:hAnsiTheme="minorHAnsi" w:cstheme="minorHAnsi"/>
          <w:b/>
          <w:bCs/>
          <w:iCs/>
          <w:sz w:val="22"/>
          <w:szCs w:val="22"/>
        </w:rPr>
        <w:t>.</w:t>
      </w:r>
    </w:p>
    <w:sectPr w:rsidR="00E7680C" w:rsidRPr="00E7680C" w:rsidSect="00871E3C">
      <w:footerReference w:type="default" r:id="rId11"/>
      <w:headerReference w:type="first" r:id="rId12"/>
      <w:pgSz w:w="12240" w:h="15840"/>
      <w:pgMar w:top="576" w:right="720" w:bottom="720" w:left="907"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E31C" w14:textId="77777777" w:rsidR="0054464E" w:rsidRDefault="0054464E" w:rsidP="00340912">
      <w:r>
        <w:separator/>
      </w:r>
    </w:p>
  </w:endnote>
  <w:endnote w:type="continuationSeparator" w:id="0">
    <w:p w14:paraId="3DA65824" w14:textId="77777777" w:rsidR="0054464E" w:rsidRDefault="0054464E" w:rsidP="003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22517"/>
      <w:docPartObj>
        <w:docPartGallery w:val="Page Numbers (Bottom of Page)"/>
        <w:docPartUnique/>
      </w:docPartObj>
    </w:sdtPr>
    <w:sdtEndPr>
      <w:rPr>
        <w:noProof/>
      </w:rPr>
    </w:sdtEndPr>
    <w:sdtContent>
      <w:p w14:paraId="56517841" w14:textId="77777777" w:rsidR="009A6A10" w:rsidRDefault="009A6A10">
        <w:pPr>
          <w:pStyle w:val="Footer"/>
          <w:jc w:val="right"/>
        </w:pPr>
        <w:r>
          <w:fldChar w:fldCharType="begin"/>
        </w:r>
        <w:r>
          <w:instrText xml:space="preserve"> PAGE   \* MERGEFORMAT </w:instrText>
        </w:r>
        <w:r>
          <w:fldChar w:fldCharType="separate"/>
        </w:r>
        <w:r w:rsidR="002E78C8">
          <w:rPr>
            <w:noProof/>
          </w:rPr>
          <w:t>2</w:t>
        </w:r>
        <w:r>
          <w:rPr>
            <w:noProof/>
          </w:rPr>
          <w:fldChar w:fldCharType="end"/>
        </w:r>
      </w:p>
    </w:sdtContent>
  </w:sdt>
  <w:p w14:paraId="0E7F4C27" w14:textId="77777777" w:rsidR="009A6A10" w:rsidRDefault="009A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825F" w14:textId="77777777" w:rsidR="0054464E" w:rsidRDefault="0054464E" w:rsidP="00340912">
      <w:r>
        <w:separator/>
      </w:r>
    </w:p>
  </w:footnote>
  <w:footnote w:type="continuationSeparator" w:id="0">
    <w:p w14:paraId="4ADC31E1" w14:textId="77777777" w:rsidR="0054464E" w:rsidRDefault="0054464E" w:rsidP="0034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6D3E" w14:textId="65F3714A" w:rsidR="00F0763C" w:rsidRPr="00E7680C" w:rsidRDefault="00E7680C" w:rsidP="00F0763C">
    <w:pPr>
      <w:pStyle w:val="Heading2"/>
      <w:spacing w:before="0" w:after="0"/>
      <w:jc w:val="center"/>
      <w:rPr>
        <w:i w:val="0"/>
        <w:iCs/>
        <w:sz w:val="22"/>
        <w:szCs w:val="22"/>
      </w:rPr>
    </w:pPr>
    <w:r>
      <w:rPr>
        <w:i w:val="0"/>
        <w:iCs/>
        <w:sz w:val="22"/>
        <w:szCs w:val="22"/>
      </w:rPr>
      <w:t xml:space="preserve">TCEQ </w:t>
    </w:r>
    <w:r w:rsidR="004D067A">
      <w:rPr>
        <w:i w:val="0"/>
        <w:iCs/>
        <w:sz w:val="22"/>
        <w:szCs w:val="22"/>
      </w:rPr>
      <w:t>Regionalization</w:t>
    </w:r>
    <w:r w:rsidR="00CA03DB">
      <w:rPr>
        <w:i w:val="0"/>
        <w:iCs/>
        <w:sz w:val="22"/>
        <w:szCs w:val="22"/>
      </w:rPr>
      <w:t xml:space="preserve"> </w:t>
    </w:r>
    <w:r w:rsidR="00F0763C" w:rsidRPr="00E7680C">
      <w:rPr>
        <w:i w:val="0"/>
        <w:iCs/>
        <w:sz w:val="22"/>
        <w:szCs w:val="22"/>
      </w:rPr>
      <w:t>Stakeholder Meeting</w:t>
    </w:r>
    <w:r w:rsidR="00BF1BA5">
      <w:rPr>
        <w:i w:val="0"/>
        <w:iCs/>
        <w:sz w:val="22"/>
        <w:szCs w:val="22"/>
      </w:rPr>
      <w:t xml:space="preserve"> Summary</w:t>
    </w:r>
  </w:p>
  <w:p w14:paraId="38E1C4C8" w14:textId="4B31E329" w:rsidR="00F0763C" w:rsidRPr="00E7680C" w:rsidRDefault="004D067A" w:rsidP="00F0763C">
    <w:pPr>
      <w:pStyle w:val="Heading3"/>
      <w:spacing w:before="0" w:after="0"/>
      <w:jc w:val="center"/>
      <w:rPr>
        <w:b w:val="0"/>
        <w:bCs w:val="0"/>
        <w:sz w:val="22"/>
        <w:szCs w:val="22"/>
      </w:rPr>
    </w:pPr>
    <w:r>
      <w:rPr>
        <w:rFonts w:cstheme="minorHAnsi"/>
        <w:b w:val="0"/>
        <w:bCs w:val="0"/>
        <w:sz w:val="22"/>
        <w:szCs w:val="22"/>
      </w:rPr>
      <w:t>September 20</w:t>
    </w:r>
    <w:r w:rsidR="00C9595F" w:rsidRPr="00E7680C">
      <w:rPr>
        <w:rFonts w:cstheme="minorHAnsi"/>
        <w:b w:val="0"/>
        <w:bCs w:val="0"/>
        <w:color w:val="000000"/>
        <w:sz w:val="22"/>
        <w:szCs w:val="22"/>
        <w:lang w:val="en"/>
      </w:rPr>
      <w:t>, 2022</w:t>
    </w:r>
    <w:r w:rsidR="001C570E" w:rsidRPr="00E7680C">
      <w:rPr>
        <w:rFonts w:cstheme="minorHAnsi"/>
        <w:b w:val="0"/>
        <w:bCs w:val="0"/>
        <w:color w:val="000000"/>
        <w:sz w:val="22"/>
        <w:szCs w:val="22"/>
        <w:lang w:val="en"/>
      </w:rPr>
      <w:t xml:space="preserve"> </w:t>
    </w:r>
    <w:r w:rsidR="00F0763C" w:rsidRPr="00E7680C">
      <w:rPr>
        <w:b w:val="0"/>
        <w:bCs w:val="0"/>
        <w:sz w:val="22"/>
        <w:szCs w:val="22"/>
      </w:rPr>
      <w:t xml:space="preserve">@ </w:t>
    </w:r>
    <w:r w:rsidR="00F0763C" w:rsidRPr="00152083">
      <w:rPr>
        <w:b w:val="0"/>
        <w:bCs w:val="0"/>
        <w:sz w:val="22"/>
        <w:szCs w:val="22"/>
      </w:rPr>
      <w:t>1:30 p.m</w:t>
    </w:r>
    <w:r w:rsidR="00F0763C" w:rsidRPr="00E7680C">
      <w:rPr>
        <w:b w:val="0"/>
        <w:bCs w:val="0"/>
        <w:sz w:val="22"/>
        <w:szCs w:val="22"/>
      </w:rPr>
      <w:t>.</w:t>
    </w:r>
  </w:p>
  <w:p w14:paraId="7B0E80A4" w14:textId="77777777" w:rsidR="00F92CFE" w:rsidRPr="00F92CFE" w:rsidRDefault="00F92CFE" w:rsidP="00F92CFE">
    <w:pPr>
      <w:pStyle w:val="Heading3"/>
      <w:spacing w:before="0" w:after="0"/>
      <w:jc w:val="center"/>
      <w:rPr>
        <w:b w:val="0"/>
        <w:bCs w:val="0"/>
        <w:sz w:val="22"/>
        <w:szCs w:val="22"/>
      </w:rPr>
    </w:pPr>
    <w:r w:rsidRPr="00F92CFE">
      <w:rPr>
        <w:b w:val="0"/>
        <w:bCs w:val="0"/>
        <w:sz w:val="32"/>
        <w:szCs w:val="28"/>
      </w:rPr>
      <w:t xml:space="preserve"> </w:t>
    </w:r>
    <w:r w:rsidRPr="00F92CFE">
      <w:rPr>
        <w:b w:val="0"/>
        <w:bCs w:val="0"/>
        <w:sz w:val="22"/>
        <w:szCs w:val="22"/>
      </w:rPr>
      <w:t xml:space="preserve">Building E, Room 201S </w:t>
    </w:r>
  </w:p>
  <w:p w14:paraId="7F736981" w14:textId="77777777" w:rsidR="00F92CFE" w:rsidRDefault="00F92CFE" w:rsidP="00F92CFE">
    <w:pPr>
      <w:pStyle w:val="Heading3"/>
      <w:spacing w:before="0" w:after="0"/>
      <w:jc w:val="center"/>
      <w:rPr>
        <w:sz w:val="22"/>
        <w:szCs w:val="22"/>
        <w:u w:val="single"/>
      </w:rPr>
    </w:pPr>
  </w:p>
  <w:p w14:paraId="5CC54594" w14:textId="7151AD99" w:rsidR="00F92CFE" w:rsidRPr="00F92CFE" w:rsidRDefault="00F0763C" w:rsidP="00F92CFE">
    <w:pPr>
      <w:pStyle w:val="Heading3"/>
      <w:spacing w:before="0" w:after="0"/>
      <w:jc w:val="center"/>
      <w:rPr>
        <w:sz w:val="22"/>
        <w:szCs w:val="22"/>
        <w:u w:val="single"/>
      </w:rPr>
    </w:pPr>
    <w:r w:rsidRPr="00E7680C">
      <w:rPr>
        <w:sz w:val="22"/>
        <w:szCs w:val="22"/>
        <w:u w:val="single"/>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3C0F"/>
    <w:multiLevelType w:val="hybridMultilevel"/>
    <w:tmpl w:val="809C42D2"/>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261A77"/>
    <w:multiLevelType w:val="hybridMultilevel"/>
    <w:tmpl w:val="F77E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E73FB"/>
    <w:multiLevelType w:val="hybridMultilevel"/>
    <w:tmpl w:val="8B8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45F4C"/>
    <w:multiLevelType w:val="hybridMultilevel"/>
    <w:tmpl w:val="5A8407B8"/>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632E03"/>
    <w:multiLevelType w:val="hybridMultilevel"/>
    <w:tmpl w:val="BD82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54E33"/>
    <w:multiLevelType w:val="hybridMultilevel"/>
    <w:tmpl w:val="9E7A33D8"/>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971D8"/>
    <w:multiLevelType w:val="hybridMultilevel"/>
    <w:tmpl w:val="5516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566C"/>
    <w:multiLevelType w:val="hybridMultilevel"/>
    <w:tmpl w:val="751C5240"/>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F10DF8"/>
    <w:multiLevelType w:val="hybridMultilevel"/>
    <w:tmpl w:val="059E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0664C"/>
    <w:multiLevelType w:val="hybridMultilevel"/>
    <w:tmpl w:val="89E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1617E"/>
    <w:multiLevelType w:val="hybridMultilevel"/>
    <w:tmpl w:val="FFE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B20C6"/>
    <w:multiLevelType w:val="hybridMultilevel"/>
    <w:tmpl w:val="FAFEA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266782"/>
    <w:multiLevelType w:val="hybridMultilevel"/>
    <w:tmpl w:val="5114D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A759B1"/>
    <w:multiLevelType w:val="hybridMultilevel"/>
    <w:tmpl w:val="6E8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74275"/>
    <w:multiLevelType w:val="hybridMultilevel"/>
    <w:tmpl w:val="9128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95B0F"/>
    <w:multiLevelType w:val="hybridMultilevel"/>
    <w:tmpl w:val="1E0C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D0792E"/>
    <w:multiLevelType w:val="hybridMultilevel"/>
    <w:tmpl w:val="489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3051D"/>
    <w:multiLevelType w:val="hybridMultilevel"/>
    <w:tmpl w:val="BC90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466FED"/>
    <w:multiLevelType w:val="hybridMultilevel"/>
    <w:tmpl w:val="C4D47C46"/>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6D6037"/>
    <w:multiLevelType w:val="hybridMultilevel"/>
    <w:tmpl w:val="AE78C40A"/>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387C4B"/>
    <w:multiLevelType w:val="hybridMultilevel"/>
    <w:tmpl w:val="56DC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F3F"/>
    <w:multiLevelType w:val="hybridMultilevel"/>
    <w:tmpl w:val="B742005A"/>
    <w:lvl w:ilvl="0" w:tplc="47005E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31"/>
  </w:num>
  <w:num w:numId="10">
    <w:abstractNumId w:val="28"/>
  </w:num>
  <w:num w:numId="11">
    <w:abstractNumId w:val="7"/>
  </w:num>
  <w:num w:numId="12">
    <w:abstractNumId w:val="9"/>
  </w:num>
  <w:num w:numId="13">
    <w:abstractNumId w:val="8"/>
  </w:num>
  <w:num w:numId="14">
    <w:abstractNumId w:val="18"/>
  </w:num>
  <w:num w:numId="15">
    <w:abstractNumId w:val="27"/>
  </w:num>
  <w:num w:numId="16">
    <w:abstractNumId w:val="24"/>
  </w:num>
  <w:num w:numId="17">
    <w:abstractNumId w:val="12"/>
  </w:num>
  <w:num w:numId="18">
    <w:abstractNumId w:val="23"/>
  </w:num>
  <w:num w:numId="19">
    <w:abstractNumId w:val="19"/>
  </w:num>
  <w:num w:numId="20">
    <w:abstractNumId w:val="11"/>
  </w:num>
  <w:num w:numId="21">
    <w:abstractNumId w:val="32"/>
  </w:num>
  <w:num w:numId="22">
    <w:abstractNumId w:val="20"/>
  </w:num>
  <w:num w:numId="23">
    <w:abstractNumId w:val="13"/>
  </w:num>
  <w:num w:numId="24">
    <w:abstractNumId w:val="30"/>
  </w:num>
  <w:num w:numId="25">
    <w:abstractNumId w:val="33"/>
  </w:num>
  <w:num w:numId="26">
    <w:abstractNumId w:val="15"/>
  </w:num>
  <w:num w:numId="27">
    <w:abstractNumId w:val="17"/>
  </w:num>
  <w:num w:numId="28">
    <w:abstractNumId w:val="10"/>
  </w:num>
  <w:num w:numId="29">
    <w:abstractNumId w:val="29"/>
  </w:num>
  <w:num w:numId="30">
    <w:abstractNumId w:val="25"/>
  </w:num>
  <w:num w:numId="31">
    <w:abstractNumId w:val="14"/>
  </w:num>
  <w:num w:numId="32">
    <w:abstractNumId w:val="22"/>
  </w:num>
  <w:num w:numId="33">
    <w:abstractNumId w:val="16"/>
  </w:num>
  <w:num w:numId="34">
    <w:abstractNumId w:val="21"/>
  </w:num>
  <w:num w:numId="3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DE"/>
    <w:rsid w:val="000107FF"/>
    <w:rsid w:val="000328C3"/>
    <w:rsid w:val="000370C6"/>
    <w:rsid w:val="00051B7F"/>
    <w:rsid w:val="00057934"/>
    <w:rsid w:val="0006048F"/>
    <w:rsid w:val="00070F1D"/>
    <w:rsid w:val="00073BFF"/>
    <w:rsid w:val="00076D74"/>
    <w:rsid w:val="00076F7B"/>
    <w:rsid w:val="00080D4B"/>
    <w:rsid w:val="00084EE0"/>
    <w:rsid w:val="000851C6"/>
    <w:rsid w:val="0009545E"/>
    <w:rsid w:val="00096226"/>
    <w:rsid w:val="000A123A"/>
    <w:rsid w:val="000A1723"/>
    <w:rsid w:val="000B4D10"/>
    <w:rsid w:val="000C2A22"/>
    <w:rsid w:val="000E4877"/>
    <w:rsid w:val="000E5AAA"/>
    <w:rsid w:val="000E6977"/>
    <w:rsid w:val="000F099F"/>
    <w:rsid w:val="000F5BA1"/>
    <w:rsid w:val="00101E84"/>
    <w:rsid w:val="00106FEF"/>
    <w:rsid w:val="00111B63"/>
    <w:rsid w:val="001135FD"/>
    <w:rsid w:val="00114E9C"/>
    <w:rsid w:val="00116413"/>
    <w:rsid w:val="00116FAA"/>
    <w:rsid w:val="001211E9"/>
    <w:rsid w:val="00122CCE"/>
    <w:rsid w:val="00126CE4"/>
    <w:rsid w:val="001270C6"/>
    <w:rsid w:val="0013424A"/>
    <w:rsid w:val="00135EE7"/>
    <w:rsid w:val="001408BC"/>
    <w:rsid w:val="00145B12"/>
    <w:rsid w:val="001466A7"/>
    <w:rsid w:val="00152083"/>
    <w:rsid w:val="00157947"/>
    <w:rsid w:val="00161297"/>
    <w:rsid w:val="00163CBE"/>
    <w:rsid w:val="00173FE7"/>
    <w:rsid w:val="00176674"/>
    <w:rsid w:val="001838F8"/>
    <w:rsid w:val="00183F2A"/>
    <w:rsid w:val="001865E4"/>
    <w:rsid w:val="0019008F"/>
    <w:rsid w:val="001904E4"/>
    <w:rsid w:val="001A14E7"/>
    <w:rsid w:val="001A4639"/>
    <w:rsid w:val="001A576C"/>
    <w:rsid w:val="001B25E9"/>
    <w:rsid w:val="001B6894"/>
    <w:rsid w:val="001C1B0B"/>
    <w:rsid w:val="001C24B3"/>
    <w:rsid w:val="001C570E"/>
    <w:rsid w:val="001D46AA"/>
    <w:rsid w:val="001F4C57"/>
    <w:rsid w:val="00205FB2"/>
    <w:rsid w:val="0021289D"/>
    <w:rsid w:val="002128F2"/>
    <w:rsid w:val="00212AE2"/>
    <w:rsid w:val="00213164"/>
    <w:rsid w:val="002165F6"/>
    <w:rsid w:val="00223EE4"/>
    <w:rsid w:val="00230A85"/>
    <w:rsid w:val="0023118A"/>
    <w:rsid w:val="00236A01"/>
    <w:rsid w:val="00244BD0"/>
    <w:rsid w:val="0024559D"/>
    <w:rsid w:val="00261265"/>
    <w:rsid w:val="00263826"/>
    <w:rsid w:val="002658D1"/>
    <w:rsid w:val="00267310"/>
    <w:rsid w:val="002677C4"/>
    <w:rsid w:val="002739AA"/>
    <w:rsid w:val="00273CC7"/>
    <w:rsid w:val="00274B48"/>
    <w:rsid w:val="00276440"/>
    <w:rsid w:val="0028159F"/>
    <w:rsid w:val="0028292B"/>
    <w:rsid w:val="002861B8"/>
    <w:rsid w:val="00292A99"/>
    <w:rsid w:val="00297D38"/>
    <w:rsid w:val="002A42CF"/>
    <w:rsid w:val="002A7804"/>
    <w:rsid w:val="002B337E"/>
    <w:rsid w:val="002B595C"/>
    <w:rsid w:val="002C08D9"/>
    <w:rsid w:val="002C2979"/>
    <w:rsid w:val="002C570F"/>
    <w:rsid w:val="002C79B8"/>
    <w:rsid w:val="002D0A79"/>
    <w:rsid w:val="002D274B"/>
    <w:rsid w:val="002D4E2D"/>
    <w:rsid w:val="002E2996"/>
    <w:rsid w:val="002E6286"/>
    <w:rsid w:val="002E63CF"/>
    <w:rsid w:val="002E78C8"/>
    <w:rsid w:val="002E7DD3"/>
    <w:rsid w:val="002F11CD"/>
    <w:rsid w:val="002F158D"/>
    <w:rsid w:val="002F37D8"/>
    <w:rsid w:val="002F3F0B"/>
    <w:rsid w:val="002F4425"/>
    <w:rsid w:val="002F4728"/>
    <w:rsid w:val="0030523C"/>
    <w:rsid w:val="00315867"/>
    <w:rsid w:val="0032744B"/>
    <w:rsid w:val="00330273"/>
    <w:rsid w:val="00340912"/>
    <w:rsid w:val="00340919"/>
    <w:rsid w:val="003479B2"/>
    <w:rsid w:val="003514E6"/>
    <w:rsid w:val="00351FD0"/>
    <w:rsid w:val="00357F95"/>
    <w:rsid w:val="00367005"/>
    <w:rsid w:val="00373C63"/>
    <w:rsid w:val="00376A7A"/>
    <w:rsid w:val="00377CA6"/>
    <w:rsid w:val="00381012"/>
    <w:rsid w:val="00387FF7"/>
    <w:rsid w:val="0039073F"/>
    <w:rsid w:val="00391676"/>
    <w:rsid w:val="003917B4"/>
    <w:rsid w:val="0039346C"/>
    <w:rsid w:val="00393C75"/>
    <w:rsid w:val="00394237"/>
    <w:rsid w:val="003A09D0"/>
    <w:rsid w:val="003A245B"/>
    <w:rsid w:val="003A407F"/>
    <w:rsid w:val="003B14E1"/>
    <w:rsid w:val="003B41DF"/>
    <w:rsid w:val="003B6EF6"/>
    <w:rsid w:val="003B74C3"/>
    <w:rsid w:val="003B757E"/>
    <w:rsid w:val="003C0D2F"/>
    <w:rsid w:val="003C4181"/>
    <w:rsid w:val="003C5614"/>
    <w:rsid w:val="003D1117"/>
    <w:rsid w:val="003D379B"/>
    <w:rsid w:val="003E3047"/>
    <w:rsid w:val="003F3A60"/>
    <w:rsid w:val="003F5ABB"/>
    <w:rsid w:val="003F6F49"/>
    <w:rsid w:val="00402A3E"/>
    <w:rsid w:val="0040671D"/>
    <w:rsid w:val="0041037F"/>
    <w:rsid w:val="00416EFF"/>
    <w:rsid w:val="0042211E"/>
    <w:rsid w:val="0042268C"/>
    <w:rsid w:val="00423EBA"/>
    <w:rsid w:val="004339C6"/>
    <w:rsid w:val="00436B2D"/>
    <w:rsid w:val="00440C39"/>
    <w:rsid w:val="0044147F"/>
    <w:rsid w:val="00444456"/>
    <w:rsid w:val="004468D7"/>
    <w:rsid w:val="00446B85"/>
    <w:rsid w:val="00447B9D"/>
    <w:rsid w:val="00452219"/>
    <w:rsid w:val="0045287E"/>
    <w:rsid w:val="0046222F"/>
    <w:rsid w:val="004645BD"/>
    <w:rsid w:val="00464DE9"/>
    <w:rsid w:val="004802F6"/>
    <w:rsid w:val="0048127C"/>
    <w:rsid w:val="0048732F"/>
    <w:rsid w:val="00492668"/>
    <w:rsid w:val="00493A2C"/>
    <w:rsid w:val="00495039"/>
    <w:rsid w:val="004A237D"/>
    <w:rsid w:val="004A4E0C"/>
    <w:rsid w:val="004A7ACD"/>
    <w:rsid w:val="004B0D16"/>
    <w:rsid w:val="004B19C0"/>
    <w:rsid w:val="004B664F"/>
    <w:rsid w:val="004B6982"/>
    <w:rsid w:val="004B7FD3"/>
    <w:rsid w:val="004C2C15"/>
    <w:rsid w:val="004D067A"/>
    <w:rsid w:val="004D2CA6"/>
    <w:rsid w:val="004D457E"/>
    <w:rsid w:val="004D4A93"/>
    <w:rsid w:val="004E0B6C"/>
    <w:rsid w:val="004E0F5B"/>
    <w:rsid w:val="004E7E0F"/>
    <w:rsid w:val="004F091D"/>
    <w:rsid w:val="004F11E5"/>
    <w:rsid w:val="004F14BD"/>
    <w:rsid w:val="00502E09"/>
    <w:rsid w:val="0050310B"/>
    <w:rsid w:val="00505486"/>
    <w:rsid w:val="005058A9"/>
    <w:rsid w:val="0051076D"/>
    <w:rsid w:val="00510F42"/>
    <w:rsid w:val="00511208"/>
    <w:rsid w:val="005201EB"/>
    <w:rsid w:val="00520943"/>
    <w:rsid w:val="0052140A"/>
    <w:rsid w:val="0052477E"/>
    <w:rsid w:val="0052494C"/>
    <w:rsid w:val="005252FC"/>
    <w:rsid w:val="00526E30"/>
    <w:rsid w:val="00530488"/>
    <w:rsid w:val="005349C8"/>
    <w:rsid w:val="00535AD3"/>
    <w:rsid w:val="005440C3"/>
    <w:rsid w:val="0054464E"/>
    <w:rsid w:val="00544931"/>
    <w:rsid w:val="00545445"/>
    <w:rsid w:val="005464F5"/>
    <w:rsid w:val="00551128"/>
    <w:rsid w:val="0055212A"/>
    <w:rsid w:val="00564868"/>
    <w:rsid w:val="00565C6E"/>
    <w:rsid w:val="0056646A"/>
    <w:rsid w:val="00587699"/>
    <w:rsid w:val="00592B74"/>
    <w:rsid w:val="00592F19"/>
    <w:rsid w:val="00594383"/>
    <w:rsid w:val="00597378"/>
    <w:rsid w:val="005A1E86"/>
    <w:rsid w:val="005A4B0E"/>
    <w:rsid w:val="005B41A8"/>
    <w:rsid w:val="005B7AA5"/>
    <w:rsid w:val="005C44C1"/>
    <w:rsid w:val="005D0125"/>
    <w:rsid w:val="005D016D"/>
    <w:rsid w:val="005E31C2"/>
    <w:rsid w:val="005E72BD"/>
    <w:rsid w:val="005F0B3D"/>
    <w:rsid w:val="005F259F"/>
    <w:rsid w:val="005F2E79"/>
    <w:rsid w:val="005F337F"/>
    <w:rsid w:val="005F418C"/>
    <w:rsid w:val="005F5339"/>
    <w:rsid w:val="00602090"/>
    <w:rsid w:val="006023F6"/>
    <w:rsid w:val="00602B77"/>
    <w:rsid w:val="00607474"/>
    <w:rsid w:val="0060756D"/>
    <w:rsid w:val="00617620"/>
    <w:rsid w:val="0063335D"/>
    <w:rsid w:val="0063581E"/>
    <w:rsid w:val="006366FE"/>
    <w:rsid w:val="006375BF"/>
    <w:rsid w:val="006425D1"/>
    <w:rsid w:val="00645628"/>
    <w:rsid w:val="0065356B"/>
    <w:rsid w:val="0065525B"/>
    <w:rsid w:val="006558CB"/>
    <w:rsid w:val="00664FFC"/>
    <w:rsid w:val="006724BC"/>
    <w:rsid w:val="006730D8"/>
    <w:rsid w:val="00673C74"/>
    <w:rsid w:val="006747D1"/>
    <w:rsid w:val="00681FF1"/>
    <w:rsid w:val="0068266E"/>
    <w:rsid w:val="00683011"/>
    <w:rsid w:val="006A0CCD"/>
    <w:rsid w:val="006B1CAB"/>
    <w:rsid w:val="006B1E55"/>
    <w:rsid w:val="006B279C"/>
    <w:rsid w:val="006B739C"/>
    <w:rsid w:val="006C06D3"/>
    <w:rsid w:val="006C2F2F"/>
    <w:rsid w:val="006C3F48"/>
    <w:rsid w:val="006C6CEB"/>
    <w:rsid w:val="006C6D8A"/>
    <w:rsid w:val="006D03EB"/>
    <w:rsid w:val="006D177E"/>
    <w:rsid w:val="006D6411"/>
    <w:rsid w:val="006E1998"/>
    <w:rsid w:val="006F0D06"/>
    <w:rsid w:val="006F0D2F"/>
    <w:rsid w:val="006F228B"/>
    <w:rsid w:val="006F2FAD"/>
    <w:rsid w:val="00707294"/>
    <w:rsid w:val="00710ED8"/>
    <w:rsid w:val="007142F6"/>
    <w:rsid w:val="00715FBA"/>
    <w:rsid w:val="00716C96"/>
    <w:rsid w:val="00717E39"/>
    <w:rsid w:val="0072249E"/>
    <w:rsid w:val="00727F1C"/>
    <w:rsid w:val="00731694"/>
    <w:rsid w:val="00732647"/>
    <w:rsid w:val="00732C40"/>
    <w:rsid w:val="00746472"/>
    <w:rsid w:val="00752258"/>
    <w:rsid w:val="00755F89"/>
    <w:rsid w:val="0075745D"/>
    <w:rsid w:val="00760237"/>
    <w:rsid w:val="007657BD"/>
    <w:rsid w:val="00765AEB"/>
    <w:rsid w:val="007660DD"/>
    <w:rsid w:val="00766276"/>
    <w:rsid w:val="00766C56"/>
    <w:rsid w:val="0077666B"/>
    <w:rsid w:val="00782A24"/>
    <w:rsid w:val="007867A1"/>
    <w:rsid w:val="00786CC2"/>
    <w:rsid w:val="007870E2"/>
    <w:rsid w:val="007928DE"/>
    <w:rsid w:val="007B28D4"/>
    <w:rsid w:val="007B67F4"/>
    <w:rsid w:val="007C0233"/>
    <w:rsid w:val="007C7207"/>
    <w:rsid w:val="007C7286"/>
    <w:rsid w:val="007C78CF"/>
    <w:rsid w:val="007D5662"/>
    <w:rsid w:val="007D5D0C"/>
    <w:rsid w:val="007D5F2F"/>
    <w:rsid w:val="007D6FA6"/>
    <w:rsid w:val="007E626A"/>
    <w:rsid w:val="007F151D"/>
    <w:rsid w:val="007F1D92"/>
    <w:rsid w:val="007F687C"/>
    <w:rsid w:val="00801ED5"/>
    <w:rsid w:val="00804333"/>
    <w:rsid w:val="008139EC"/>
    <w:rsid w:val="008153E4"/>
    <w:rsid w:val="008174D2"/>
    <w:rsid w:val="00825084"/>
    <w:rsid w:val="008257EE"/>
    <w:rsid w:val="00830335"/>
    <w:rsid w:val="0083221C"/>
    <w:rsid w:val="008331AB"/>
    <w:rsid w:val="00833B66"/>
    <w:rsid w:val="00833BE9"/>
    <w:rsid w:val="008342F8"/>
    <w:rsid w:val="008407C2"/>
    <w:rsid w:val="008472AD"/>
    <w:rsid w:val="00851896"/>
    <w:rsid w:val="008529E9"/>
    <w:rsid w:val="00853129"/>
    <w:rsid w:val="00861A7F"/>
    <w:rsid w:val="00862EE7"/>
    <w:rsid w:val="00867C23"/>
    <w:rsid w:val="00871E3C"/>
    <w:rsid w:val="008755F2"/>
    <w:rsid w:val="008761ED"/>
    <w:rsid w:val="008766F0"/>
    <w:rsid w:val="00876A6D"/>
    <w:rsid w:val="0088257E"/>
    <w:rsid w:val="00886F37"/>
    <w:rsid w:val="00895CAE"/>
    <w:rsid w:val="008A0557"/>
    <w:rsid w:val="008B0811"/>
    <w:rsid w:val="008B211F"/>
    <w:rsid w:val="008B5BDB"/>
    <w:rsid w:val="008B77BE"/>
    <w:rsid w:val="008C1EA8"/>
    <w:rsid w:val="008D437D"/>
    <w:rsid w:val="008D5442"/>
    <w:rsid w:val="008D741D"/>
    <w:rsid w:val="008D7FF1"/>
    <w:rsid w:val="008E2351"/>
    <w:rsid w:val="008E33DD"/>
    <w:rsid w:val="008E4417"/>
    <w:rsid w:val="00903AE3"/>
    <w:rsid w:val="0090606F"/>
    <w:rsid w:val="009111AF"/>
    <w:rsid w:val="00914021"/>
    <w:rsid w:val="00916317"/>
    <w:rsid w:val="00921A62"/>
    <w:rsid w:val="009356BC"/>
    <w:rsid w:val="00935C38"/>
    <w:rsid w:val="00943C0C"/>
    <w:rsid w:val="00960BBA"/>
    <w:rsid w:val="00961759"/>
    <w:rsid w:val="00967DDB"/>
    <w:rsid w:val="009730F5"/>
    <w:rsid w:val="00974E8C"/>
    <w:rsid w:val="00994550"/>
    <w:rsid w:val="00996B99"/>
    <w:rsid w:val="00997523"/>
    <w:rsid w:val="00997E25"/>
    <w:rsid w:val="009A09E4"/>
    <w:rsid w:val="009A178F"/>
    <w:rsid w:val="009A6A10"/>
    <w:rsid w:val="009B047C"/>
    <w:rsid w:val="009B4095"/>
    <w:rsid w:val="009D2419"/>
    <w:rsid w:val="009D5885"/>
    <w:rsid w:val="009D7F48"/>
    <w:rsid w:val="009E0D59"/>
    <w:rsid w:val="009F231A"/>
    <w:rsid w:val="009F63AC"/>
    <w:rsid w:val="009F7E70"/>
    <w:rsid w:val="00A00DED"/>
    <w:rsid w:val="00A03680"/>
    <w:rsid w:val="00A048DC"/>
    <w:rsid w:val="00A063C3"/>
    <w:rsid w:val="00A07216"/>
    <w:rsid w:val="00A21250"/>
    <w:rsid w:val="00A2128D"/>
    <w:rsid w:val="00A2193F"/>
    <w:rsid w:val="00A22495"/>
    <w:rsid w:val="00A2359F"/>
    <w:rsid w:val="00A237C4"/>
    <w:rsid w:val="00A2386B"/>
    <w:rsid w:val="00A24340"/>
    <w:rsid w:val="00A25C1C"/>
    <w:rsid w:val="00A37F5B"/>
    <w:rsid w:val="00A37FC6"/>
    <w:rsid w:val="00A441DE"/>
    <w:rsid w:val="00A4552D"/>
    <w:rsid w:val="00A52C7F"/>
    <w:rsid w:val="00A56790"/>
    <w:rsid w:val="00A67AB6"/>
    <w:rsid w:val="00A70347"/>
    <w:rsid w:val="00A72C32"/>
    <w:rsid w:val="00A73AC3"/>
    <w:rsid w:val="00A74270"/>
    <w:rsid w:val="00A75BA9"/>
    <w:rsid w:val="00A80F59"/>
    <w:rsid w:val="00A8402E"/>
    <w:rsid w:val="00A8422E"/>
    <w:rsid w:val="00A87343"/>
    <w:rsid w:val="00A905FA"/>
    <w:rsid w:val="00A9135B"/>
    <w:rsid w:val="00A939AF"/>
    <w:rsid w:val="00A94125"/>
    <w:rsid w:val="00AA2C4D"/>
    <w:rsid w:val="00AA47AE"/>
    <w:rsid w:val="00AA5A58"/>
    <w:rsid w:val="00AB074C"/>
    <w:rsid w:val="00AB1627"/>
    <w:rsid w:val="00AB3A67"/>
    <w:rsid w:val="00AC08A2"/>
    <w:rsid w:val="00AC3D1E"/>
    <w:rsid w:val="00AD0261"/>
    <w:rsid w:val="00AE0259"/>
    <w:rsid w:val="00AE24CE"/>
    <w:rsid w:val="00AE3028"/>
    <w:rsid w:val="00AE37D6"/>
    <w:rsid w:val="00AE52E3"/>
    <w:rsid w:val="00AF0E6F"/>
    <w:rsid w:val="00AF379C"/>
    <w:rsid w:val="00AF4B1A"/>
    <w:rsid w:val="00AF612E"/>
    <w:rsid w:val="00AF7117"/>
    <w:rsid w:val="00B10CFF"/>
    <w:rsid w:val="00B15D38"/>
    <w:rsid w:val="00B25367"/>
    <w:rsid w:val="00B274E5"/>
    <w:rsid w:val="00B3101F"/>
    <w:rsid w:val="00B338C5"/>
    <w:rsid w:val="00B3560E"/>
    <w:rsid w:val="00B3681B"/>
    <w:rsid w:val="00B438D6"/>
    <w:rsid w:val="00B4403F"/>
    <w:rsid w:val="00B443DE"/>
    <w:rsid w:val="00B45F6C"/>
    <w:rsid w:val="00B5222D"/>
    <w:rsid w:val="00B6024D"/>
    <w:rsid w:val="00B65DA9"/>
    <w:rsid w:val="00B6769B"/>
    <w:rsid w:val="00B70FA7"/>
    <w:rsid w:val="00B711C9"/>
    <w:rsid w:val="00B777FA"/>
    <w:rsid w:val="00B85165"/>
    <w:rsid w:val="00B952A5"/>
    <w:rsid w:val="00B95D49"/>
    <w:rsid w:val="00B9724A"/>
    <w:rsid w:val="00BA6724"/>
    <w:rsid w:val="00BA6E11"/>
    <w:rsid w:val="00BA744C"/>
    <w:rsid w:val="00BB09B1"/>
    <w:rsid w:val="00BB09F3"/>
    <w:rsid w:val="00BB3F5F"/>
    <w:rsid w:val="00BC2691"/>
    <w:rsid w:val="00BC3B3D"/>
    <w:rsid w:val="00BD1B15"/>
    <w:rsid w:val="00BD3CA3"/>
    <w:rsid w:val="00BD4387"/>
    <w:rsid w:val="00BD606B"/>
    <w:rsid w:val="00BF000E"/>
    <w:rsid w:val="00BF1BA5"/>
    <w:rsid w:val="00BF5189"/>
    <w:rsid w:val="00BF6BBB"/>
    <w:rsid w:val="00C05925"/>
    <w:rsid w:val="00C12062"/>
    <w:rsid w:val="00C15BB6"/>
    <w:rsid w:val="00C171D4"/>
    <w:rsid w:val="00C178DB"/>
    <w:rsid w:val="00C21786"/>
    <w:rsid w:val="00C22BB7"/>
    <w:rsid w:val="00C309A5"/>
    <w:rsid w:val="00C30CB3"/>
    <w:rsid w:val="00C330AA"/>
    <w:rsid w:val="00C402C2"/>
    <w:rsid w:val="00C40EC5"/>
    <w:rsid w:val="00C4627E"/>
    <w:rsid w:val="00C50C88"/>
    <w:rsid w:val="00C50CCD"/>
    <w:rsid w:val="00C5455A"/>
    <w:rsid w:val="00C55226"/>
    <w:rsid w:val="00C64BA3"/>
    <w:rsid w:val="00C6583E"/>
    <w:rsid w:val="00C72748"/>
    <w:rsid w:val="00C811B1"/>
    <w:rsid w:val="00C82892"/>
    <w:rsid w:val="00C87352"/>
    <w:rsid w:val="00C87801"/>
    <w:rsid w:val="00C94F6C"/>
    <w:rsid w:val="00C953CD"/>
    <w:rsid w:val="00C95864"/>
    <w:rsid w:val="00C9595F"/>
    <w:rsid w:val="00CA03DB"/>
    <w:rsid w:val="00CA0486"/>
    <w:rsid w:val="00CA1BE9"/>
    <w:rsid w:val="00CB06BE"/>
    <w:rsid w:val="00CB12DB"/>
    <w:rsid w:val="00CB3752"/>
    <w:rsid w:val="00CB4D8D"/>
    <w:rsid w:val="00CB5A61"/>
    <w:rsid w:val="00CB71C6"/>
    <w:rsid w:val="00CC0CC2"/>
    <w:rsid w:val="00CC69B5"/>
    <w:rsid w:val="00CC6A10"/>
    <w:rsid w:val="00CD1543"/>
    <w:rsid w:val="00CD1B92"/>
    <w:rsid w:val="00CD4948"/>
    <w:rsid w:val="00CE5522"/>
    <w:rsid w:val="00CE66A9"/>
    <w:rsid w:val="00CE73CD"/>
    <w:rsid w:val="00CF0D82"/>
    <w:rsid w:val="00CF1D13"/>
    <w:rsid w:val="00D015EB"/>
    <w:rsid w:val="00D019F4"/>
    <w:rsid w:val="00D1392D"/>
    <w:rsid w:val="00D14E65"/>
    <w:rsid w:val="00D1748C"/>
    <w:rsid w:val="00D25385"/>
    <w:rsid w:val="00D35909"/>
    <w:rsid w:val="00D4138E"/>
    <w:rsid w:val="00D44331"/>
    <w:rsid w:val="00D46708"/>
    <w:rsid w:val="00D47FC3"/>
    <w:rsid w:val="00D52060"/>
    <w:rsid w:val="00D556D7"/>
    <w:rsid w:val="00D566A9"/>
    <w:rsid w:val="00D72017"/>
    <w:rsid w:val="00D7245E"/>
    <w:rsid w:val="00D772E6"/>
    <w:rsid w:val="00D8504F"/>
    <w:rsid w:val="00D853F9"/>
    <w:rsid w:val="00D85910"/>
    <w:rsid w:val="00D91EC4"/>
    <w:rsid w:val="00D9218C"/>
    <w:rsid w:val="00D96B4B"/>
    <w:rsid w:val="00DA7E10"/>
    <w:rsid w:val="00DB788B"/>
    <w:rsid w:val="00DC2C98"/>
    <w:rsid w:val="00DC5439"/>
    <w:rsid w:val="00DD36DE"/>
    <w:rsid w:val="00DD4BA6"/>
    <w:rsid w:val="00DE22F0"/>
    <w:rsid w:val="00DE3A33"/>
    <w:rsid w:val="00DE3E5F"/>
    <w:rsid w:val="00DE6F03"/>
    <w:rsid w:val="00DE7294"/>
    <w:rsid w:val="00DF1A0A"/>
    <w:rsid w:val="00E0050E"/>
    <w:rsid w:val="00E00C3F"/>
    <w:rsid w:val="00E020BF"/>
    <w:rsid w:val="00E14844"/>
    <w:rsid w:val="00E154ED"/>
    <w:rsid w:val="00E17086"/>
    <w:rsid w:val="00E217A5"/>
    <w:rsid w:val="00E238DE"/>
    <w:rsid w:val="00E30C63"/>
    <w:rsid w:val="00E324F7"/>
    <w:rsid w:val="00E32DAE"/>
    <w:rsid w:val="00E336A7"/>
    <w:rsid w:val="00E37E03"/>
    <w:rsid w:val="00E41FD2"/>
    <w:rsid w:val="00E444C0"/>
    <w:rsid w:val="00E523B1"/>
    <w:rsid w:val="00E53808"/>
    <w:rsid w:val="00E54706"/>
    <w:rsid w:val="00E54B6B"/>
    <w:rsid w:val="00E57D70"/>
    <w:rsid w:val="00E60FC3"/>
    <w:rsid w:val="00E73C9A"/>
    <w:rsid w:val="00E7680C"/>
    <w:rsid w:val="00E768D9"/>
    <w:rsid w:val="00E80039"/>
    <w:rsid w:val="00E83786"/>
    <w:rsid w:val="00E870D4"/>
    <w:rsid w:val="00E910F6"/>
    <w:rsid w:val="00E92A41"/>
    <w:rsid w:val="00E92E6E"/>
    <w:rsid w:val="00E9652C"/>
    <w:rsid w:val="00EA14B1"/>
    <w:rsid w:val="00EA4BA5"/>
    <w:rsid w:val="00EB3871"/>
    <w:rsid w:val="00EB47CA"/>
    <w:rsid w:val="00EB48FC"/>
    <w:rsid w:val="00EC54CE"/>
    <w:rsid w:val="00ED138E"/>
    <w:rsid w:val="00EE33D9"/>
    <w:rsid w:val="00EE46E2"/>
    <w:rsid w:val="00EF6A56"/>
    <w:rsid w:val="00F00E12"/>
    <w:rsid w:val="00F03858"/>
    <w:rsid w:val="00F057D3"/>
    <w:rsid w:val="00F06B8C"/>
    <w:rsid w:val="00F0763C"/>
    <w:rsid w:val="00F121EF"/>
    <w:rsid w:val="00F12A2E"/>
    <w:rsid w:val="00F20BC6"/>
    <w:rsid w:val="00F20F63"/>
    <w:rsid w:val="00F2618E"/>
    <w:rsid w:val="00F32F62"/>
    <w:rsid w:val="00F43C63"/>
    <w:rsid w:val="00F56A6D"/>
    <w:rsid w:val="00F56E78"/>
    <w:rsid w:val="00F63BBC"/>
    <w:rsid w:val="00F726E1"/>
    <w:rsid w:val="00F72977"/>
    <w:rsid w:val="00F75A36"/>
    <w:rsid w:val="00F815C5"/>
    <w:rsid w:val="00F84B81"/>
    <w:rsid w:val="00F84C3B"/>
    <w:rsid w:val="00F85736"/>
    <w:rsid w:val="00F85D05"/>
    <w:rsid w:val="00F8662A"/>
    <w:rsid w:val="00F86672"/>
    <w:rsid w:val="00F92CFE"/>
    <w:rsid w:val="00F96346"/>
    <w:rsid w:val="00FA6514"/>
    <w:rsid w:val="00FA6742"/>
    <w:rsid w:val="00FA6EEF"/>
    <w:rsid w:val="00FB1769"/>
    <w:rsid w:val="00FB1DEC"/>
    <w:rsid w:val="00FB2C86"/>
    <w:rsid w:val="00FC0DA4"/>
    <w:rsid w:val="00FC104D"/>
    <w:rsid w:val="00FC262C"/>
    <w:rsid w:val="00FD0B38"/>
    <w:rsid w:val="00FD6A75"/>
    <w:rsid w:val="00FE1247"/>
    <w:rsid w:val="00FF1EA2"/>
    <w:rsid w:val="00FF780C"/>
    <w:rsid w:val="00FF7C5E"/>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3EEBB"/>
  <w15:docId w15:val="{6B2E8924-BE67-4F1D-80A5-79B0F483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E238DE"/>
    <w:pPr>
      <w:tabs>
        <w:tab w:val="left" w:pos="720"/>
      </w:tabs>
      <w:spacing w:before="0" w:after="0"/>
    </w:pPr>
    <w:rPr>
      <w:rFonts w:ascii="Times New Roman" w:hAnsi="Times New Roman"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rPr>
      <w:rFonts w:ascii="Georgia" w:hAnsi="Georgia"/>
    </w:rPr>
  </w:style>
  <w:style w:type="paragraph" w:styleId="Heading8">
    <w:name w:val="heading 8"/>
    <w:basedOn w:val="Normal"/>
    <w:next w:val="Normal"/>
    <w:link w:val="Heading8Char"/>
    <w:uiPriority w:val="99"/>
    <w:rsid w:val="00AB074C"/>
    <w:pPr>
      <w:spacing w:before="240" w:after="60"/>
      <w:outlineLvl w:val="7"/>
    </w:pPr>
    <w:rPr>
      <w:rFonts w:ascii="Georgia" w:hAnsi="Georgia"/>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spacing w:before="-1" w:after="-1"/>
      <w:ind w:left="240" w:hanging="240"/>
    </w:pPr>
    <w:rPr>
      <w:rFonts w:ascii="Georgia" w:hAnsi="Georgia"/>
    </w:rPr>
  </w:style>
  <w:style w:type="paragraph" w:styleId="Index2">
    <w:name w:val="index 2"/>
    <w:basedOn w:val="Normal"/>
    <w:next w:val="Normal"/>
    <w:autoRedefine/>
    <w:semiHidden/>
    <w:rsid w:val="00AB074C"/>
    <w:pPr>
      <w:spacing w:before="-1" w:after="-1"/>
      <w:ind w:left="480" w:hanging="240"/>
    </w:pPr>
    <w:rPr>
      <w:rFonts w:ascii="Georgia" w:hAnsi="Georgia"/>
    </w:rPr>
  </w:style>
  <w:style w:type="paragraph" w:styleId="Index3">
    <w:name w:val="index 3"/>
    <w:basedOn w:val="Normal"/>
    <w:next w:val="Normal"/>
    <w:autoRedefine/>
    <w:semiHidden/>
    <w:rsid w:val="00AB074C"/>
    <w:pPr>
      <w:spacing w:before="-1" w:after="-1"/>
      <w:ind w:left="720" w:hanging="240"/>
    </w:pPr>
    <w:rPr>
      <w:rFonts w:ascii="Georgia" w:hAnsi="Georgia"/>
    </w:rPr>
  </w:style>
  <w:style w:type="paragraph" w:styleId="Index4">
    <w:name w:val="index 4"/>
    <w:basedOn w:val="Normal"/>
    <w:next w:val="Normal"/>
    <w:autoRedefine/>
    <w:semiHidden/>
    <w:rsid w:val="00AB074C"/>
    <w:pPr>
      <w:spacing w:before="-1" w:after="-1"/>
      <w:ind w:left="960" w:hanging="240"/>
    </w:pPr>
    <w:rPr>
      <w:rFonts w:ascii="Georgia" w:hAnsi="Georgia"/>
    </w:rPr>
  </w:style>
  <w:style w:type="paragraph" w:styleId="Index5">
    <w:name w:val="index 5"/>
    <w:basedOn w:val="Normal"/>
    <w:next w:val="Normal"/>
    <w:autoRedefine/>
    <w:semiHidden/>
    <w:rsid w:val="00AB074C"/>
    <w:pPr>
      <w:spacing w:before="-1" w:after="-1"/>
      <w:ind w:left="1200" w:hanging="240"/>
    </w:pPr>
    <w:rPr>
      <w:rFonts w:ascii="Georgia" w:hAnsi="Georgia"/>
    </w:rPr>
  </w:style>
  <w:style w:type="paragraph" w:styleId="Index6">
    <w:name w:val="index 6"/>
    <w:basedOn w:val="Normal"/>
    <w:next w:val="Normal"/>
    <w:autoRedefine/>
    <w:semiHidden/>
    <w:rsid w:val="00AB074C"/>
    <w:pPr>
      <w:spacing w:before="-1" w:after="-1"/>
      <w:ind w:left="1440" w:hanging="240"/>
    </w:pPr>
    <w:rPr>
      <w:rFonts w:ascii="Georgia" w:hAnsi="Georgia"/>
    </w:rPr>
  </w:style>
  <w:style w:type="paragraph" w:styleId="Index7">
    <w:name w:val="index 7"/>
    <w:basedOn w:val="Normal"/>
    <w:next w:val="Normal"/>
    <w:autoRedefine/>
    <w:semiHidden/>
    <w:rsid w:val="00AB074C"/>
    <w:pPr>
      <w:spacing w:before="-1" w:after="-1"/>
      <w:ind w:left="1680" w:hanging="240"/>
    </w:pPr>
    <w:rPr>
      <w:rFonts w:ascii="Georgia" w:hAnsi="Georgia"/>
    </w:rPr>
  </w:style>
  <w:style w:type="paragraph" w:styleId="Index8">
    <w:name w:val="index 8"/>
    <w:basedOn w:val="Normal"/>
    <w:next w:val="Normal"/>
    <w:autoRedefine/>
    <w:semiHidden/>
    <w:rsid w:val="00AB074C"/>
    <w:pPr>
      <w:spacing w:before="-1" w:after="-1"/>
      <w:ind w:left="1920" w:hanging="240"/>
    </w:pPr>
    <w:rPr>
      <w:rFonts w:ascii="Georgia" w:hAnsi="Georgia"/>
    </w:rPr>
  </w:style>
  <w:style w:type="paragraph" w:styleId="Index9">
    <w:name w:val="index 9"/>
    <w:basedOn w:val="Normal"/>
    <w:next w:val="Normal"/>
    <w:autoRedefine/>
    <w:semiHidden/>
    <w:rsid w:val="00AB074C"/>
    <w:pPr>
      <w:spacing w:before="-1" w:after="-1"/>
      <w:ind w:left="2160" w:hanging="240"/>
    </w:pPr>
    <w:rPr>
      <w:rFonts w:ascii="Georgia" w:hAnsi="Georgia"/>
    </w:rPr>
  </w:style>
  <w:style w:type="paragraph" w:styleId="TOC1">
    <w:name w:val="toc 1"/>
    <w:basedOn w:val="Normal"/>
    <w:next w:val="Normal"/>
    <w:autoRedefine/>
    <w:semiHidden/>
    <w:rsid w:val="00AB074C"/>
    <w:pPr>
      <w:spacing w:before="-1" w:after="-1"/>
    </w:pPr>
    <w:rPr>
      <w:rFonts w:ascii="Georgia" w:hAnsi="Georgia"/>
    </w:rPr>
  </w:style>
  <w:style w:type="paragraph" w:styleId="TOC2">
    <w:name w:val="toc 2"/>
    <w:basedOn w:val="Normal"/>
    <w:next w:val="Normal"/>
    <w:autoRedefine/>
    <w:semiHidden/>
    <w:rsid w:val="00AB074C"/>
    <w:pPr>
      <w:spacing w:before="-1" w:after="-1"/>
      <w:ind w:left="240"/>
    </w:pPr>
    <w:rPr>
      <w:rFonts w:ascii="Georgia" w:hAnsi="Georgia"/>
    </w:rPr>
  </w:style>
  <w:style w:type="paragraph" w:styleId="TOC3">
    <w:name w:val="toc 3"/>
    <w:basedOn w:val="Normal"/>
    <w:next w:val="Normal"/>
    <w:autoRedefine/>
    <w:semiHidden/>
    <w:rsid w:val="00AB074C"/>
    <w:pPr>
      <w:spacing w:before="-1" w:after="-1"/>
      <w:ind w:left="480"/>
    </w:pPr>
    <w:rPr>
      <w:rFonts w:ascii="Georgia" w:hAnsi="Georgia"/>
    </w:rPr>
  </w:style>
  <w:style w:type="paragraph" w:styleId="TOC4">
    <w:name w:val="toc 4"/>
    <w:basedOn w:val="Normal"/>
    <w:next w:val="Normal"/>
    <w:autoRedefine/>
    <w:semiHidden/>
    <w:rsid w:val="00AB074C"/>
    <w:pPr>
      <w:spacing w:before="-1" w:after="-1"/>
      <w:ind w:left="720"/>
    </w:pPr>
    <w:rPr>
      <w:rFonts w:ascii="Georgia" w:hAnsi="Georgia"/>
    </w:rPr>
  </w:style>
  <w:style w:type="paragraph" w:styleId="TOC5">
    <w:name w:val="toc 5"/>
    <w:basedOn w:val="Normal"/>
    <w:next w:val="Normal"/>
    <w:autoRedefine/>
    <w:semiHidden/>
    <w:rsid w:val="00AB074C"/>
    <w:pPr>
      <w:spacing w:before="-1" w:after="-1"/>
      <w:ind w:left="960"/>
    </w:pPr>
    <w:rPr>
      <w:rFonts w:ascii="Georgia" w:hAnsi="Georgia"/>
    </w:rPr>
  </w:style>
  <w:style w:type="paragraph" w:styleId="TOC6">
    <w:name w:val="toc 6"/>
    <w:basedOn w:val="Normal"/>
    <w:next w:val="Normal"/>
    <w:autoRedefine/>
    <w:semiHidden/>
    <w:rsid w:val="00AB074C"/>
    <w:pPr>
      <w:spacing w:before="-1" w:after="-1"/>
      <w:ind w:left="1200"/>
    </w:pPr>
    <w:rPr>
      <w:rFonts w:ascii="Georgia" w:hAnsi="Georgia"/>
    </w:rPr>
  </w:style>
  <w:style w:type="paragraph" w:styleId="TOC7">
    <w:name w:val="toc 7"/>
    <w:basedOn w:val="Normal"/>
    <w:next w:val="Normal"/>
    <w:autoRedefine/>
    <w:semiHidden/>
    <w:rsid w:val="00AB074C"/>
    <w:pPr>
      <w:spacing w:before="-1" w:after="-1"/>
      <w:ind w:left="1440"/>
    </w:pPr>
    <w:rPr>
      <w:rFonts w:ascii="Georgia" w:hAnsi="Georgia"/>
    </w:rPr>
  </w:style>
  <w:style w:type="paragraph" w:styleId="TOC8">
    <w:name w:val="toc 8"/>
    <w:basedOn w:val="Normal"/>
    <w:next w:val="Normal"/>
    <w:autoRedefine/>
    <w:semiHidden/>
    <w:rsid w:val="00AB074C"/>
    <w:pPr>
      <w:spacing w:before="-1" w:after="-1"/>
      <w:ind w:left="1680"/>
    </w:pPr>
    <w:rPr>
      <w:rFonts w:ascii="Georgia" w:hAnsi="Georgia"/>
    </w:rPr>
  </w:style>
  <w:style w:type="paragraph" w:styleId="TOC9">
    <w:name w:val="toc 9"/>
    <w:basedOn w:val="Normal"/>
    <w:next w:val="Normal"/>
    <w:autoRedefine/>
    <w:semiHidden/>
    <w:rsid w:val="00AB074C"/>
    <w:pPr>
      <w:spacing w:before="-1" w:after="-1"/>
      <w:ind w:left="1920"/>
    </w:pPr>
    <w:rPr>
      <w:rFonts w:ascii="Georgia" w:hAnsi="Georgia"/>
    </w:rPr>
  </w:style>
  <w:style w:type="paragraph" w:styleId="NormalIndent">
    <w:name w:val="Normal Indent"/>
    <w:basedOn w:val="Normal"/>
    <w:semiHidden/>
    <w:rsid w:val="00AB074C"/>
    <w:pPr>
      <w:spacing w:before="-1" w:after="-1"/>
      <w:ind w:left="720"/>
    </w:pPr>
    <w:rPr>
      <w:rFonts w:ascii="Georgia" w:hAnsi="Georgia"/>
    </w:rPr>
  </w:style>
  <w:style w:type="paragraph" w:styleId="FootnoteText">
    <w:name w:val="footnote text"/>
    <w:basedOn w:val="Normal"/>
    <w:link w:val="FootnoteTextChar"/>
    <w:semiHidden/>
    <w:rsid w:val="00AB074C"/>
    <w:pPr>
      <w:spacing w:before="-1" w:after="-1"/>
    </w:pPr>
    <w:rPr>
      <w:rFonts w:ascii="Georgia" w:hAnsi="Georgia"/>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spacing w:before="-1" w:after="-1"/>
    </w:pPr>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spacing w:before="-1" w:after="-1"/>
    </w:pPr>
    <w:rPr>
      <w:rFonts w:ascii="Georgia" w:hAnsi="Georgia"/>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spacing w:before="-1" w:after="-1"/>
    </w:pPr>
    <w:rPr>
      <w:rFonts w:ascii="Georgia" w:hAnsi="Georgia"/>
    </w:r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pPr>
      <w:spacing w:before="-1" w:after="-1"/>
    </w:pPr>
    <w:rPr>
      <w:rFonts w:ascii="Arial" w:hAnsi="Arial" w:cs="Arial"/>
      <w:b/>
      <w:bCs/>
    </w:rPr>
  </w:style>
  <w:style w:type="paragraph" w:styleId="TableofFigures">
    <w:name w:val="table of figures"/>
    <w:basedOn w:val="Normal"/>
    <w:next w:val="Normal"/>
    <w:semiHidden/>
    <w:rsid w:val="00AB074C"/>
    <w:pPr>
      <w:spacing w:before="-1" w:after="-1"/>
    </w:pPr>
    <w:rPr>
      <w:rFonts w:ascii="Georgia" w:hAnsi="Georgia"/>
    </w:rPr>
  </w:style>
  <w:style w:type="paragraph" w:styleId="EnvelopeAddress">
    <w:name w:val="envelope address"/>
    <w:basedOn w:val="Normal"/>
    <w:semiHidden/>
    <w:rsid w:val="00AB074C"/>
    <w:pPr>
      <w:framePr w:w="7920" w:h="1980" w:hRule="exact" w:hSpace="180" w:wrap="auto" w:hAnchor="page" w:xAlign="center" w:yAlign="bottom"/>
      <w:spacing w:before="-1" w:after="-1"/>
      <w:ind w:left="2880"/>
    </w:pPr>
    <w:rPr>
      <w:rFonts w:ascii="Arial" w:hAnsi="Arial" w:cs="Arial"/>
    </w:rPr>
  </w:style>
  <w:style w:type="paragraph" w:styleId="EnvelopeReturn">
    <w:name w:val="envelope return"/>
    <w:basedOn w:val="Normal"/>
    <w:semiHidden/>
    <w:rsid w:val="00AB074C"/>
    <w:pPr>
      <w:spacing w:before="-1" w:after="-1"/>
    </w:pPr>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spacing w:before="-1" w:after="-1"/>
    </w:pPr>
    <w:rPr>
      <w:rFonts w:ascii="Georgia" w:hAnsi="Georgia"/>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spacing w:before="-1" w:after="-1"/>
      <w:ind w:left="240" w:hanging="240"/>
    </w:pPr>
    <w:rPr>
      <w:rFonts w:ascii="Georgia" w:hAnsi="Georgia"/>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after="-1"/>
    </w:pPr>
    <w:rPr>
      <w:rFonts w:ascii="Arial" w:hAnsi="Arial" w:cs="Arial"/>
      <w:b/>
      <w:bCs/>
    </w:rPr>
  </w:style>
  <w:style w:type="paragraph" w:styleId="List2">
    <w:name w:val="List 2"/>
    <w:basedOn w:val="Normal"/>
    <w:uiPriority w:val="5"/>
    <w:semiHidden/>
    <w:unhideWhenUsed/>
    <w:rsid w:val="00AB074C"/>
    <w:pPr>
      <w:spacing w:before="-1" w:after="-1"/>
      <w:ind w:left="720" w:hanging="360"/>
    </w:pPr>
    <w:rPr>
      <w:rFonts w:ascii="Georgia" w:hAnsi="Georgia"/>
    </w:rPr>
  </w:style>
  <w:style w:type="paragraph" w:styleId="List3">
    <w:name w:val="List 3"/>
    <w:basedOn w:val="Normal"/>
    <w:uiPriority w:val="5"/>
    <w:semiHidden/>
    <w:rsid w:val="00AB074C"/>
    <w:pPr>
      <w:spacing w:before="-1" w:after="-1"/>
      <w:ind w:left="1080" w:hanging="360"/>
    </w:pPr>
    <w:rPr>
      <w:rFonts w:ascii="Georgia" w:hAnsi="Georgia"/>
    </w:rPr>
  </w:style>
  <w:style w:type="paragraph" w:styleId="List4">
    <w:name w:val="List 4"/>
    <w:basedOn w:val="Normal"/>
    <w:uiPriority w:val="5"/>
    <w:semiHidden/>
    <w:rsid w:val="00AB074C"/>
    <w:pPr>
      <w:spacing w:before="-1" w:after="-1"/>
      <w:ind w:left="1440" w:hanging="360"/>
    </w:pPr>
    <w:rPr>
      <w:rFonts w:ascii="Georgia" w:hAnsi="Georgia"/>
    </w:rPr>
  </w:style>
  <w:style w:type="paragraph" w:styleId="List5">
    <w:name w:val="List 5"/>
    <w:basedOn w:val="Normal"/>
    <w:uiPriority w:val="5"/>
    <w:semiHidden/>
    <w:rsid w:val="00AB074C"/>
    <w:pPr>
      <w:spacing w:before="-1" w:after="-1"/>
      <w:ind w:left="1800" w:hanging="360"/>
    </w:pPr>
    <w:rPr>
      <w:rFonts w:ascii="Georgia" w:hAnsi="Georgia"/>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spacing w:before="-1" w:after="-1"/>
    </w:pPr>
    <w:rPr>
      <w:rFonts w:ascii="Georgia" w:hAnsi="Georgia"/>
    </w:rPr>
  </w:style>
  <w:style w:type="paragraph" w:styleId="ListBullet4">
    <w:name w:val="List Bullet 4"/>
    <w:basedOn w:val="Normal"/>
    <w:uiPriority w:val="5"/>
    <w:semiHidden/>
    <w:rsid w:val="00AB074C"/>
    <w:pPr>
      <w:numPr>
        <w:numId w:val="2"/>
      </w:numPr>
      <w:spacing w:before="-1" w:after="-1"/>
    </w:pPr>
    <w:rPr>
      <w:rFonts w:ascii="Georgia" w:hAnsi="Georgia"/>
    </w:rPr>
  </w:style>
  <w:style w:type="paragraph" w:styleId="ListBullet5">
    <w:name w:val="List Bullet 5"/>
    <w:basedOn w:val="Normal"/>
    <w:uiPriority w:val="5"/>
    <w:semiHidden/>
    <w:rsid w:val="00AB074C"/>
    <w:pPr>
      <w:numPr>
        <w:numId w:val="3"/>
      </w:numPr>
      <w:spacing w:before="-1" w:after="-1"/>
    </w:pPr>
    <w:rPr>
      <w:rFonts w:ascii="Georgia" w:hAnsi="Georgia"/>
    </w:rPr>
  </w:style>
  <w:style w:type="paragraph" w:styleId="ListNumber2">
    <w:name w:val="List Number 2"/>
    <w:basedOn w:val="Normal"/>
    <w:uiPriority w:val="5"/>
    <w:semiHidden/>
    <w:unhideWhenUsed/>
    <w:rsid w:val="00AB074C"/>
    <w:pPr>
      <w:numPr>
        <w:numId w:val="4"/>
      </w:numPr>
      <w:spacing w:before="-1" w:after="-1"/>
    </w:pPr>
    <w:rPr>
      <w:rFonts w:ascii="Georgia" w:hAnsi="Georgia"/>
    </w:rPr>
  </w:style>
  <w:style w:type="paragraph" w:styleId="ListNumber3">
    <w:name w:val="List Number 3"/>
    <w:basedOn w:val="Normal"/>
    <w:uiPriority w:val="5"/>
    <w:semiHidden/>
    <w:rsid w:val="00AB074C"/>
    <w:pPr>
      <w:numPr>
        <w:numId w:val="5"/>
      </w:numPr>
      <w:spacing w:before="-1" w:after="-1"/>
    </w:pPr>
    <w:rPr>
      <w:rFonts w:ascii="Georgia" w:hAnsi="Georgia"/>
    </w:rPr>
  </w:style>
  <w:style w:type="paragraph" w:styleId="ListNumber4">
    <w:name w:val="List Number 4"/>
    <w:basedOn w:val="Normal"/>
    <w:uiPriority w:val="5"/>
    <w:semiHidden/>
    <w:rsid w:val="00AB074C"/>
    <w:pPr>
      <w:numPr>
        <w:numId w:val="6"/>
      </w:numPr>
      <w:spacing w:before="-1" w:after="-1"/>
    </w:pPr>
    <w:rPr>
      <w:rFonts w:ascii="Georgia" w:hAnsi="Georgia"/>
    </w:rPr>
  </w:style>
  <w:style w:type="paragraph" w:styleId="ListNumber5">
    <w:name w:val="List Number 5"/>
    <w:basedOn w:val="Normal"/>
    <w:uiPriority w:val="5"/>
    <w:semiHidden/>
    <w:rsid w:val="00AB074C"/>
    <w:pPr>
      <w:numPr>
        <w:numId w:val="7"/>
      </w:numPr>
      <w:spacing w:before="-1" w:after="-1"/>
    </w:pPr>
    <w:rPr>
      <w:rFonts w:ascii="Georgia" w:hAnsi="Georgia"/>
    </w:rPr>
  </w:style>
  <w:style w:type="paragraph" w:styleId="Closing">
    <w:name w:val="Closing"/>
    <w:basedOn w:val="Normal"/>
    <w:link w:val="ClosingChar"/>
    <w:semiHidden/>
    <w:rsid w:val="00AB074C"/>
    <w:pPr>
      <w:spacing w:before="-1" w:after="-1"/>
      <w:ind w:left="4320"/>
    </w:pPr>
    <w:rPr>
      <w:rFonts w:ascii="Georgia" w:hAnsi="Georgia"/>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spacing w:before="-1" w:after="-1"/>
      <w:ind w:left="4320"/>
    </w:pPr>
    <w:rPr>
      <w:rFonts w:ascii="Georgia" w:hAnsi="Georgia"/>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before="-1" w:after="120"/>
      <w:ind w:left="360"/>
    </w:pPr>
    <w:rPr>
      <w:rFonts w:ascii="Georgia" w:hAnsi="Georgia"/>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before="-1" w:after="120"/>
      <w:ind w:left="720"/>
    </w:pPr>
    <w:rPr>
      <w:rFonts w:ascii="Georgia" w:hAnsi="Georgia"/>
    </w:rPr>
  </w:style>
  <w:style w:type="paragraph" w:styleId="ListContinue3">
    <w:name w:val="List Continue 3"/>
    <w:basedOn w:val="Normal"/>
    <w:uiPriority w:val="6"/>
    <w:semiHidden/>
    <w:rsid w:val="00AB074C"/>
    <w:pPr>
      <w:spacing w:before="-1" w:after="120"/>
      <w:ind w:left="1080"/>
    </w:pPr>
    <w:rPr>
      <w:rFonts w:ascii="Georgia" w:hAnsi="Georgia"/>
    </w:rPr>
  </w:style>
  <w:style w:type="paragraph" w:styleId="ListContinue4">
    <w:name w:val="List Continue 4"/>
    <w:basedOn w:val="Normal"/>
    <w:uiPriority w:val="6"/>
    <w:semiHidden/>
    <w:rsid w:val="00AB074C"/>
    <w:pPr>
      <w:spacing w:before="-1" w:after="120"/>
      <w:ind w:left="1440"/>
    </w:pPr>
    <w:rPr>
      <w:rFonts w:ascii="Georgia" w:hAnsi="Georgia"/>
    </w:rPr>
  </w:style>
  <w:style w:type="paragraph" w:styleId="ListContinue5">
    <w:name w:val="List Continue 5"/>
    <w:basedOn w:val="Normal"/>
    <w:uiPriority w:val="6"/>
    <w:semiHidden/>
    <w:rsid w:val="00AB074C"/>
    <w:pPr>
      <w:spacing w:before="-1" w:after="120"/>
      <w:ind w:left="1800"/>
    </w:pPr>
    <w:rPr>
      <w:rFonts w:ascii="Georgia" w:hAnsi="Georgia"/>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spacing w:before="-1" w:after="-1"/>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spacing w:before="-1" w:after="-1"/>
    </w:pPr>
    <w:rPr>
      <w:rFonts w:ascii="Georgia" w:hAnsi="Georgia"/>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spacing w:before="-1" w:after="-1"/>
    </w:pPr>
    <w:rPr>
      <w:rFonts w:ascii="Georgia" w:hAnsi="Georgia"/>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spacing w:before="-1" w:after="-1"/>
    </w:pPr>
    <w:rPr>
      <w:rFonts w:ascii="Georgia" w:hAnsi="Georgia"/>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before="-1" w:after="120" w:line="480" w:lineRule="auto"/>
    </w:pPr>
    <w:rPr>
      <w:rFonts w:ascii="Georgia" w:hAnsi="Georgia"/>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before="-1" w:after="120"/>
    </w:pPr>
    <w:rPr>
      <w:rFonts w:ascii="Georgia" w:hAnsi="Georgia"/>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before="-1" w:after="120" w:line="480" w:lineRule="auto"/>
      <w:ind w:left="360"/>
    </w:pPr>
    <w:rPr>
      <w:rFonts w:ascii="Georgia" w:hAnsi="Georgia"/>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before="-1" w:after="120"/>
      <w:ind w:left="360"/>
    </w:pPr>
    <w:rPr>
      <w:rFonts w:ascii="Georgia" w:hAnsi="Georgia"/>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spacing w:before="-1" w:after="-1"/>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uiPriority w:val="99"/>
    <w:semiHidden/>
    <w:rsid w:val="00AB074C"/>
    <w:pPr>
      <w:spacing w:before="-1" w:after="-1"/>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B074C"/>
    <w:rPr>
      <w:rFonts w:ascii="Courier New" w:hAnsi="Courier New" w:cs="Courier New"/>
    </w:rPr>
  </w:style>
  <w:style w:type="paragraph" w:styleId="E-mailSignature">
    <w:name w:val="E-mail Signature"/>
    <w:basedOn w:val="Normal"/>
    <w:link w:val="E-mailSignatureChar"/>
    <w:semiHidden/>
    <w:rsid w:val="00AB074C"/>
    <w:pPr>
      <w:spacing w:before="-1" w:after="-1"/>
    </w:pPr>
    <w:rPr>
      <w:rFonts w:ascii="Georgia" w:hAnsi="Georgia"/>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spacing w:before="-1" w:after="-1"/>
    </w:pPr>
    <w:rPr>
      <w:rFonts w:ascii="Georgia" w:hAnsi="Georgia"/>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spacing w:before="-1" w:after="-1"/>
    </w:pPr>
    <w:rPr>
      <w:rFonts w:ascii="Georgia" w:hAnsi="Georgia"/>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spacing w:before="-1" w:after="-1"/>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spacing w:before="-1" w:after="-1"/>
    </w:pPr>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0">
    <w:name w:val="Style0"/>
    <w:rsid w:val="00E238DE"/>
    <w:pPr>
      <w:autoSpaceDE w:val="0"/>
      <w:autoSpaceDN w:val="0"/>
      <w:adjustRightInd w:val="0"/>
      <w:spacing w:before="0" w:after="0"/>
    </w:pPr>
    <w:rPr>
      <w:rFonts w:ascii="Arial" w:hAnsi="Arial" w:cs="Arial"/>
    </w:rPr>
  </w:style>
  <w:style w:type="character" w:customStyle="1" w:styleId="linknr1">
    <w:name w:val="linknr1"/>
    <w:basedOn w:val="DefaultParagraphFont"/>
    <w:rsid w:val="005A1E86"/>
    <w:rPr>
      <w:vanish/>
      <w:webHidden w:val="0"/>
      <w:specVanish w:val="0"/>
    </w:rPr>
  </w:style>
  <w:style w:type="character" w:customStyle="1" w:styleId="xbe">
    <w:name w:val="_xbe"/>
    <w:basedOn w:val="DefaultParagraphFont"/>
    <w:rsid w:val="00B3101F"/>
  </w:style>
  <w:style w:type="character" w:styleId="UnresolvedMention">
    <w:name w:val="Unresolved Mention"/>
    <w:basedOn w:val="DefaultParagraphFont"/>
    <w:uiPriority w:val="99"/>
    <w:semiHidden/>
    <w:unhideWhenUsed/>
    <w:rsid w:val="00683011"/>
    <w:rPr>
      <w:color w:val="605E5C"/>
      <w:shd w:val="clear" w:color="auto" w:fill="E1DFDD"/>
    </w:rPr>
  </w:style>
  <w:style w:type="paragraph" w:customStyle="1" w:styleId="Default">
    <w:name w:val="Default"/>
    <w:rsid w:val="00F92CFE"/>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384">
      <w:bodyDiv w:val="1"/>
      <w:marLeft w:val="0"/>
      <w:marRight w:val="0"/>
      <w:marTop w:val="0"/>
      <w:marBottom w:val="0"/>
      <w:divBdr>
        <w:top w:val="none" w:sz="0" w:space="0" w:color="auto"/>
        <w:left w:val="none" w:sz="0" w:space="0" w:color="auto"/>
        <w:bottom w:val="none" w:sz="0" w:space="0" w:color="auto"/>
        <w:right w:val="none" w:sz="0" w:space="0" w:color="auto"/>
      </w:divBdr>
    </w:div>
    <w:div w:id="441849972">
      <w:bodyDiv w:val="1"/>
      <w:marLeft w:val="0"/>
      <w:marRight w:val="0"/>
      <w:marTop w:val="0"/>
      <w:marBottom w:val="0"/>
      <w:divBdr>
        <w:top w:val="none" w:sz="0" w:space="0" w:color="auto"/>
        <w:left w:val="none" w:sz="0" w:space="0" w:color="auto"/>
        <w:bottom w:val="none" w:sz="0" w:space="0" w:color="auto"/>
        <w:right w:val="none" w:sz="0" w:space="0" w:color="auto"/>
      </w:divBdr>
    </w:div>
    <w:div w:id="468472387">
      <w:bodyDiv w:val="1"/>
      <w:marLeft w:val="0"/>
      <w:marRight w:val="0"/>
      <w:marTop w:val="0"/>
      <w:marBottom w:val="0"/>
      <w:divBdr>
        <w:top w:val="none" w:sz="0" w:space="0" w:color="auto"/>
        <w:left w:val="none" w:sz="0" w:space="0" w:color="auto"/>
        <w:bottom w:val="none" w:sz="0" w:space="0" w:color="auto"/>
        <w:right w:val="none" w:sz="0" w:space="0" w:color="auto"/>
      </w:divBdr>
    </w:div>
    <w:div w:id="601651532">
      <w:bodyDiv w:val="1"/>
      <w:marLeft w:val="0"/>
      <w:marRight w:val="0"/>
      <w:marTop w:val="0"/>
      <w:marBottom w:val="0"/>
      <w:divBdr>
        <w:top w:val="none" w:sz="0" w:space="0" w:color="auto"/>
        <w:left w:val="none" w:sz="0" w:space="0" w:color="auto"/>
        <w:bottom w:val="none" w:sz="0" w:space="0" w:color="auto"/>
        <w:right w:val="none" w:sz="0" w:space="0" w:color="auto"/>
      </w:divBdr>
    </w:div>
    <w:div w:id="653872020">
      <w:bodyDiv w:val="1"/>
      <w:marLeft w:val="0"/>
      <w:marRight w:val="0"/>
      <w:marTop w:val="0"/>
      <w:marBottom w:val="0"/>
      <w:divBdr>
        <w:top w:val="none" w:sz="0" w:space="0" w:color="auto"/>
        <w:left w:val="none" w:sz="0" w:space="0" w:color="auto"/>
        <w:bottom w:val="none" w:sz="0" w:space="0" w:color="auto"/>
        <w:right w:val="none" w:sz="0" w:space="0" w:color="auto"/>
      </w:divBdr>
    </w:div>
    <w:div w:id="855657929">
      <w:bodyDiv w:val="1"/>
      <w:marLeft w:val="0"/>
      <w:marRight w:val="0"/>
      <w:marTop w:val="0"/>
      <w:marBottom w:val="0"/>
      <w:divBdr>
        <w:top w:val="none" w:sz="0" w:space="0" w:color="auto"/>
        <w:left w:val="none" w:sz="0" w:space="0" w:color="auto"/>
        <w:bottom w:val="none" w:sz="0" w:space="0" w:color="auto"/>
        <w:right w:val="none" w:sz="0" w:space="0" w:color="auto"/>
      </w:divBdr>
    </w:div>
    <w:div w:id="862137436">
      <w:bodyDiv w:val="1"/>
      <w:marLeft w:val="0"/>
      <w:marRight w:val="0"/>
      <w:marTop w:val="0"/>
      <w:marBottom w:val="0"/>
      <w:divBdr>
        <w:top w:val="none" w:sz="0" w:space="0" w:color="auto"/>
        <w:left w:val="none" w:sz="0" w:space="0" w:color="auto"/>
        <w:bottom w:val="none" w:sz="0" w:space="0" w:color="auto"/>
        <w:right w:val="none" w:sz="0" w:space="0" w:color="auto"/>
      </w:divBdr>
    </w:div>
    <w:div w:id="994652608">
      <w:bodyDiv w:val="1"/>
      <w:marLeft w:val="0"/>
      <w:marRight w:val="0"/>
      <w:marTop w:val="0"/>
      <w:marBottom w:val="0"/>
      <w:divBdr>
        <w:top w:val="none" w:sz="0" w:space="0" w:color="auto"/>
        <w:left w:val="none" w:sz="0" w:space="0" w:color="auto"/>
        <w:bottom w:val="none" w:sz="0" w:space="0" w:color="auto"/>
        <w:right w:val="none" w:sz="0" w:space="0" w:color="auto"/>
      </w:divBdr>
    </w:div>
    <w:div w:id="999624820">
      <w:bodyDiv w:val="1"/>
      <w:marLeft w:val="0"/>
      <w:marRight w:val="0"/>
      <w:marTop w:val="0"/>
      <w:marBottom w:val="0"/>
      <w:divBdr>
        <w:top w:val="none" w:sz="0" w:space="0" w:color="auto"/>
        <w:left w:val="none" w:sz="0" w:space="0" w:color="auto"/>
        <w:bottom w:val="none" w:sz="0" w:space="0" w:color="auto"/>
        <w:right w:val="none" w:sz="0" w:space="0" w:color="auto"/>
      </w:divBdr>
    </w:div>
    <w:div w:id="1029724591">
      <w:bodyDiv w:val="1"/>
      <w:marLeft w:val="0"/>
      <w:marRight w:val="0"/>
      <w:marTop w:val="0"/>
      <w:marBottom w:val="0"/>
      <w:divBdr>
        <w:top w:val="none" w:sz="0" w:space="0" w:color="auto"/>
        <w:left w:val="none" w:sz="0" w:space="0" w:color="auto"/>
        <w:bottom w:val="none" w:sz="0" w:space="0" w:color="auto"/>
        <w:right w:val="none" w:sz="0" w:space="0" w:color="auto"/>
      </w:divBdr>
    </w:div>
    <w:div w:id="1072846512">
      <w:bodyDiv w:val="1"/>
      <w:marLeft w:val="0"/>
      <w:marRight w:val="0"/>
      <w:marTop w:val="0"/>
      <w:marBottom w:val="0"/>
      <w:divBdr>
        <w:top w:val="none" w:sz="0" w:space="0" w:color="auto"/>
        <w:left w:val="none" w:sz="0" w:space="0" w:color="auto"/>
        <w:bottom w:val="none" w:sz="0" w:space="0" w:color="auto"/>
        <w:right w:val="none" w:sz="0" w:space="0" w:color="auto"/>
      </w:divBdr>
    </w:div>
    <w:div w:id="1135030984">
      <w:bodyDiv w:val="1"/>
      <w:marLeft w:val="0"/>
      <w:marRight w:val="0"/>
      <w:marTop w:val="0"/>
      <w:marBottom w:val="0"/>
      <w:divBdr>
        <w:top w:val="none" w:sz="0" w:space="0" w:color="auto"/>
        <w:left w:val="none" w:sz="0" w:space="0" w:color="auto"/>
        <w:bottom w:val="none" w:sz="0" w:space="0" w:color="auto"/>
        <w:right w:val="none" w:sz="0" w:space="0" w:color="auto"/>
      </w:divBdr>
    </w:div>
    <w:div w:id="1218201225">
      <w:bodyDiv w:val="1"/>
      <w:marLeft w:val="0"/>
      <w:marRight w:val="0"/>
      <w:marTop w:val="0"/>
      <w:marBottom w:val="0"/>
      <w:divBdr>
        <w:top w:val="none" w:sz="0" w:space="0" w:color="auto"/>
        <w:left w:val="none" w:sz="0" w:space="0" w:color="auto"/>
        <w:bottom w:val="none" w:sz="0" w:space="0" w:color="auto"/>
        <w:right w:val="none" w:sz="0" w:space="0" w:color="auto"/>
      </w:divBdr>
    </w:div>
    <w:div w:id="1232351146">
      <w:bodyDiv w:val="1"/>
      <w:marLeft w:val="0"/>
      <w:marRight w:val="0"/>
      <w:marTop w:val="0"/>
      <w:marBottom w:val="0"/>
      <w:divBdr>
        <w:top w:val="none" w:sz="0" w:space="0" w:color="auto"/>
        <w:left w:val="none" w:sz="0" w:space="0" w:color="auto"/>
        <w:bottom w:val="none" w:sz="0" w:space="0" w:color="auto"/>
        <w:right w:val="none" w:sz="0" w:space="0" w:color="auto"/>
      </w:divBdr>
    </w:div>
    <w:div w:id="1247694231">
      <w:bodyDiv w:val="1"/>
      <w:marLeft w:val="0"/>
      <w:marRight w:val="0"/>
      <w:marTop w:val="0"/>
      <w:marBottom w:val="0"/>
      <w:divBdr>
        <w:top w:val="none" w:sz="0" w:space="0" w:color="auto"/>
        <w:left w:val="none" w:sz="0" w:space="0" w:color="auto"/>
        <w:bottom w:val="none" w:sz="0" w:space="0" w:color="auto"/>
        <w:right w:val="none" w:sz="0" w:space="0" w:color="auto"/>
      </w:divBdr>
    </w:div>
    <w:div w:id="1416711096">
      <w:bodyDiv w:val="1"/>
      <w:marLeft w:val="0"/>
      <w:marRight w:val="0"/>
      <w:marTop w:val="0"/>
      <w:marBottom w:val="0"/>
      <w:divBdr>
        <w:top w:val="none" w:sz="0" w:space="0" w:color="auto"/>
        <w:left w:val="none" w:sz="0" w:space="0" w:color="auto"/>
        <w:bottom w:val="none" w:sz="0" w:space="0" w:color="auto"/>
        <w:right w:val="none" w:sz="0" w:space="0" w:color="auto"/>
      </w:divBdr>
    </w:div>
    <w:div w:id="1481725488">
      <w:bodyDiv w:val="1"/>
      <w:marLeft w:val="0"/>
      <w:marRight w:val="0"/>
      <w:marTop w:val="0"/>
      <w:marBottom w:val="0"/>
      <w:divBdr>
        <w:top w:val="none" w:sz="0" w:space="0" w:color="auto"/>
        <w:left w:val="none" w:sz="0" w:space="0" w:color="auto"/>
        <w:bottom w:val="none" w:sz="0" w:space="0" w:color="auto"/>
        <w:right w:val="none" w:sz="0" w:space="0" w:color="auto"/>
      </w:divBdr>
    </w:div>
    <w:div w:id="1501852742">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576161401">
      <w:bodyDiv w:val="1"/>
      <w:marLeft w:val="0"/>
      <w:marRight w:val="0"/>
      <w:marTop w:val="0"/>
      <w:marBottom w:val="0"/>
      <w:divBdr>
        <w:top w:val="none" w:sz="0" w:space="0" w:color="auto"/>
        <w:left w:val="none" w:sz="0" w:space="0" w:color="auto"/>
        <w:bottom w:val="none" w:sz="0" w:space="0" w:color="auto"/>
        <w:right w:val="none" w:sz="0" w:space="0" w:color="auto"/>
      </w:divBdr>
    </w:div>
    <w:div w:id="1785229700">
      <w:bodyDiv w:val="1"/>
      <w:marLeft w:val="0"/>
      <w:marRight w:val="0"/>
      <w:marTop w:val="0"/>
      <w:marBottom w:val="0"/>
      <w:divBdr>
        <w:top w:val="none" w:sz="0" w:space="0" w:color="auto"/>
        <w:left w:val="none" w:sz="0" w:space="0" w:color="auto"/>
        <w:bottom w:val="none" w:sz="0" w:space="0" w:color="auto"/>
        <w:right w:val="none" w:sz="0" w:space="0" w:color="auto"/>
      </w:divBdr>
    </w:div>
    <w:div w:id="1993681100">
      <w:bodyDiv w:val="1"/>
      <w:marLeft w:val="0"/>
      <w:marRight w:val="0"/>
      <w:marTop w:val="0"/>
      <w:marBottom w:val="0"/>
      <w:divBdr>
        <w:top w:val="none" w:sz="0" w:space="0" w:color="auto"/>
        <w:left w:val="none" w:sz="0" w:space="0" w:color="auto"/>
        <w:bottom w:val="none" w:sz="0" w:space="0" w:color="auto"/>
        <w:right w:val="none" w:sz="0" w:space="0" w:color="auto"/>
      </w:divBdr>
    </w:div>
    <w:div w:id="21407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CEQ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utreach@tceq.texas.gov" TargetMode="External"/><Relationship Id="rId4" Type="http://schemas.openxmlformats.org/officeDocument/2006/relationships/settings" Target="settings.xml"/><Relationship Id="rId9" Type="http://schemas.openxmlformats.org/officeDocument/2006/relationships/hyperlink" Target="mailto:Outreach@tceq.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610C-D535-448E-A5CD-FFE52CA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meeting summary</dc:title>
  <dc:subject>WQAWG Agenda</dc:subject>
  <dc:creator>TCEQ</dc:creator>
  <cp:lastModifiedBy>Donan Akplogan</cp:lastModifiedBy>
  <cp:revision>3</cp:revision>
  <cp:lastPrinted>2020-10-15T20:52:00Z</cp:lastPrinted>
  <dcterms:created xsi:type="dcterms:W3CDTF">2022-10-04T18:17:00Z</dcterms:created>
  <dcterms:modified xsi:type="dcterms:W3CDTF">2022-10-06T18:32:00Z</dcterms:modified>
  <cp:contentStatus/>
</cp:coreProperties>
</file>