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10" w:rsidRPr="00E81C05" w:rsidRDefault="006D4C98" w:rsidP="00E81C05">
      <w:pPr>
        <w:pStyle w:val="Heading1"/>
        <w:jc w:val="center"/>
        <w:rPr>
          <w:sz w:val="32"/>
        </w:rPr>
      </w:pPr>
      <w:bookmarkStart w:id="0" w:name="_GoBack"/>
      <w:bookmarkEnd w:id="0"/>
      <w:r w:rsidRPr="00E81C05"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69FEAC02" wp14:editId="6A19C66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E81C05">
        <w:rPr>
          <w:sz w:val="32"/>
        </w:rPr>
        <w:t>National Comments</w:t>
      </w:r>
    </w:p>
    <w:p w:rsidR="00971E10" w:rsidRPr="00E81C05" w:rsidRDefault="00DA4BA8" w:rsidP="00E81C05">
      <w:pPr>
        <w:pStyle w:val="Heading1"/>
        <w:jc w:val="center"/>
        <w:rPr>
          <w:sz w:val="32"/>
        </w:rPr>
      </w:pPr>
      <w:r w:rsidRPr="00E81C05">
        <w:rPr>
          <w:sz w:val="32"/>
        </w:rPr>
        <w:t>Executive Review Summary</w:t>
      </w:r>
    </w:p>
    <w:p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:rsidR="00E81C05" w:rsidRDefault="00E81C05" w:rsidP="00E81C05">
      <w:pPr>
        <w:pStyle w:val="Heading1"/>
        <w:rPr>
          <w:rStyle w:val="Strong"/>
          <w:b/>
          <w:bCs/>
        </w:rPr>
      </w:pPr>
    </w:p>
    <w:p w:rsidR="001312CB" w:rsidRPr="00912843" w:rsidRDefault="00DA4BA8" w:rsidP="00947976">
      <w:pPr>
        <w:pStyle w:val="Heading1"/>
        <w:rPr>
          <w:rFonts w:eastAsiaTheme="minorHAnsi"/>
          <w:szCs w:val="24"/>
        </w:rPr>
      </w:pPr>
      <w:r w:rsidRPr="00912843">
        <w:rPr>
          <w:rStyle w:val="Strong"/>
          <w:b/>
          <w:bCs/>
          <w:szCs w:val="24"/>
        </w:rPr>
        <w:t>TCEQ Proposed Comments On</w:t>
      </w:r>
      <w:r w:rsidR="00C21680" w:rsidRPr="00912843">
        <w:rPr>
          <w:rStyle w:val="Strong"/>
          <w:b/>
          <w:bCs/>
          <w:szCs w:val="24"/>
        </w:rPr>
        <w:t>:</w:t>
      </w:r>
      <w:r w:rsidR="00BA541B" w:rsidRPr="00912843">
        <w:rPr>
          <w:rStyle w:val="Strong"/>
          <w:b/>
          <w:bCs/>
          <w:szCs w:val="24"/>
        </w:rPr>
        <w:t xml:space="preserve"> </w:t>
      </w:r>
    </w:p>
    <w:p w:rsidR="00662966" w:rsidRPr="00912843" w:rsidRDefault="005F1027" w:rsidP="0039302E">
      <w:pPr>
        <w:pStyle w:val="BodyText"/>
        <w:spacing w:before="80"/>
        <w:rPr>
          <w:sz w:val="24"/>
        </w:rPr>
      </w:pPr>
      <w:r>
        <w:rPr>
          <w:sz w:val="24"/>
        </w:rPr>
        <w:t xml:space="preserve">Docket ID No. </w:t>
      </w:r>
      <w:r w:rsidR="0039302E" w:rsidRPr="0039302E">
        <w:rPr>
          <w:sz w:val="24"/>
        </w:rPr>
        <w:t>EPA–HQ–OAR–2014–0464; FRL–9943–02–</w:t>
      </w:r>
      <w:r w:rsidR="0039302E">
        <w:rPr>
          <w:sz w:val="24"/>
        </w:rPr>
        <w:t xml:space="preserve">OAR </w:t>
      </w:r>
      <w:r w:rsidR="00C20EE0" w:rsidRPr="00912843">
        <w:rPr>
          <w:sz w:val="24"/>
        </w:rPr>
        <w:t>8</w:t>
      </w:r>
      <w:r w:rsidR="0039302E">
        <w:rPr>
          <w:sz w:val="24"/>
        </w:rPr>
        <w:t>1</w:t>
      </w:r>
      <w:r w:rsidR="00C20EE0" w:rsidRPr="00912843">
        <w:rPr>
          <w:sz w:val="24"/>
        </w:rPr>
        <w:t xml:space="preserve"> </w:t>
      </w:r>
      <w:r w:rsidR="00662966" w:rsidRPr="00912843">
        <w:rPr>
          <w:i/>
          <w:sz w:val="24"/>
        </w:rPr>
        <w:t>Federal Register</w:t>
      </w:r>
      <w:r w:rsidR="00662966" w:rsidRPr="00912843">
        <w:rPr>
          <w:sz w:val="24"/>
        </w:rPr>
        <w:t xml:space="preserve"> </w:t>
      </w:r>
      <w:r w:rsidR="0039302E">
        <w:rPr>
          <w:sz w:val="24"/>
        </w:rPr>
        <w:t>10563</w:t>
      </w:r>
      <w:r w:rsidR="002624E8">
        <w:rPr>
          <w:sz w:val="24"/>
        </w:rPr>
        <w:t>,</w:t>
      </w:r>
      <w:r w:rsidR="00662966" w:rsidRPr="00912843">
        <w:rPr>
          <w:sz w:val="24"/>
        </w:rPr>
        <w:t xml:space="preserve"> </w:t>
      </w:r>
      <w:r w:rsidR="0039302E">
        <w:rPr>
          <w:sz w:val="24"/>
        </w:rPr>
        <w:t>March 1</w:t>
      </w:r>
      <w:r w:rsidR="00662966" w:rsidRPr="00912843">
        <w:rPr>
          <w:sz w:val="24"/>
        </w:rPr>
        <w:t>, 201</w:t>
      </w:r>
      <w:r w:rsidR="0039302E">
        <w:rPr>
          <w:sz w:val="24"/>
        </w:rPr>
        <w:t>6</w:t>
      </w:r>
      <w:r w:rsidR="00C20EE0" w:rsidRPr="00912843">
        <w:rPr>
          <w:sz w:val="24"/>
        </w:rPr>
        <w:t>,</w:t>
      </w:r>
      <w:r w:rsidR="00662966" w:rsidRPr="00912843">
        <w:rPr>
          <w:sz w:val="24"/>
        </w:rPr>
        <w:t xml:space="preserve"> </w:t>
      </w:r>
      <w:r w:rsidR="0039302E" w:rsidRPr="0039302E">
        <w:rPr>
          <w:sz w:val="24"/>
        </w:rPr>
        <w:t>EPA Responses to Certain State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Designation Recommendations for the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2010 Sulfur Dioxide National Ambient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Air Quality Standard: Notice of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Availability and Public Comment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Period</w:t>
      </w:r>
    </w:p>
    <w:p w:rsidR="00971E10" w:rsidRPr="00912843" w:rsidRDefault="00DA4BA8" w:rsidP="00947976">
      <w:pPr>
        <w:pStyle w:val="Heading1"/>
        <w:tabs>
          <w:tab w:val="left" w:pos="2610"/>
        </w:tabs>
        <w:rPr>
          <w:rStyle w:val="Strong"/>
          <w:b/>
          <w:bCs/>
          <w:szCs w:val="24"/>
        </w:rPr>
      </w:pPr>
      <w:r w:rsidRPr="00912843">
        <w:rPr>
          <w:rStyle w:val="Strong"/>
          <w:b/>
          <w:bCs/>
          <w:szCs w:val="24"/>
        </w:rPr>
        <w:t>Overview of Proposal</w:t>
      </w:r>
      <w:r w:rsidR="00C21680" w:rsidRPr="00912843">
        <w:rPr>
          <w:rStyle w:val="Strong"/>
          <w:b/>
          <w:bCs/>
          <w:szCs w:val="24"/>
        </w:rPr>
        <w:t>:</w:t>
      </w:r>
    </w:p>
    <w:p w:rsidR="00E46F92" w:rsidRDefault="00BA541B" w:rsidP="0039302E">
      <w:pPr>
        <w:pStyle w:val="BodyText"/>
        <w:spacing w:before="80"/>
        <w:rPr>
          <w:sz w:val="24"/>
        </w:rPr>
      </w:pPr>
      <w:r w:rsidRPr="002624E8">
        <w:rPr>
          <w:sz w:val="24"/>
        </w:rPr>
        <w:t>On</w:t>
      </w:r>
      <w:r w:rsidR="0039302E">
        <w:rPr>
          <w:sz w:val="24"/>
        </w:rPr>
        <w:t xml:space="preserve"> March 1, 2016</w:t>
      </w:r>
      <w:r w:rsidRPr="002624E8">
        <w:rPr>
          <w:sz w:val="24"/>
        </w:rPr>
        <w:t xml:space="preserve">, the United States Environmental Protection Agency (EPA) published in the </w:t>
      </w:r>
      <w:r w:rsidRPr="002624E8">
        <w:rPr>
          <w:i/>
          <w:sz w:val="24"/>
        </w:rPr>
        <w:t>Federal Register</w:t>
      </w:r>
      <w:r w:rsidRPr="002624E8">
        <w:rPr>
          <w:sz w:val="24"/>
        </w:rPr>
        <w:t xml:space="preserve"> a</w:t>
      </w:r>
      <w:r w:rsidR="005F1027" w:rsidRPr="002624E8">
        <w:rPr>
          <w:sz w:val="24"/>
        </w:rPr>
        <w:t xml:space="preserve"> </w:t>
      </w:r>
      <w:r w:rsidR="0039302E">
        <w:rPr>
          <w:sz w:val="24"/>
        </w:rPr>
        <w:t>notice of availability and comment regarding responses to</w:t>
      </w:r>
      <w:r w:rsidR="0039302E" w:rsidRPr="0039302E">
        <w:rPr>
          <w:sz w:val="24"/>
        </w:rPr>
        <w:t xml:space="preserve"> state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designation recommendations for the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2010 Sulfur Dioxide (SO</w:t>
      </w:r>
      <w:r w:rsidR="0039302E" w:rsidRPr="000A799F">
        <w:rPr>
          <w:sz w:val="24"/>
          <w:vertAlign w:val="subscript"/>
        </w:rPr>
        <w:t>2</w:t>
      </w:r>
      <w:r w:rsidR="0039302E" w:rsidRPr="0039302E">
        <w:rPr>
          <w:sz w:val="24"/>
        </w:rPr>
        <w:t>) National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Ambient Air Quality Standard</w:t>
      </w:r>
      <w:r w:rsidR="0039302E">
        <w:rPr>
          <w:sz w:val="24"/>
        </w:rPr>
        <w:t xml:space="preserve"> </w:t>
      </w:r>
      <w:r w:rsidR="0039302E" w:rsidRPr="0039302E">
        <w:rPr>
          <w:sz w:val="24"/>
        </w:rPr>
        <w:t>(NAAQS). The EPA invite</w:t>
      </w:r>
      <w:r w:rsidR="0039302E">
        <w:rPr>
          <w:sz w:val="24"/>
        </w:rPr>
        <w:t>d</w:t>
      </w:r>
      <w:r w:rsidR="0039302E" w:rsidRPr="0039302E">
        <w:rPr>
          <w:sz w:val="24"/>
        </w:rPr>
        <w:t xml:space="preserve"> public review and </w:t>
      </w:r>
      <w:r w:rsidR="0039302E">
        <w:rPr>
          <w:sz w:val="24"/>
        </w:rPr>
        <w:t xml:space="preserve">comment </w:t>
      </w:r>
      <w:r w:rsidR="0039302E" w:rsidRPr="0039302E">
        <w:rPr>
          <w:sz w:val="24"/>
        </w:rPr>
        <w:t xml:space="preserve">on responses </w:t>
      </w:r>
      <w:r w:rsidR="0039302E">
        <w:rPr>
          <w:sz w:val="24"/>
        </w:rPr>
        <w:t xml:space="preserve">sent </w:t>
      </w:r>
      <w:r w:rsidR="0039302E" w:rsidRPr="0039302E">
        <w:rPr>
          <w:sz w:val="24"/>
        </w:rPr>
        <w:t>directly to the states</w:t>
      </w:r>
      <w:r w:rsidR="0039302E">
        <w:rPr>
          <w:sz w:val="24"/>
        </w:rPr>
        <w:t xml:space="preserve"> in Febru</w:t>
      </w:r>
      <w:r w:rsidR="0039302E" w:rsidRPr="0039302E">
        <w:rPr>
          <w:sz w:val="24"/>
        </w:rPr>
        <w:t xml:space="preserve">ary 2016. </w:t>
      </w:r>
    </w:p>
    <w:p w:rsidR="005600E5" w:rsidRDefault="0039302E" w:rsidP="000A799F">
      <w:pPr>
        <w:pStyle w:val="BodyText"/>
        <w:spacing w:before="80"/>
        <w:rPr>
          <w:sz w:val="24"/>
        </w:rPr>
      </w:pPr>
      <w:r w:rsidRPr="0039302E">
        <w:rPr>
          <w:sz w:val="24"/>
        </w:rPr>
        <w:t xml:space="preserve">On June 2, 2010, </w:t>
      </w:r>
      <w:r w:rsidR="005600E5">
        <w:rPr>
          <w:sz w:val="24"/>
        </w:rPr>
        <w:t>t</w:t>
      </w:r>
      <w:r w:rsidRPr="0039302E">
        <w:rPr>
          <w:sz w:val="24"/>
        </w:rPr>
        <w:t>he EPA established the revised primary SO</w:t>
      </w:r>
      <w:r w:rsidRPr="000A799F">
        <w:rPr>
          <w:sz w:val="24"/>
          <w:vertAlign w:val="subscript"/>
        </w:rPr>
        <w:t>2</w:t>
      </w:r>
      <w:r w:rsidRPr="0039302E">
        <w:rPr>
          <w:sz w:val="24"/>
        </w:rPr>
        <w:t xml:space="preserve"> NAAQS at 75</w:t>
      </w:r>
      <w:r>
        <w:rPr>
          <w:sz w:val="24"/>
        </w:rPr>
        <w:t xml:space="preserve"> parts per billion (ppb). </w:t>
      </w:r>
      <w:r w:rsidRPr="0039302E">
        <w:rPr>
          <w:sz w:val="24"/>
        </w:rPr>
        <w:t>The process for designating areas</w:t>
      </w:r>
      <w:r>
        <w:rPr>
          <w:sz w:val="24"/>
        </w:rPr>
        <w:t xml:space="preserve"> </w:t>
      </w:r>
      <w:r w:rsidRPr="0039302E">
        <w:rPr>
          <w:sz w:val="24"/>
        </w:rPr>
        <w:t>following promulgation of a new or</w:t>
      </w:r>
      <w:r>
        <w:rPr>
          <w:sz w:val="24"/>
        </w:rPr>
        <w:t xml:space="preserve"> </w:t>
      </w:r>
      <w:r w:rsidRPr="0039302E">
        <w:rPr>
          <w:sz w:val="24"/>
        </w:rPr>
        <w:t>revised NAAQS is contained in the</w:t>
      </w:r>
      <w:r>
        <w:rPr>
          <w:sz w:val="24"/>
        </w:rPr>
        <w:t xml:space="preserve"> </w:t>
      </w:r>
      <w:r w:rsidRPr="0039302E">
        <w:rPr>
          <w:sz w:val="24"/>
        </w:rPr>
        <w:t>Clean Air Act (CAA) section 107(d) (42</w:t>
      </w:r>
      <w:r>
        <w:rPr>
          <w:sz w:val="24"/>
        </w:rPr>
        <w:t xml:space="preserve"> </w:t>
      </w:r>
      <w:r w:rsidRPr="0039302E">
        <w:rPr>
          <w:sz w:val="24"/>
        </w:rPr>
        <w:t>U.S.C. 7407). After promulgation of a</w:t>
      </w:r>
      <w:r>
        <w:rPr>
          <w:sz w:val="24"/>
        </w:rPr>
        <w:t xml:space="preserve"> </w:t>
      </w:r>
      <w:r w:rsidRPr="0039302E">
        <w:rPr>
          <w:sz w:val="24"/>
        </w:rPr>
        <w:t>new or revised NAAQS, each governor</w:t>
      </w:r>
      <w:r>
        <w:rPr>
          <w:sz w:val="24"/>
        </w:rPr>
        <w:t xml:space="preserve"> </w:t>
      </w:r>
      <w:r w:rsidRPr="0039302E">
        <w:rPr>
          <w:sz w:val="24"/>
        </w:rPr>
        <w:t>or tribal leader has an opportunity to</w:t>
      </w:r>
      <w:r>
        <w:rPr>
          <w:sz w:val="24"/>
        </w:rPr>
        <w:t xml:space="preserve"> </w:t>
      </w:r>
      <w:r w:rsidRPr="0039302E">
        <w:rPr>
          <w:sz w:val="24"/>
        </w:rPr>
        <w:t>recommend air quality designations,</w:t>
      </w:r>
      <w:r>
        <w:rPr>
          <w:sz w:val="24"/>
        </w:rPr>
        <w:t xml:space="preserve"> </w:t>
      </w:r>
      <w:r w:rsidRPr="0039302E">
        <w:rPr>
          <w:sz w:val="24"/>
        </w:rPr>
        <w:t>including the appropriate boundaries</w:t>
      </w:r>
      <w:r w:rsidR="000A799F">
        <w:rPr>
          <w:sz w:val="24"/>
        </w:rPr>
        <w:t xml:space="preserve"> </w:t>
      </w:r>
      <w:r w:rsidRPr="0039302E">
        <w:rPr>
          <w:sz w:val="24"/>
        </w:rPr>
        <w:t xml:space="preserve">for nonattainment areas, to the EPA. </w:t>
      </w:r>
      <w:r w:rsidR="005600E5">
        <w:rPr>
          <w:sz w:val="24"/>
        </w:rPr>
        <w:t xml:space="preserve">Texas did this on </w:t>
      </w:r>
      <w:r w:rsidR="005600E5" w:rsidRPr="005600E5">
        <w:rPr>
          <w:sz w:val="24"/>
        </w:rPr>
        <w:t>September 18, 2015</w:t>
      </w:r>
      <w:r w:rsidR="005600E5">
        <w:rPr>
          <w:sz w:val="24"/>
        </w:rPr>
        <w:t>.</w:t>
      </w:r>
    </w:p>
    <w:p w:rsidR="00AB0328" w:rsidRDefault="0039302E" w:rsidP="000A799F">
      <w:pPr>
        <w:pStyle w:val="BodyText"/>
        <w:spacing w:before="80"/>
        <w:rPr>
          <w:sz w:val="24"/>
        </w:rPr>
      </w:pPr>
      <w:r w:rsidRPr="0039302E">
        <w:rPr>
          <w:sz w:val="24"/>
        </w:rPr>
        <w:t>By no</w:t>
      </w:r>
      <w:r>
        <w:rPr>
          <w:sz w:val="24"/>
        </w:rPr>
        <w:t xml:space="preserve"> </w:t>
      </w:r>
      <w:r w:rsidRPr="0039302E">
        <w:rPr>
          <w:sz w:val="24"/>
        </w:rPr>
        <w:t>later than 120 days prior to</w:t>
      </w:r>
      <w:r>
        <w:rPr>
          <w:sz w:val="24"/>
        </w:rPr>
        <w:t xml:space="preserve"> </w:t>
      </w:r>
      <w:r w:rsidRPr="0039302E">
        <w:rPr>
          <w:sz w:val="24"/>
        </w:rPr>
        <w:t>promulgating designations, the EPA is</w:t>
      </w:r>
      <w:r>
        <w:rPr>
          <w:sz w:val="24"/>
        </w:rPr>
        <w:t xml:space="preserve"> </w:t>
      </w:r>
      <w:r w:rsidRPr="0039302E">
        <w:rPr>
          <w:sz w:val="24"/>
        </w:rPr>
        <w:t>required to notify states and tribes, as</w:t>
      </w:r>
      <w:r>
        <w:rPr>
          <w:sz w:val="24"/>
        </w:rPr>
        <w:t xml:space="preserve"> </w:t>
      </w:r>
      <w:r w:rsidRPr="0039302E">
        <w:rPr>
          <w:sz w:val="24"/>
        </w:rPr>
        <w:t>appropriate, of any intended</w:t>
      </w:r>
      <w:r>
        <w:rPr>
          <w:sz w:val="24"/>
        </w:rPr>
        <w:t xml:space="preserve"> </w:t>
      </w:r>
      <w:r w:rsidRPr="0039302E">
        <w:rPr>
          <w:sz w:val="24"/>
        </w:rPr>
        <w:t>modifications to an area designation or</w:t>
      </w:r>
      <w:r w:rsidR="000A799F">
        <w:rPr>
          <w:sz w:val="24"/>
        </w:rPr>
        <w:t xml:space="preserve"> </w:t>
      </w:r>
      <w:r w:rsidRPr="0039302E">
        <w:rPr>
          <w:sz w:val="24"/>
        </w:rPr>
        <w:t xml:space="preserve">boundary recommendation that </w:t>
      </w:r>
      <w:r w:rsidR="000A799F">
        <w:rPr>
          <w:sz w:val="24"/>
        </w:rPr>
        <w:t xml:space="preserve">it </w:t>
      </w:r>
      <w:r w:rsidRPr="0039302E">
        <w:rPr>
          <w:sz w:val="24"/>
        </w:rPr>
        <w:t>deems necessary.</w:t>
      </w:r>
      <w:r w:rsidR="000A799F">
        <w:rPr>
          <w:sz w:val="24"/>
        </w:rPr>
        <w:t xml:space="preserve"> </w:t>
      </w:r>
      <w:r w:rsidR="00AB0328">
        <w:rPr>
          <w:sz w:val="24"/>
        </w:rPr>
        <w:t xml:space="preserve">This notification is commonly called the “120-day letter” and it is the subject of this notice. Texas is expected to respond to the EPA’s </w:t>
      </w:r>
      <w:r w:rsidR="005600E5">
        <w:rPr>
          <w:sz w:val="24"/>
        </w:rPr>
        <w:t xml:space="preserve">120-day letter </w:t>
      </w:r>
      <w:r w:rsidR="00AB0328">
        <w:rPr>
          <w:sz w:val="24"/>
        </w:rPr>
        <w:t>designation recommendation directly by April 19, 2016</w:t>
      </w:r>
      <w:r w:rsidR="005600E5">
        <w:rPr>
          <w:sz w:val="24"/>
        </w:rPr>
        <w:t xml:space="preserve"> but is also responding to this notice for the purpose of ensuring these comments are included in the docket.</w:t>
      </w:r>
    </w:p>
    <w:p w:rsidR="0039302E" w:rsidRDefault="0039302E" w:rsidP="000A799F">
      <w:pPr>
        <w:pStyle w:val="BodyText"/>
        <w:spacing w:before="80"/>
        <w:rPr>
          <w:sz w:val="24"/>
        </w:rPr>
      </w:pPr>
      <w:r w:rsidRPr="0039302E">
        <w:rPr>
          <w:sz w:val="24"/>
        </w:rPr>
        <w:t>Pursuant to a March 2,</w:t>
      </w:r>
      <w:r w:rsidR="000A799F">
        <w:rPr>
          <w:sz w:val="24"/>
        </w:rPr>
        <w:t xml:space="preserve"> </w:t>
      </w:r>
      <w:r w:rsidRPr="0039302E">
        <w:rPr>
          <w:sz w:val="24"/>
        </w:rPr>
        <w:t>2015, court-ordered schedule, the EPA</w:t>
      </w:r>
      <w:r w:rsidR="000A799F">
        <w:rPr>
          <w:sz w:val="24"/>
        </w:rPr>
        <w:t xml:space="preserve"> </w:t>
      </w:r>
      <w:r w:rsidRPr="0039302E">
        <w:rPr>
          <w:sz w:val="24"/>
        </w:rPr>
        <w:t>must complete SO</w:t>
      </w:r>
      <w:r w:rsidRPr="000A799F">
        <w:rPr>
          <w:sz w:val="24"/>
          <w:vertAlign w:val="subscript"/>
        </w:rPr>
        <w:t>2</w:t>
      </w:r>
      <w:r w:rsidRPr="0039302E">
        <w:rPr>
          <w:sz w:val="24"/>
        </w:rPr>
        <w:t xml:space="preserve"> designations by</w:t>
      </w:r>
      <w:r w:rsidR="00AB0328">
        <w:rPr>
          <w:sz w:val="24"/>
        </w:rPr>
        <w:t xml:space="preserve"> specific deadlines </w:t>
      </w:r>
      <w:r w:rsidR="000A799F">
        <w:rPr>
          <w:sz w:val="24"/>
        </w:rPr>
        <w:t xml:space="preserve">depending on the circumstances of the area. </w:t>
      </w:r>
      <w:r w:rsidRPr="0039302E">
        <w:rPr>
          <w:sz w:val="24"/>
        </w:rPr>
        <w:t xml:space="preserve">This </w:t>
      </w:r>
      <w:r w:rsidR="000A799F">
        <w:rPr>
          <w:sz w:val="24"/>
        </w:rPr>
        <w:t xml:space="preserve">notice </w:t>
      </w:r>
      <w:r w:rsidRPr="0039302E">
        <w:rPr>
          <w:sz w:val="24"/>
        </w:rPr>
        <w:t>addresses two groups of</w:t>
      </w:r>
      <w:r w:rsidR="000A799F">
        <w:rPr>
          <w:sz w:val="24"/>
        </w:rPr>
        <w:t xml:space="preserve"> </w:t>
      </w:r>
      <w:r w:rsidRPr="0039302E">
        <w:rPr>
          <w:sz w:val="24"/>
        </w:rPr>
        <w:t xml:space="preserve">areas: (1) </w:t>
      </w:r>
      <w:r w:rsidR="00CF5235">
        <w:rPr>
          <w:sz w:val="24"/>
        </w:rPr>
        <w:t>a</w:t>
      </w:r>
      <w:r w:rsidRPr="0039302E">
        <w:rPr>
          <w:sz w:val="24"/>
        </w:rPr>
        <w:t>reas that have newly</w:t>
      </w:r>
      <w:r w:rsidR="000A799F">
        <w:rPr>
          <w:sz w:val="24"/>
        </w:rPr>
        <w:t xml:space="preserve"> </w:t>
      </w:r>
      <w:r w:rsidRPr="0039302E">
        <w:rPr>
          <w:sz w:val="24"/>
        </w:rPr>
        <w:t>monitored violations of the 2010 SO</w:t>
      </w:r>
      <w:r w:rsidRPr="00AB0328">
        <w:rPr>
          <w:sz w:val="24"/>
          <w:vertAlign w:val="subscript"/>
        </w:rPr>
        <w:t>2</w:t>
      </w:r>
      <w:r w:rsidR="000A799F">
        <w:rPr>
          <w:sz w:val="24"/>
        </w:rPr>
        <w:t xml:space="preserve"> </w:t>
      </w:r>
      <w:r w:rsidRPr="0039302E">
        <w:rPr>
          <w:sz w:val="24"/>
        </w:rPr>
        <w:t>NAAQS</w:t>
      </w:r>
      <w:r w:rsidR="00CF5235">
        <w:rPr>
          <w:sz w:val="24"/>
        </w:rPr>
        <w:t>;</w:t>
      </w:r>
      <w:r w:rsidRPr="0039302E">
        <w:rPr>
          <w:sz w:val="24"/>
        </w:rPr>
        <w:t xml:space="preserve"> and (2) areas that contain any</w:t>
      </w:r>
      <w:r w:rsidR="00AB0328">
        <w:rPr>
          <w:sz w:val="24"/>
        </w:rPr>
        <w:t xml:space="preserve"> </w:t>
      </w:r>
      <w:r w:rsidRPr="0039302E">
        <w:rPr>
          <w:sz w:val="24"/>
        </w:rPr>
        <w:t>stationary sources that had not been</w:t>
      </w:r>
      <w:r w:rsidR="000A799F">
        <w:rPr>
          <w:sz w:val="24"/>
        </w:rPr>
        <w:t xml:space="preserve"> </w:t>
      </w:r>
      <w:r w:rsidRPr="0039302E">
        <w:rPr>
          <w:sz w:val="24"/>
        </w:rPr>
        <w:t>announced as of March 2, 2015, for</w:t>
      </w:r>
      <w:r w:rsidR="000A799F">
        <w:rPr>
          <w:sz w:val="24"/>
        </w:rPr>
        <w:t xml:space="preserve"> </w:t>
      </w:r>
      <w:r w:rsidRPr="0039302E">
        <w:rPr>
          <w:sz w:val="24"/>
        </w:rPr>
        <w:t>retirement and that according to the</w:t>
      </w:r>
      <w:r w:rsidR="000A799F">
        <w:rPr>
          <w:sz w:val="24"/>
        </w:rPr>
        <w:t xml:space="preserve"> </w:t>
      </w:r>
      <w:r w:rsidRPr="0039302E">
        <w:rPr>
          <w:sz w:val="24"/>
        </w:rPr>
        <w:t>EPA’s Air Markets Database emitted in</w:t>
      </w:r>
      <w:r w:rsidR="000A799F">
        <w:rPr>
          <w:sz w:val="24"/>
        </w:rPr>
        <w:t xml:space="preserve"> </w:t>
      </w:r>
      <w:r w:rsidRPr="0039302E">
        <w:rPr>
          <w:sz w:val="24"/>
        </w:rPr>
        <w:t>2012 either (i) more than 16,000 tons of</w:t>
      </w:r>
      <w:r w:rsidR="000A799F">
        <w:rPr>
          <w:sz w:val="24"/>
        </w:rPr>
        <w:t xml:space="preserve"> </w:t>
      </w:r>
      <w:r w:rsidRPr="0039302E">
        <w:rPr>
          <w:sz w:val="24"/>
        </w:rPr>
        <w:t>SO</w:t>
      </w:r>
      <w:r w:rsidRPr="000A799F">
        <w:rPr>
          <w:sz w:val="24"/>
          <w:vertAlign w:val="subscript"/>
        </w:rPr>
        <w:t>2</w:t>
      </w:r>
      <w:r w:rsidRPr="0039302E">
        <w:rPr>
          <w:sz w:val="24"/>
        </w:rPr>
        <w:t>, or (ii) more than 2,600 tons of SO</w:t>
      </w:r>
      <w:r w:rsidRPr="000A799F">
        <w:rPr>
          <w:sz w:val="24"/>
          <w:vertAlign w:val="subscript"/>
        </w:rPr>
        <w:t>2</w:t>
      </w:r>
      <w:r w:rsidR="000A799F">
        <w:rPr>
          <w:sz w:val="24"/>
        </w:rPr>
        <w:t xml:space="preserve"> </w:t>
      </w:r>
      <w:r w:rsidRPr="0039302E">
        <w:rPr>
          <w:sz w:val="24"/>
        </w:rPr>
        <w:t>with an annual average emission rate of</w:t>
      </w:r>
      <w:r w:rsidR="000A799F">
        <w:rPr>
          <w:sz w:val="24"/>
        </w:rPr>
        <w:t xml:space="preserve"> </w:t>
      </w:r>
      <w:r w:rsidRPr="0039302E">
        <w:rPr>
          <w:sz w:val="24"/>
        </w:rPr>
        <w:t>at least 0.45 pounds of SO</w:t>
      </w:r>
      <w:r w:rsidRPr="00CF5235">
        <w:rPr>
          <w:sz w:val="24"/>
          <w:vertAlign w:val="subscript"/>
        </w:rPr>
        <w:t>2</w:t>
      </w:r>
      <w:r w:rsidRPr="0039302E">
        <w:rPr>
          <w:sz w:val="24"/>
        </w:rPr>
        <w:t>/mmBTU.</w:t>
      </w:r>
      <w:r w:rsidR="000A799F">
        <w:rPr>
          <w:sz w:val="24"/>
        </w:rPr>
        <w:t xml:space="preserve"> </w:t>
      </w:r>
      <w:r w:rsidR="00AB0328" w:rsidRPr="0039302E">
        <w:rPr>
          <w:sz w:val="24"/>
        </w:rPr>
        <w:t>The EPA</w:t>
      </w:r>
      <w:r w:rsidR="00AB0328">
        <w:rPr>
          <w:sz w:val="24"/>
        </w:rPr>
        <w:t xml:space="preserve"> </w:t>
      </w:r>
      <w:r w:rsidR="00AB0328" w:rsidRPr="0039302E">
        <w:rPr>
          <w:sz w:val="24"/>
        </w:rPr>
        <w:t>intends to make final the designation</w:t>
      </w:r>
      <w:r w:rsidR="00AB0328">
        <w:rPr>
          <w:sz w:val="24"/>
        </w:rPr>
        <w:t xml:space="preserve"> </w:t>
      </w:r>
      <w:r w:rsidR="00AB0328" w:rsidRPr="0039302E">
        <w:rPr>
          <w:sz w:val="24"/>
        </w:rPr>
        <w:t>determinations for the areas of the</w:t>
      </w:r>
      <w:r w:rsidR="00AB0328">
        <w:rPr>
          <w:sz w:val="24"/>
        </w:rPr>
        <w:t xml:space="preserve"> </w:t>
      </w:r>
      <w:r w:rsidR="00AB0328" w:rsidRPr="0039302E">
        <w:rPr>
          <w:sz w:val="24"/>
        </w:rPr>
        <w:t>country addressed by these responses</w:t>
      </w:r>
      <w:r w:rsidR="00AB0328">
        <w:rPr>
          <w:sz w:val="24"/>
        </w:rPr>
        <w:t xml:space="preserve"> </w:t>
      </w:r>
      <w:r w:rsidR="00AB0328" w:rsidRPr="0039302E">
        <w:rPr>
          <w:sz w:val="24"/>
        </w:rPr>
        <w:t>no later than July 2, 2016.</w:t>
      </w:r>
    </w:p>
    <w:p w:rsidR="00C21680" w:rsidRDefault="00DA4BA8" w:rsidP="00947976">
      <w:pPr>
        <w:pStyle w:val="Heading1"/>
        <w:rPr>
          <w:rStyle w:val="Strong"/>
          <w:b/>
          <w:bCs/>
          <w:szCs w:val="24"/>
        </w:rPr>
      </w:pPr>
      <w:r w:rsidRPr="00912843">
        <w:rPr>
          <w:rStyle w:val="Strong"/>
          <w:b/>
          <w:bCs/>
          <w:szCs w:val="24"/>
        </w:rPr>
        <w:t>Summary of Comments</w:t>
      </w:r>
      <w:r w:rsidR="00C21680" w:rsidRPr="00912843">
        <w:rPr>
          <w:rStyle w:val="Strong"/>
          <w:b/>
          <w:bCs/>
          <w:szCs w:val="24"/>
        </w:rPr>
        <w:t>:</w:t>
      </w:r>
    </w:p>
    <w:p w:rsidR="005600E5" w:rsidRDefault="005600E5" w:rsidP="005600E5">
      <w:pPr>
        <w:pStyle w:val="BodyText"/>
        <w:numPr>
          <w:ilvl w:val="0"/>
          <w:numId w:val="10"/>
        </w:numPr>
        <w:rPr>
          <w:sz w:val="24"/>
        </w:rPr>
      </w:pPr>
      <w:r w:rsidRPr="001D30C3">
        <w:rPr>
          <w:sz w:val="24"/>
        </w:rPr>
        <w:t>The TCEQ agrees with the EPA’s designations</w:t>
      </w:r>
      <w:r>
        <w:rPr>
          <w:sz w:val="24"/>
        </w:rPr>
        <w:t xml:space="preserve"> that are</w:t>
      </w:r>
      <w:r w:rsidRPr="001D30C3">
        <w:rPr>
          <w:sz w:val="24"/>
        </w:rPr>
        <w:t xml:space="preserve"> consistent with Governor Abbott’s September 18, 2015 recommendation </w:t>
      </w:r>
      <w:r>
        <w:rPr>
          <w:sz w:val="24"/>
        </w:rPr>
        <w:t>(u</w:t>
      </w:r>
      <w:r w:rsidRPr="001D30C3">
        <w:rPr>
          <w:sz w:val="24"/>
        </w:rPr>
        <w:t>nclassifiable/attainment designations for Atascosa, Goliad, Lamb, Limestone, and Robertson Counties</w:t>
      </w:r>
      <w:r>
        <w:rPr>
          <w:sz w:val="24"/>
        </w:rPr>
        <w:t xml:space="preserve">). </w:t>
      </w:r>
    </w:p>
    <w:p w:rsidR="005600E5" w:rsidRDefault="005600E5" w:rsidP="00456374">
      <w:pPr>
        <w:pStyle w:val="BodyText"/>
        <w:numPr>
          <w:ilvl w:val="0"/>
          <w:numId w:val="10"/>
        </w:numPr>
        <w:rPr>
          <w:sz w:val="24"/>
        </w:rPr>
      </w:pPr>
      <w:r w:rsidRPr="005600E5">
        <w:rPr>
          <w:sz w:val="24"/>
        </w:rPr>
        <w:t xml:space="preserve">The EPA should </w:t>
      </w:r>
      <w:r w:rsidR="00E53611">
        <w:rPr>
          <w:sz w:val="24"/>
        </w:rPr>
        <w:t>change</w:t>
      </w:r>
      <w:r w:rsidRPr="005600E5">
        <w:rPr>
          <w:sz w:val="24"/>
        </w:rPr>
        <w:t xml:space="preserve"> its </w:t>
      </w:r>
      <w:r w:rsidR="00E53611">
        <w:rPr>
          <w:sz w:val="24"/>
        </w:rPr>
        <w:t xml:space="preserve">proposed </w:t>
      </w:r>
      <w:r w:rsidRPr="005600E5">
        <w:rPr>
          <w:sz w:val="24"/>
        </w:rPr>
        <w:t>designations for McLennan, Milam, Potter, and Fort Bend Counties, and portions of Freestone, Anderson, Rusk, Gregg, Panola, and Titus Counties.</w:t>
      </w:r>
    </w:p>
    <w:p w:rsidR="005600E5" w:rsidRDefault="005600E5" w:rsidP="00456374">
      <w:pPr>
        <w:pStyle w:val="BodyText"/>
        <w:numPr>
          <w:ilvl w:val="0"/>
          <w:numId w:val="10"/>
        </w:numPr>
        <w:rPr>
          <w:sz w:val="24"/>
        </w:rPr>
      </w:pPr>
      <w:r w:rsidRPr="005600E5">
        <w:rPr>
          <w:sz w:val="24"/>
        </w:rPr>
        <w:lastRenderedPageBreak/>
        <w:t>The EPA’s proposed designations of unclassifiable for McLennan County and nonattainment for a portion of Gregg County dismiss the monitor</w:t>
      </w:r>
      <w:r>
        <w:rPr>
          <w:sz w:val="24"/>
        </w:rPr>
        <w:t>ing</w:t>
      </w:r>
      <w:r w:rsidRPr="005600E5">
        <w:rPr>
          <w:sz w:val="24"/>
        </w:rPr>
        <w:t xml:space="preserve"> data in those counties</w:t>
      </w:r>
      <w:r w:rsidR="00D5304F">
        <w:rPr>
          <w:sz w:val="24"/>
        </w:rPr>
        <w:t>.</w:t>
      </w:r>
      <w:r w:rsidRPr="005600E5">
        <w:rPr>
          <w:sz w:val="24"/>
        </w:rPr>
        <w:t xml:space="preserve"> The Governor</w:t>
      </w:r>
      <w:r>
        <w:rPr>
          <w:sz w:val="24"/>
        </w:rPr>
        <w:t>’s</w:t>
      </w:r>
      <w:r w:rsidRPr="005600E5">
        <w:rPr>
          <w:sz w:val="24"/>
        </w:rPr>
        <w:t xml:space="preserve"> attainment designations recommend</w:t>
      </w:r>
      <w:r>
        <w:rPr>
          <w:sz w:val="24"/>
        </w:rPr>
        <w:t xml:space="preserve">ations </w:t>
      </w:r>
      <w:r w:rsidR="00D5304F">
        <w:rPr>
          <w:sz w:val="24"/>
        </w:rPr>
        <w:t xml:space="preserve">for </w:t>
      </w:r>
      <w:r>
        <w:rPr>
          <w:sz w:val="24"/>
        </w:rPr>
        <w:t>these c</w:t>
      </w:r>
      <w:r w:rsidRPr="005600E5">
        <w:rPr>
          <w:sz w:val="24"/>
        </w:rPr>
        <w:t>ounties were based on quality-assured 2012 through 2014 ambient air monitoring data.</w:t>
      </w:r>
      <w:r w:rsidR="00044738">
        <w:rPr>
          <w:sz w:val="24"/>
        </w:rPr>
        <w:t xml:space="preserve"> Further, McLennan County should not be designated at this time because Sandy Creek Power Station’s 2012 actual emissions are below the emissions threshold established in the EPA’s consent decree.</w:t>
      </w:r>
    </w:p>
    <w:p w:rsidR="00D5304F" w:rsidRDefault="00D5304F" w:rsidP="005600E5">
      <w:pPr>
        <w:pStyle w:val="BodyText"/>
        <w:numPr>
          <w:ilvl w:val="0"/>
          <w:numId w:val="10"/>
        </w:numPr>
        <w:rPr>
          <w:sz w:val="24"/>
        </w:rPr>
      </w:pPr>
      <w:r w:rsidRPr="005600E5">
        <w:rPr>
          <w:sz w:val="24"/>
        </w:rPr>
        <w:t xml:space="preserve">The EPA </w:t>
      </w:r>
      <w:r>
        <w:rPr>
          <w:sz w:val="24"/>
        </w:rPr>
        <w:t>should</w:t>
      </w:r>
      <w:r w:rsidRPr="005600E5">
        <w:rPr>
          <w:sz w:val="24"/>
        </w:rPr>
        <w:t xml:space="preserve"> revise its proposed designation for Gregg County to attainment to comply with federal regulations, specifically 40 Code of Federal Regulations (CFR) Section 50.17(b)</w:t>
      </w:r>
      <w:r>
        <w:rPr>
          <w:rStyle w:val="FootnoteReference"/>
          <w:sz w:val="24"/>
        </w:rPr>
        <w:footnoteReference w:id="1"/>
      </w:r>
      <w:r w:rsidRPr="005600E5">
        <w:rPr>
          <w:sz w:val="24"/>
        </w:rPr>
        <w:t>, and to reflect the observed air quality data from the regulatory monitor locate</w:t>
      </w:r>
      <w:r>
        <w:rPr>
          <w:sz w:val="24"/>
        </w:rPr>
        <w:t>d in that portion of the county (</w:t>
      </w:r>
      <w:r w:rsidR="005600E5" w:rsidRPr="005600E5">
        <w:rPr>
          <w:sz w:val="24"/>
        </w:rPr>
        <w:t>TCEQ’s Longview SO</w:t>
      </w:r>
      <w:r w:rsidR="005600E5" w:rsidRPr="005600E5">
        <w:rPr>
          <w:sz w:val="24"/>
          <w:vertAlign w:val="subscript"/>
        </w:rPr>
        <w:t>2</w:t>
      </w:r>
      <w:r w:rsidR="005600E5" w:rsidRPr="005600E5">
        <w:rPr>
          <w:sz w:val="24"/>
        </w:rPr>
        <w:t xml:space="preserve"> monitor 48-183-0001</w:t>
      </w:r>
      <w:r>
        <w:rPr>
          <w:sz w:val="24"/>
        </w:rPr>
        <w:t xml:space="preserve"> </w:t>
      </w:r>
      <w:r w:rsidR="005600E5" w:rsidRPr="005600E5">
        <w:rPr>
          <w:sz w:val="24"/>
        </w:rPr>
        <w:t>has continuously monitored attainment of the 2010 SO</w:t>
      </w:r>
      <w:r w:rsidR="005600E5" w:rsidRPr="005600E5">
        <w:rPr>
          <w:sz w:val="24"/>
          <w:vertAlign w:val="subscript"/>
        </w:rPr>
        <w:t>2</w:t>
      </w:r>
      <w:r w:rsidR="005600E5" w:rsidRPr="005600E5">
        <w:rPr>
          <w:sz w:val="24"/>
        </w:rPr>
        <w:t xml:space="preserve"> NAAQS since the NAAQS was promulgated</w:t>
      </w:r>
      <w:r>
        <w:rPr>
          <w:sz w:val="24"/>
        </w:rPr>
        <w:t>)</w:t>
      </w:r>
      <w:r w:rsidR="005600E5" w:rsidRPr="005600E5">
        <w:rPr>
          <w:sz w:val="24"/>
        </w:rPr>
        <w:t>.</w:t>
      </w:r>
    </w:p>
    <w:p w:rsidR="00044738" w:rsidRDefault="005600E5" w:rsidP="002C46F3">
      <w:pPr>
        <w:pStyle w:val="BodyText"/>
        <w:numPr>
          <w:ilvl w:val="0"/>
          <w:numId w:val="10"/>
        </w:numPr>
        <w:rPr>
          <w:sz w:val="24"/>
        </w:rPr>
      </w:pPr>
      <w:r w:rsidRPr="00D5304F">
        <w:rPr>
          <w:sz w:val="24"/>
        </w:rPr>
        <w:t xml:space="preserve">The nonattainment designations that </w:t>
      </w:r>
      <w:r w:rsidR="00BB2D35">
        <w:rPr>
          <w:sz w:val="24"/>
        </w:rPr>
        <w:t xml:space="preserve">the </w:t>
      </w:r>
      <w:r w:rsidRPr="00D5304F">
        <w:rPr>
          <w:sz w:val="24"/>
        </w:rPr>
        <w:t>EPA proposes for portions of Freestone, Anderson, Rusk, Gregg, Panola, and Titus Counties appear to have been based solely on third-party, non-peer reviewed, modeling</w:t>
      </w:r>
      <w:r w:rsidR="00044738">
        <w:rPr>
          <w:sz w:val="24"/>
        </w:rPr>
        <w:t xml:space="preserve"> that has errors and clearly overestimates actual SO</w:t>
      </w:r>
      <w:r w:rsidR="00044738" w:rsidRPr="00044738">
        <w:rPr>
          <w:sz w:val="24"/>
          <w:vertAlign w:val="subscript"/>
        </w:rPr>
        <w:t>2</w:t>
      </w:r>
      <w:r w:rsidR="00044738">
        <w:rPr>
          <w:sz w:val="24"/>
        </w:rPr>
        <w:t xml:space="preserve"> concentrations as evidenced by the actual monitoring data</w:t>
      </w:r>
      <w:r w:rsidR="003B4BF2">
        <w:rPr>
          <w:sz w:val="24"/>
        </w:rPr>
        <w:t xml:space="preserve"> in the proposed Gregg County nonattainment area</w:t>
      </w:r>
      <w:r w:rsidRPr="00D5304F">
        <w:rPr>
          <w:sz w:val="24"/>
        </w:rPr>
        <w:t>.</w:t>
      </w:r>
    </w:p>
    <w:p w:rsidR="00D5304F" w:rsidRPr="00647D9C" w:rsidRDefault="00044738" w:rsidP="00044738">
      <w:pPr>
        <w:pStyle w:val="ListParagraph"/>
        <w:numPr>
          <w:ilvl w:val="0"/>
          <w:numId w:val="10"/>
        </w:numPr>
        <w:rPr>
          <w:rFonts w:ascii="Georgia" w:eastAsia="Calibri" w:hAnsi="Georgia"/>
        </w:rPr>
      </w:pPr>
      <w:r w:rsidRPr="00044738">
        <w:rPr>
          <w:rFonts w:ascii="Georgia" w:eastAsia="Calibri" w:hAnsi="Georgia"/>
        </w:rPr>
        <w:t xml:space="preserve">The TCEQ also disagrees with the proposed nonattainment designations for portions of Anderson and Panola Counties as their contributions to their respective proposed nonattainment areas are </w:t>
      </w:r>
      <w:r w:rsidRPr="00647D9C">
        <w:rPr>
          <w:rFonts w:ascii="Georgia" w:eastAsia="Calibri" w:hAnsi="Georgia"/>
        </w:rPr>
        <w:t>negligible, and therefore including portions of these counties is unnecessary to control additional SO</w:t>
      </w:r>
      <w:r w:rsidRPr="00647D9C">
        <w:rPr>
          <w:rFonts w:ascii="Georgia" w:eastAsia="Calibri" w:hAnsi="Georgia"/>
          <w:vertAlign w:val="subscript"/>
        </w:rPr>
        <w:t>2</w:t>
      </w:r>
      <w:r w:rsidRPr="00647D9C">
        <w:rPr>
          <w:rFonts w:ascii="Georgia" w:eastAsia="Calibri" w:hAnsi="Georgia"/>
        </w:rPr>
        <w:t xml:space="preserve"> sources and should be designated as unclassifiable/attainment.  </w:t>
      </w:r>
    </w:p>
    <w:p w:rsidR="005600E5" w:rsidRPr="00647D9C" w:rsidRDefault="005600E5" w:rsidP="002C46F3">
      <w:pPr>
        <w:pStyle w:val="BodyText"/>
        <w:numPr>
          <w:ilvl w:val="0"/>
          <w:numId w:val="10"/>
        </w:numPr>
        <w:rPr>
          <w:sz w:val="24"/>
        </w:rPr>
      </w:pPr>
      <w:r w:rsidRPr="00647D9C">
        <w:rPr>
          <w:sz w:val="24"/>
        </w:rPr>
        <w:t>For Fort Bend, Milam, and Potter Counties, the recommended unclassifiable/attainment designations are more appropriate than the EPA’s unclassifiable designation because no SO</w:t>
      </w:r>
      <w:r w:rsidRPr="00647D9C">
        <w:rPr>
          <w:sz w:val="24"/>
          <w:vertAlign w:val="subscript"/>
        </w:rPr>
        <w:t>2</w:t>
      </w:r>
      <w:r w:rsidRPr="00647D9C">
        <w:rPr>
          <w:sz w:val="24"/>
        </w:rPr>
        <w:t xml:space="preserve"> monitoring data exists for </w:t>
      </w:r>
      <w:r w:rsidR="008D7850" w:rsidRPr="00647D9C">
        <w:rPr>
          <w:sz w:val="24"/>
        </w:rPr>
        <w:t>Fort Bend and Milam Counties and the regulatory monitor in Potter County does not have three complete years of data but has been monitoring well below the standard</w:t>
      </w:r>
      <w:r w:rsidRPr="00647D9C">
        <w:rPr>
          <w:sz w:val="24"/>
        </w:rPr>
        <w:t xml:space="preserve">. </w:t>
      </w:r>
    </w:p>
    <w:p w:rsidR="005600E5" w:rsidRPr="00647D9C" w:rsidRDefault="005600E5" w:rsidP="005600E5"/>
    <w:p w:rsidR="00DA5C55" w:rsidRPr="00912843" w:rsidRDefault="0059440F" w:rsidP="00947976">
      <w:pPr>
        <w:spacing w:before="60"/>
        <w:rPr>
          <w:rFonts w:ascii="Georgia" w:hAnsi="Georgia"/>
        </w:rPr>
      </w:pPr>
      <w:r w:rsidRPr="00647D9C">
        <w:rPr>
          <w:rStyle w:val="Strong"/>
          <w:rFonts w:ascii="Georgia" w:hAnsi="Georgia"/>
        </w:rPr>
        <w:t xml:space="preserve">Lead Office: </w:t>
      </w:r>
      <w:r w:rsidRPr="00647D9C">
        <w:rPr>
          <w:rStyle w:val="Strong"/>
          <w:rFonts w:ascii="Georgia" w:hAnsi="Georgia"/>
          <w:b w:val="0"/>
        </w:rPr>
        <w:t>Office of Air/Air Quality Division</w:t>
      </w:r>
    </w:p>
    <w:p w:rsidR="0059440F" w:rsidRPr="00912843" w:rsidRDefault="0059440F" w:rsidP="00947976">
      <w:pPr>
        <w:spacing w:before="60"/>
        <w:rPr>
          <w:rStyle w:val="Strong"/>
          <w:rFonts w:ascii="Georgia" w:hAnsi="Georgia"/>
          <w:b w:val="0"/>
        </w:rPr>
      </w:pPr>
      <w:r w:rsidRPr="00912843">
        <w:rPr>
          <w:rStyle w:val="Strong"/>
          <w:rFonts w:ascii="Georgia" w:hAnsi="Georgia"/>
        </w:rPr>
        <w:t xml:space="preserve">Internal Coordination: </w:t>
      </w:r>
      <w:r w:rsidR="00AB0328" w:rsidRPr="00AB0328">
        <w:rPr>
          <w:rStyle w:val="Strong"/>
          <w:rFonts w:ascii="Georgia" w:hAnsi="Georgia"/>
          <w:b w:val="0"/>
        </w:rPr>
        <w:t>Walker Williamson</w:t>
      </w:r>
      <w:r w:rsidRPr="00912843">
        <w:rPr>
          <w:rStyle w:val="Strong"/>
          <w:rFonts w:ascii="Georgia" w:hAnsi="Georgia"/>
          <w:b w:val="0"/>
        </w:rPr>
        <w:t>/OA/AQD/Air Quality Planning Section</w:t>
      </w:r>
    </w:p>
    <w:p w:rsidR="0059440F" w:rsidRPr="00912843" w:rsidRDefault="0059440F" w:rsidP="00947976">
      <w:pPr>
        <w:spacing w:before="60"/>
        <w:rPr>
          <w:rStyle w:val="Strong"/>
          <w:rFonts w:ascii="Georgia" w:hAnsi="Georgia"/>
          <w:b w:val="0"/>
        </w:rPr>
      </w:pPr>
      <w:r w:rsidRPr="00912843">
        <w:rPr>
          <w:rStyle w:val="Strong"/>
          <w:rFonts w:ascii="Georgia" w:hAnsi="Georgia"/>
        </w:rPr>
        <w:t>Office of Legal Services:</w:t>
      </w:r>
      <w:r w:rsidR="00BA3756" w:rsidRPr="00912843">
        <w:rPr>
          <w:rStyle w:val="Strong"/>
          <w:rFonts w:ascii="Georgia" w:hAnsi="Georgia"/>
          <w:b w:val="0"/>
        </w:rPr>
        <w:t xml:space="preserve"> </w:t>
      </w:r>
      <w:r w:rsidR="002624E8">
        <w:rPr>
          <w:rStyle w:val="Strong"/>
          <w:rFonts w:ascii="Georgia" w:hAnsi="Georgia"/>
          <w:b w:val="0"/>
        </w:rPr>
        <w:t>Terry Salem and John Minter</w:t>
      </w:r>
      <w:r w:rsidR="00F93214">
        <w:rPr>
          <w:rStyle w:val="Strong"/>
          <w:rFonts w:ascii="Georgia" w:hAnsi="Georgia"/>
          <w:b w:val="0"/>
        </w:rPr>
        <w:t>/</w:t>
      </w:r>
      <w:r w:rsidRPr="00912843">
        <w:rPr>
          <w:rStyle w:val="Strong"/>
          <w:rFonts w:ascii="Georgia" w:hAnsi="Georgia"/>
          <w:b w:val="0"/>
        </w:rPr>
        <w:t>OLS/Environmental Law Division</w:t>
      </w:r>
    </w:p>
    <w:p w:rsidR="0059440F" w:rsidRPr="00912843" w:rsidRDefault="0059440F" w:rsidP="00947976">
      <w:pPr>
        <w:spacing w:before="60"/>
        <w:rPr>
          <w:rStyle w:val="Strong"/>
          <w:rFonts w:ascii="Georgia" w:hAnsi="Georgia"/>
          <w:b w:val="0"/>
        </w:rPr>
      </w:pPr>
      <w:r w:rsidRPr="00912843">
        <w:rPr>
          <w:rStyle w:val="Strong"/>
          <w:rFonts w:ascii="Georgia" w:hAnsi="Georgia"/>
        </w:rPr>
        <w:t xml:space="preserve">Deputy Director Approval: </w:t>
      </w:r>
      <w:r w:rsidRPr="00912843">
        <w:rPr>
          <w:rStyle w:val="Strong"/>
          <w:rFonts w:ascii="Georgia" w:hAnsi="Georgia"/>
          <w:b w:val="0"/>
        </w:rPr>
        <w:t>Steve Hagle, P.E./Office of Air</w:t>
      </w:r>
    </w:p>
    <w:p w:rsidR="00971E10" w:rsidRPr="00912843" w:rsidRDefault="00DC5E8F" w:rsidP="00947976">
      <w:pPr>
        <w:spacing w:before="60"/>
        <w:rPr>
          <w:rFonts w:ascii="Georgia" w:hAnsi="Georgia"/>
        </w:rPr>
      </w:pPr>
      <w:r w:rsidRPr="00912843">
        <w:rPr>
          <w:rStyle w:val="Strong"/>
          <w:rFonts w:ascii="Georgia" w:hAnsi="Georgia"/>
        </w:rPr>
        <w:t xml:space="preserve">EPA </w:t>
      </w:r>
      <w:r w:rsidR="00DA4BA8" w:rsidRPr="00912843">
        <w:rPr>
          <w:rStyle w:val="Strong"/>
          <w:rFonts w:ascii="Georgia" w:hAnsi="Georgia"/>
        </w:rPr>
        <w:t>Deadline</w:t>
      </w:r>
      <w:r w:rsidR="00C21680" w:rsidRPr="00912843">
        <w:rPr>
          <w:rStyle w:val="Strong"/>
          <w:rFonts w:ascii="Georgia" w:hAnsi="Georgia"/>
        </w:rPr>
        <w:t>:</w:t>
      </w:r>
      <w:r w:rsidR="005600E5">
        <w:rPr>
          <w:rStyle w:val="Strong"/>
          <w:rFonts w:ascii="Georgia" w:hAnsi="Georgia"/>
        </w:rPr>
        <w:t xml:space="preserve"> </w:t>
      </w:r>
      <w:r w:rsidR="005600E5" w:rsidRPr="005600E5">
        <w:rPr>
          <w:rStyle w:val="Strong"/>
          <w:rFonts w:ascii="Georgia" w:hAnsi="Georgia"/>
          <w:b w:val="0"/>
        </w:rPr>
        <w:t>March 31</w:t>
      </w:r>
      <w:r w:rsidR="002E045E" w:rsidRPr="00912843">
        <w:rPr>
          <w:rStyle w:val="Strong"/>
          <w:rFonts w:ascii="Georgia" w:hAnsi="Georgia"/>
          <w:b w:val="0"/>
          <w:bCs w:val="0"/>
        </w:rPr>
        <w:t>, 201</w:t>
      </w:r>
      <w:r w:rsidR="002624E8">
        <w:rPr>
          <w:rStyle w:val="Strong"/>
          <w:rFonts w:ascii="Georgia" w:hAnsi="Georgia"/>
          <w:b w:val="0"/>
          <w:bCs w:val="0"/>
        </w:rPr>
        <w:t>6</w:t>
      </w:r>
    </w:p>
    <w:sectPr w:rsidR="00971E10" w:rsidRPr="00912843" w:rsidSect="00F858E8">
      <w:footerReference w:type="default" r:id="rId9"/>
      <w:pgSz w:w="12240" w:h="15840"/>
      <w:pgMar w:top="1152" w:right="1152" w:bottom="1008" w:left="1440" w:header="720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00" w:rsidRDefault="00CD3800">
      <w:r>
        <w:separator/>
      </w:r>
    </w:p>
  </w:endnote>
  <w:endnote w:type="continuationSeparator" w:id="0">
    <w:p w:rsidR="00CD3800" w:rsidRDefault="00C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6A" w:rsidRPr="00B02E65" w:rsidRDefault="0031646A" w:rsidP="005B2D52">
    <w:pPr>
      <w:spacing w:before="240"/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 xml:space="preserve">TCEQ 20374 (Rev. </w:t>
    </w:r>
    <w:r>
      <w:rPr>
        <w:rFonts w:ascii="Georgia" w:hAnsi="Georgia" w:cs="Tahoma"/>
        <w:sz w:val="16"/>
        <w:szCs w:val="16"/>
      </w:rPr>
      <w:t>1</w:t>
    </w:r>
    <w:r w:rsidRPr="00B02E65">
      <w:rPr>
        <w:rFonts w:ascii="Georgia" w:hAnsi="Georgia" w:cs="Tahoma"/>
        <w:sz w:val="16"/>
        <w:szCs w:val="16"/>
      </w:rPr>
      <w:t>/20</w:t>
    </w:r>
    <w:r>
      <w:rPr>
        <w:rFonts w:ascii="Georgia" w:hAnsi="Georgia" w:cs="Tahoma"/>
        <w:sz w:val="16"/>
        <w:szCs w:val="16"/>
      </w:rPr>
      <w:t>11</w:t>
    </w:r>
    <w:r w:rsidRPr="00B02E65">
      <w:rPr>
        <w:rFonts w:ascii="Georgia" w:hAnsi="Georgia" w:cs="Tahoma"/>
        <w:sz w:val="16"/>
        <w:szCs w:val="16"/>
      </w:rPr>
      <w:t>)</w:t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="0051545E" w:rsidRPr="00B02E65">
      <w:rPr>
        <w:rStyle w:val="PageNumber"/>
        <w:rFonts w:ascii="Georgia" w:hAnsi="Georgia"/>
        <w:sz w:val="16"/>
        <w:szCs w:val="16"/>
      </w:rPr>
      <w:fldChar w:fldCharType="separate"/>
    </w:r>
    <w:r w:rsidR="004F5116">
      <w:rPr>
        <w:rStyle w:val="PageNumber"/>
        <w:rFonts w:ascii="Georgia" w:hAnsi="Georgia"/>
        <w:noProof/>
        <w:sz w:val="16"/>
        <w:szCs w:val="16"/>
      </w:rPr>
      <w:t>1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="0051545E" w:rsidRPr="00B02E65">
      <w:rPr>
        <w:rStyle w:val="PageNumber"/>
        <w:rFonts w:ascii="Georgia" w:hAnsi="Georgia"/>
        <w:sz w:val="16"/>
        <w:szCs w:val="16"/>
      </w:rPr>
      <w:fldChar w:fldCharType="separate"/>
    </w:r>
    <w:r w:rsidR="004F5116">
      <w:rPr>
        <w:rStyle w:val="PageNumber"/>
        <w:rFonts w:ascii="Georgia" w:hAnsi="Georgia"/>
        <w:noProof/>
        <w:sz w:val="16"/>
        <w:szCs w:val="16"/>
      </w:rPr>
      <w:t>2</w:t>
    </w:r>
    <w:r w:rsidR="0051545E"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00" w:rsidRDefault="00CD3800">
      <w:r>
        <w:separator/>
      </w:r>
    </w:p>
  </w:footnote>
  <w:footnote w:type="continuationSeparator" w:id="0">
    <w:p w:rsidR="00CD3800" w:rsidRDefault="00CD3800">
      <w:r>
        <w:continuationSeparator/>
      </w:r>
    </w:p>
  </w:footnote>
  <w:footnote w:id="1">
    <w:p w:rsidR="00D5304F" w:rsidRDefault="00D5304F" w:rsidP="00D5304F">
      <w:pPr>
        <w:pStyle w:val="FootnoteText"/>
      </w:pPr>
      <w:r>
        <w:rPr>
          <w:rStyle w:val="FootnoteReference"/>
        </w:rPr>
        <w:footnoteRef/>
      </w:r>
      <w:r>
        <w:t xml:space="preserve"> 40 CFR 50.17(b):  “The 1-hour primary standard is met at an ambient air quality monitoring site when the three-year average of the annual (99th percentile) of the daily maximum 1-hour average concentrations is less than or equal to 75 ppb, as determined in accordance with appendix T of this part.”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10A"/>
    <w:multiLevelType w:val="hybridMultilevel"/>
    <w:tmpl w:val="C402FBC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B2D6C48"/>
    <w:multiLevelType w:val="hybridMultilevel"/>
    <w:tmpl w:val="CB6A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D01"/>
    <w:multiLevelType w:val="hybridMultilevel"/>
    <w:tmpl w:val="1848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359"/>
    <w:multiLevelType w:val="hybridMultilevel"/>
    <w:tmpl w:val="97BC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63E4"/>
    <w:multiLevelType w:val="multilevel"/>
    <w:tmpl w:val="40EC2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4F9"/>
    <w:multiLevelType w:val="hybridMultilevel"/>
    <w:tmpl w:val="40EC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C12DB"/>
    <w:multiLevelType w:val="hybridMultilevel"/>
    <w:tmpl w:val="EA661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50F9"/>
    <w:multiLevelType w:val="hybridMultilevel"/>
    <w:tmpl w:val="56C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32083"/>
    <w:multiLevelType w:val="multilevel"/>
    <w:tmpl w:val="40EC2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22CA"/>
    <w:multiLevelType w:val="hybridMultilevel"/>
    <w:tmpl w:val="9592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F"/>
    <w:rsid w:val="00011D32"/>
    <w:rsid w:val="000177D4"/>
    <w:rsid w:val="0004333F"/>
    <w:rsid w:val="00044738"/>
    <w:rsid w:val="000447C2"/>
    <w:rsid w:val="000470B1"/>
    <w:rsid w:val="000526C8"/>
    <w:rsid w:val="00053DC8"/>
    <w:rsid w:val="00067562"/>
    <w:rsid w:val="00074CF2"/>
    <w:rsid w:val="00076A20"/>
    <w:rsid w:val="00081A75"/>
    <w:rsid w:val="000853EB"/>
    <w:rsid w:val="00095398"/>
    <w:rsid w:val="000978B2"/>
    <w:rsid w:val="000A0B06"/>
    <w:rsid w:val="000A2B19"/>
    <w:rsid w:val="000A799F"/>
    <w:rsid w:val="000B4A31"/>
    <w:rsid w:val="000B773F"/>
    <w:rsid w:val="000F0D5D"/>
    <w:rsid w:val="00130D13"/>
    <w:rsid w:val="001312CB"/>
    <w:rsid w:val="0013156E"/>
    <w:rsid w:val="00137E33"/>
    <w:rsid w:val="00142CA0"/>
    <w:rsid w:val="00144E93"/>
    <w:rsid w:val="00155F25"/>
    <w:rsid w:val="001564D8"/>
    <w:rsid w:val="001632D7"/>
    <w:rsid w:val="001641AE"/>
    <w:rsid w:val="001830BF"/>
    <w:rsid w:val="00187E2A"/>
    <w:rsid w:val="00192CF5"/>
    <w:rsid w:val="001A1A8C"/>
    <w:rsid w:val="001B52A2"/>
    <w:rsid w:val="001E0C37"/>
    <w:rsid w:val="001E30AA"/>
    <w:rsid w:val="00201622"/>
    <w:rsid w:val="002215B3"/>
    <w:rsid w:val="0022690B"/>
    <w:rsid w:val="002548D1"/>
    <w:rsid w:val="002549BE"/>
    <w:rsid w:val="002624E8"/>
    <w:rsid w:val="0027436B"/>
    <w:rsid w:val="00277C88"/>
    <w:rsid w:val="002831F5"/>
    <w:rsid w:val="0029064F"/>
    <w:rsid w:val="00292651"/>
    <w:rsid w:val="002A3C1B"/>
    <w:rsid w:val="002A3CD9"/>
    <w:rsid w:val="002B7405"/>
    <w:rsid w:val="002D6471"/>
    <w:rsid w:val="002E045E"/>
    <w:rsid w:val="002E1719"/>
    <w:rsid w:val="002F0F9F"/>
    <w:rsid w:val="002F7957"/>
    <w:rsid w:val="00310527"/>
    <w:rsid w:val="00312A6E"/>
    <w:rsid w:val="0031646A"/>
    <w:rsid w:val="00320FFA"/>
    <w:rsid w:val="003335F0"/>
    <w:rsid w:val="0033789D"/>
    <w:rsid w:val="0034550A"/>
    <w:rsid w:val="00346F53"/>
    <w:rsid w:val="0036449D"/>
    <w:rsid w:val="00380A99"/>
    <w:rsid w:val="00380F2C"/>
    <w:rsid w:val="003849D6"/>
    <w:rsid w:val="00387539"/>
    <w:rsid w:val="003876EC"/>
    <w:rsid w:val="00390590"/>
    <w:rsid w:val="0039302E"/>
    <w:rsid w:val="003A20C2"/>
    <w:rsid w:val="003B0573"/>
    <w:rsid w:val="003B4BF2"/>
    <w:rsid w:val="003C3676"/>
    <w:rsid w:val="003D05D8"/>
    <w:rsid w:val="003D561C"/>
    <w:rsid w:val="003E16B7"/>
    <w:rsid w:val="003E5ED4"/>
    <w:rsid w:val="003E6281"/>
    <w:rsid w:val="003F3A63"/>
    <w:rsid w:val="003F407B"/>
    <w:rsid w:val="004251BB"/>
    <w:rsid w:val="004322DE"/>
    <w:rsid w:val="0044037C"/>
    <w:rsid w:val="0044795C"/>
    <w:rsid w:val="004609F1"/>
    <w:rsid w:val="0046213B"/>
    <w:rsid w:val="004742BB"/>
    <w:rsid w:val="00484C93"/>
    <w:rsid w:val="00494E31"/>
    <w:rsid w:val="004B4E63"/>
    <w:rsid w:val="004B611D"/>
    <w:rsid w:val="004C2421"/>
    <w:rsid w:val="004D60D6"/>
    <w:rsid w:val="004E282A"/>
    <w:rsid w:val="004E3C07"/>
    <w:rsid w:val="004E4EA5"/>
    <w:rsid w:val="004E5E58"/>
    <w:rsid w:val="004F5116"/>
    <w:rsid w:val="004F7C03"/>
    <w:rsid w:val="0051545E"/>
    <w:rsid w:val="00517A6E"/>
    <w:rsid w:val="005358DB"/>
    <w:rsid w:val="005370EB"/>
    <w:rsid w:val="005535B0"/>
    <w:rsid w:val="005600E5"/>
    <w:rsid w:val="00567B0D"/>
    <w:rsid w:val="0059440F"/>
    <w:rsid w:val="005B2D52"/>
    <w:rsid w:val="005C2872"/>
    <w:rsid w:val="005C40F8"/>
    <w:rsid w:val="005D3373"/>
    <w:rsid w:val="005E360D"/>
    <w:rsid w:val="005E7EE7"/>
    <w:rsid w:val="005F1027"/>
    <w:rsid w:val="005F117F"/>
    <w:rsid w:val="005F2BA2"/>
    <w:rsid w:val="005F4009"/>
    <w:rsid w:val="006177B1"/>
    <w:rsid w:val="00630057"/>
    <w:rsid w:val="00647D9C"/>
    <w:rsid w:val="00655652"/>
    <w:rsid w:val="00662966"/>
    <w:rsid w:val="00665B9D"/>
    <w:rsid w:val="00667BBA"/>
    <w:rsid w:val="006734F8"/>
    <w:rsid w:val="00674697"/>
    <w:rsid w:val="00677ADA"/>
    <w:rsid w:val="006852E2"/>
    <w:rsid w:val="006A21D8"/>
    <w:rsid w:val="006A40B8"/>
    <w:rsid w:val="006A423C"/>
    <w:rsid w:val="006B7DA2"/>
    <w:rsid w:val="006C40B0"/>
    <w:rsid w:val="006C6FD4"/>
    <w:rsid w:val="006C79E2"/>
    <w:rsid w:val="006D060D"/>
    <w:rsid w:val="006D23D5"/>
    <w:rsid w:val="006D4C98"/>
    <w:rsid w:val="006D7659"/>
    <w:rsid w:val="006D7842"/>
    <w:rsid w:val="006E207E"/>
    <w:rsid w:val="006E3EA3"/>
    <w:rsid w:val="006F2D94"/>
    <w:rsid w:val="006F79C6"/>
    <w:rsid w:val="00721413"/>
    <w:rsid w:val="0072353B"/>
    <w:rsid w:val="007244E8"/>
    <w:rsid w:val="00732B0D"/>
    <w:rsid w:val="00747730"/>
    <w:rsid w:val="0075262F"/>
    <w:rsid w:val="00782A1B"/>
    <w:rsid w:val="00782EDA"/>
    <w:rsid w:val="0079119A"/>
    <w:rsid w:val="0079520E"/>
    <w:rsid w:val="007A3363"/>
    <w:rsid w:val="007A4809"/>
    <w:rsid w:val="007A4F1E"/>
    <w:rsid w:val="007B3B1F"/>
    <w:rsid w:val="007B508E"/>
    <w:rsid w:val="007D2371"/>
    <w:rsid w:val="007E0458"/>
    <w:rsid w:val="007E1189"/>
    <w:rsid w:val="00803C4E"/>
    <w:rsid w:val="0080604E"/>
    <w:rsid w:val="008101C7"/>
    <w:rsid w:val="00810574"/>
    <w:rsid w:val="00811420"/>
    <w:rsid w:val="00812197"/>
    <w:rsid w:val="00812E91"/>
    <w:rsid w:val="0082030C"/>
    <w:rsid w:val="00823645"/>
    <w:rsid w:val="008329A5"/>
    <w:rsid w:val="0084084D"/>
    <w:rsid w:val="0084265B"/>
    <w:rsid w:val="00850C5E"/>
    <w:rsid w:val="008537E1"/>
    <w:rsid w:val="00854B81"/>
    <w:rsid w:val="00855BB3"/>
    <w:rsid w:val="00886ADD"/>
    <w:rsid w:val="008A0354"/>
    <w:rsid w:val="008A61AA"/>
    <w:rsid w:val="008A696D"/>
    <w:rsid w:val="008B0EEA"/>
    <w:rsid w:val="008B71B1"/>
    <w:rsid w:val="008C5F15"/>
    <w:rsid w:val="008D7850"/>
    <w:rsid w:val="008E28C2"/>
    <w:rsid w:val="008F29BA"/>
    <w:rsid w:val="00901E8F"/>
    <w:rsid w:val="00902BE1"/>
    <w:rsid w:val="00905A68"/>
    <w:rsid w:val="00910BF3"/>
    <w:rsid w:val="00912843"/>
    <w:rsid w:val="00913386"/>
    <w:rsid w:val="00947976"/>
    <w:rsid w:val="00964B57"/>
    <w:rsid w:val="00971E10"/>
    <w:rsid w:val="0098186A"/>
    <w:rsid w:val="009833D5"/>
    <w:rsid w:val="0099275A"/>
    <w:rsid w:val="00997A6F"/>
    <w:rsid w:val="009A6CDD"/>
    <w:rsid w:val="009B2B10"/>
    <w:rsid w:val="009C3CD3"/>
    <w:rsid w:val="009D41CD"/>
    <w:rsid w:val="00A14655"/>
    <w:rsid w:val="00A155FD"/>
    <w:rsid w:val="00A267CB"/>
    <w:rsid w:val="00A27733"/>
    <w:rsid w:val="00A33818"/>
    <w:rsid w:val="00A34F4A"/>
    <w:rsid w:val="00A360A6"/>
    <w:rsid w:val="00A377B4"/>
    <w:rsid w:val="00A42A78"/>
    <w:rsid w:val="00A55362"/>
    <w:rsid w:val="00A80EE6"/>
    <w:rsid w:val="00A90A48"/>
    <w:rsid w:val="00A92979"/>
    <w:rsid w:val="00A93648"/>
    <w:rsid w:val="00AA1EEE"/>
    <w:rsid w:val="00AA5353"/>
    <w:rsid w:val="00AB0328"/>
    <w:rsid w:val="00B02E65"/>
    <w:rsid w:val="00B07B7E"/>
    <w:rsid w:val="00B211E3"/>
    <w:rsid w:val="00B2259E"/>
    <w:rsid w:val="00B2705A"/>
    <w:rsid w:val="00B40E68"/>
    <w:rsid w:val="00B467B2"/>
    <w:rsid w:val="00B50E30"/>
    <w:rsid w:val="00B51D18"/>
    <w:rsid w:val="00B57CBE"/>
    <w:rsid w:val="00B660AB"/>
    <w:rsid w:val="00B863B6"/>
    <w:rsid w:val="00B93C46"/>
    <w:rsid w:val="00B94568"/>
    <w:rsid w:val="00BA3756"/>
    <w:rsid w:val="00BA3ADA"/>
    <w:rsid w:val="00BA3F3A"/>
    <w:rsid w:val="00BA541B"/>
    <w:rsid w:val="00BB2D35"/>
    <w:rsid w:val="00BB446A"/>
    <w:rsid w:val="00BC4464"/>
    <w:rsid w:val="00BC5170"/>
    <w:rsid w:val="00BD0EE5"/>
    <w:rsid w:val="00BD6993"/>
    <w:rsid w:val="00BE5C6F"/>
    <w:rsid w:val="00C0623C"/>
    <w:rsid w:val="00C20EE0"/>
    <w:rsid w:val="00C21680"/>
    <w:rsid w:val="00C42449"/>
    <w:rsid w:val="00C425DE"/>
    <w:rsid w:val="00C43B38"/>
    <w:rsid w:val="00C54F5B"/>
    <w:rsid w:val="00C57068"/>
    <w:rsid w:val="00C82849"/>
    <w:rsid w:val="00C857F0"/>
    <w:rsid w:val="00C9764A"/>
    <w:rsid w:val="00CB7382"/>
    <w:rsid w:val="00CC39C0"/>
    <w:rsid w:val="00CD2370"/>
    <w:rsid w:val="00CD33D5"/>
    <w:rsid w:val="00CD3800"/>
    <w:rsid w:val="00CF1BF0"/>
    <w:rsid w:val="00CF5235"/>
    <w:rsid w:val="00D13B18"/>
    <w:rsid w:val="00D141F3"/>
    <w:rsid w:val="00D17350"/>
    <w:rsid w:val="00D36D7C"/>
    <w:rsid w:val="00D4795E"/>
    <w:rsid w:val="00D5304F"/>
    <w:rsid w:val="00D63B78"/>
    <w:rsid w:val="00D704AB"/>
    <w:rsid w:val="00D957B7"/>
    <w:rsid w:val="00D972A9"/>
    <w:rsid w:val="00DA3750"/>
    <w:rsid w:val="00DA4BA8"/>
    <w:rsid w:val="00DA5C55"/>
    <w:rsid w:val="00DA6FA9"/>
    <w:rsid w:val="00DA78E6"/>
    <w:rsid w:val="00DC5E8F"/>
    <w:rsid w:val="00DD6D02"/>
    <w:rsid w:val="00DE3885"/>
    <w:rsid w:val="00DF3EDF"/>
    <w:rsid w:val="00DF56F7"/>
    <w:rsid w:val="00E01C5C"/>
    <w:rsid w:val="00E1088E"/>
    <w:rsid w:val="00E148D6"/>
    <w:rsid w:val="00E34EFF"/>
    <w:rsid w:val="00E40AC7"/>
    <w:rsid w:val="00E46F92"/>
    <w:rsid w:val="00E53611"/>
    <w:rsid w:val="00E56F4E"/>
    <w:rsid w:val="00E61469"/>
    <w:rsid w:val="00E81C05"/>
    <w:rsid w:val="00EA4EF1"/>
    <w:rsid w:val="00EA6F39"/>
    <w:rsid w:val="00EC0CBE"/>
    <w:rsid w:val="00EC29FC"/>
    <w:rsid w:val="00ED1574"/>
    <w:rsid w:val="00ED38F6"/>
    <w:rsid w:val="00ED6A4B"/>
    <w:rsid w:val="00EE11A5"/>
    <w:rsid w:val="00EE4620"/>
    <w:rsid w:val="00EE6CAA"/>
    <w:rsid w:val="00EF31C7"/>
    <w:rsid w:val="00EF48C7"/>
    <w:rsid w:val="00EF4968"/>
    <w:rsid w:val="00EF501E"/>
    <w:rsid w:val="00F06393"/>
    <w:rsid w:val="00F41491"/>
    <w:rsid w:val="00F467FB"/>
    <w:rsid w:val="00F50CF3"/>
    <w:rsid w:val="00F5627E"/>
    <w:rsid w:val="00F60EBD"/>
    <w:rsid w:val="00F61FF5"/>
    <w:rsid w:val="00F81DA7"/>
    <w:rsid w:val="00F85152"/>
    <w:rsid w:val="00F858E8"/>
    <w:rsid w:val="00F92C4D"/>
    <w:rsid w:val="00F93214"/>
    <w:rsid w:val="00F96515"/>
    <w:rsid w:val="00F96727"/>
    <w:rsid w:val="00FA6301"/>
    <w:rsid w:val="00FB59A1"/>
    <w:rsid w:val="00FB5DD5"/>
    <w:rsid w:val="00FB6233"/>
    <w:rsid w:val="00FE4942"/>
    <w:rsid w:val="00FE5095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docId w15:val="{EEA9607F-EF1C-49BB-A056-F8C232F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C05"/>
    <w:pPr>
      <w:keepNext/>
      <w:spacing w:before="120"/>
      <w:outlineLvl w:val="0"/>
    </w:pPr>
    <w:rPr>
      <w:rFonts w:ascii="Georgia" w:hAnsi="Georgia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4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67B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85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D7659"/>
  </w:style>
  <w:style w:type="paragraph" w:styleId="Header">
    <w:name w:val="header"/>
    <w:basedOn w:val="Normal"/>
    <w:rsid w:val="006D76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659"/>
  </w:style>
  <w:style w:type="character" w:customStyle="1" w:styleId="Heading1Char">
    <w:name w:val="Heading 1 Char"/>
    <w:basedOn w:val="DefaultParagraphFont"/>
    <w:link w:val="Heading1"/>
    <w:rsid w:val="00E81C05"/>
    <w:rPr>
      <w:rFonts w:ascii="Georgia" w:hAnsi="Georgia"/>
      <w:b/>
      <w:bCs/>
      <w:kern w:val="32"/>
      <w:sz w:val="24"/>
      <w:szCs w:val="32"/>
    </w:rPr>
  </w:style>
  <w:style w:type="character" w:styleId="Strong">
    <w:name w:val="Strong"/>
    <w:basedOn w:val="DefaultParagraphFont"/>
    <w:uiPriority w:val="22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DocumentMap">
    <w:name w:val="Document Map"/>
    <w:basedOn w:val="Normal"/>
    <w:link w:val="DocumentMapChar"/>
    <w:rsid w:val="003E5E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E5ED4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qFormat/>
    <w:rsid w:val="00E81C05"/>
    <w:rPr>
      <w:rFonts w:ascii="Georgia" w:eastAsia="Calibri" w:hAnsi="Georgia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81C05"/>
    <w:rPr>
      <w:rFonts w:ascii="Georgia" w:eastAsia="Calibri" w:hAnsi="Georgia"/>
      <w:sz w:val="22"/>
      <w:szCs w:val="24"/>
    </w:rPr>
  </w:style>
  <w:style w:type="character" w:styleId="Emphasis">
    <w:name w:val="Emphasis"/>
    <w:uiPriority w:val="2"/>
    <w:qFormat/>
    <w:rsid w:val="00667B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67BBA"/>
    <w:rPr>
      <w:rFonts w:ascii="Calibri" w:eastAsia="Times New Roman" w:hAnsi="Calibri" w:cs="Times New Roman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BBA"/>
    <w:pPr>
      <w:widowControl/>
      <w:tabs>
        <w:tab w:val="left" w:pos="720"/>
      </w:tabs>
      <w:autoSpaceDE/>
      <w:autoSpaceDN/>
      <w:adjustRightInd/>
    </w:pPr>
    <w:rPr>
      <w:rFonts w:eastAsia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67BBA"/>
    <w:rPr>
      <w:rFonts w:eastAsia="Calibri" w:cs="Times New Roman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E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62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62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6281"/>
  </w:style>
  <w:style w:type="paragraph" w:styleId="CommentSubject">
    <w:name w:val="annotation subject"/>
    <w:basedOn w:val="CommentText"/>
    <w:next w:val="CommentText"/>
    <w:link w:val="CommentSubjectChar"/>
    <w:rsid w:val="003E6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6281"/>
    <w:rPr>
      <w:b/>
      <w:bCs/>
    </w:rPr>
  </w:style>
  <w:style w:type="paragraph" w:styleId="Closing">
    <w:name w:val="Closing"/>
    <w:basedOn w:val="Normal"/>
    <w:link w:val="ClosingChar"/>
    <w:uiPriority w:val="5"/>
    <w:qFormat/>
    <w:rsid w:val="0031646A"/>
    <w:pPr>
      <w:widowControl/>
      <w:autoSpaceDE/>
      <w:autoSpaceDN/>
      <w:adjustRightInd/>
      <w:spacing w:before="240"/>
    </w:pPr>
    <w:rPr>
      <w:rFonts w:ascii="Georgia" w:hAnsi="Georgia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sid w:val="0031646A"/>
    <w:rPr>
      <w:rFonts w:ascii="Georgia" w:hAnsi="Georgia"/>
      <w:sz w:val="22"/>
      <w:szCs w:val="22"/>
    </w:rPr>
  </w:style>
  <w:style w:type="paragraph" w:styleId="Signature">
    <w:name w:val="Signature"/>
    <w:basedOn w:val="Normal"/>
    <w:link w:val="SignatureChar"/>
    <w:rsid w:val="0031646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1646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B4A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51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852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600E5"/>
    <w:pPr>
      <w:widowControl/>
      <w:autoSpaceDE/>
      <w:autoSpaceDN/>
      <w:adjustRightInd/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00E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D57C-FE5F-4189-8F7F-0E1F2503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5302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TCEQ</dc:creator>
  <cp:lastModifiedBy>Ken Sherry</cp:lastModifiedBy>
  <cp:revision>2</cp:revision>
  <cp:lastPrinted>2015-12-10T23:02:00Z</cp:lastPrinted>
  <dcterms:created xsi:type="dcterms:W3CDTF">2016-03-31T14:20:00Z</dcterms:created>
  <dcterms:modified xsi:type="dcterms:W3CDTF">2016-03-31T14:20:00Z</dcterms:modified>
</cp:coreProperties>
</file>