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AE26" w14:textId="77777777" w:rsidR="00597F34" w:rsidRPr="000B773F" w:rsidRDefault="00597F34" w:rsidP="00597F34">
      <w:pPr>
        <w:pStyle w:val="Heading1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7EE9659F" wp14:editId="5AEC784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1" name="Picture 1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EQ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73F">
        <w:rPr>
          <w:rFonts w:ascii="Georgia" w:hAnsi="Georgia"/>
        </w:rPr>
        <w:t xml:space="preserve">National </w:t>
      </w:r>
      <w:r>
        <w:rPr>
          <w:rFonts w:ascii="Georgia" w:hAnsi="Georgia"/>
        </w:rPr>
        <w:t>C</w:t>
      </w:r>
      <w:r w:rsidRPr="000B773F">
        <w:rPr>
          <w:rFonts w:ascii="Georgia" w:hAnsi="Georgia"/>
        </w:rPr>
        <w:t>omments</w:t>
      </w:r>
    </w:p>
    <w:p w14:paraId="20A1D67A" w14:textId="77777777" w:rsidR="00597F34" w:rsidRPr="000B773F" w:rsidRDefault="00597F34" w:rsidP="00597F34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7BADC4A8" w14:textId="77777777"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545E6607" w14:textId="77777777"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447D0444" w14:textId="77777777"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TCEQ Proposed Comments On:</w:t>
      </w:r>
    </w:p>
    <w:p w14:paraId="0B1989DC" w14:textId="5A5B0D43" w:rsidR="00733714" w:rsidRPr="00400212" w:rsidRDefault="00D60247" w:rsidP="00733714">
      <w:pPr>
        <w:pStyle w:val="BodyText"/>
        <w:rPr>
          <w:rStyle w:val="Strong"/>
          <w:b w:val="0"/>
          <w:bCs w:val="0"/>
        </w:rPr>
      </w:pPr>
      <w:r>
        <w:t>T</w:t>
      </w:r>
      <w:r w:rsidR="00E17988">
        <w:t xml:space="preserve">he Environmental Protection Agency (EPA) </w:t>
      </w:r>
      <w:r w:rsidR="0060293F">
        <w:t>Integrated Science Assessment for Ozone and Related Photochemical Oxidants (External Review Draft)</w:t>
      </w:r>
      <w:r w:rsidR="00E17988">
        <w:t xml:space="preserve">; published in the </w:t>
      </w:r>
      <w:r>
        <w:t xml:space="preserve">September </w:t>
      </w:r>
      <w:r w:rsidR="0060293F">
        <w:t>26</w:t>
      </w:r>
      <w:r>
        <w:t xml:space="preserve">, 2019 </w:t>
      </w:r>
      <w:r w:rsidR="00733714" w:rsidRPr="00F80EEF">
        <w:rPr>
          <w:rStyle w:val="Emphasis"/>
        </w:rPr>
        <w:t>Federal Register</w:t>
      </w:r>
      <w:r w:rsidR="00733714" w:rsidRPr="00F80EEF">
        <w:t xml:space="preserve"> </w:t>
      </w:r>
      <w:r w:rsidR="00733714">
        <w:t>(</w:t>
      </w:r>
      <w:r w:rsidR="00CC6E23">
        <w:t xml:space="preserve">84 </w:t>
      </w:r>
      <w:r w:rsidR="00733714" w:rsidRPr="00E17988">
        <w:rPr>
          <w:i/>
        </w:rPr>
        <w:t>FR</w:t>
      </w:r>
      <w:r w:rsidR="00733714">
        <w:t xml:space="preserve"> </w:t>
      </w:r>
      <w:r w:rsidR="0060293F">
        <w:t>50836</w:t>
      </w:r>
      <w:r w:rsidR="00733714">
        <w:t>).</w:t>
      </w:r>
    </w:p>
    <w:p w14:paraId="6DCA78A3" w14:textId="77777777"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Overview of Proposal:</w:t>
      </w:r>
      <w:bookmarkStart w:id="0" w:name="_GoBack"/>
      <w:bookmarkEnd w:id="0"/>
    </w:p>
    <w:p w14:paraId="0B82FC81" w14:textId="7DA20C5D" w:rsidR="00597F34" w:rsidRDefault="00400212" w:rsidP="00F20C3E">
      <w:pPr>
        <w:pStyle w:val="BodyText"/>
      </w:pPr>
      <w:bookmarkStart w:id="1" w:name="_Hlk24464377"/>
      <w:r w:rsidRPr="00400212">
        <w:t xml:space="preserve">The </w:t>
      </w:r>
      <w:r w:rsidR="0060293F">
        <w:t>Integrated Science Assessment</w:t>
      </w:r>
      <w:r w:rsidRPr="00400212">
        <w:t xml:space="preserve"> (</w:t>
      </w:r>
      <w:r w:rsidR="0060293F">
        <w:t>ISA</w:t>
      </w:r>
      <w:r w:rsidR="007C5366">
        <w:t>)</w:t>
      </w:r>
      <w:r w:rsidRPr="00400212">
        <w:t xml:space="preserve"> </w:t>
      </w:r>
      <w:r w:rsidR="00F20C3E">
        <w:t xml:space="preserve">for </w:t>
      </w:r>
      <w:r w:rsidR="007C5366">
        <w:t>Ozone, w</w:t>
      </w:r>
      <w:r w:rsidR="00F20C3E">
        <w:t xml:space="preserve">hen final, </w:t>
      </w:r>
      <w:r w:rsidR="007C5366">
        <w:t xml:space="preserve">provides the scientific basis for EPA’s decisions on the adequacy of the current review of the ozone National Ambient Air Quality Standard (NAAQS) and the appropriateness of possible alternative standards. </w:t>
      </w:r>
      <w:r w:rsidR="00F20C3E" w:rsidRPr="00F20C3E">
        <w:t xml:space="preserve">The EPA last revised the primary PM NAAQS in </w:t>
      </w:r>
      <w:r w:rsidR="007C5366" w:rsidRPr="00F20C3E">
        <w:t>20</w:t>
      </w:r>
      <w:r w:rsidR="007C5366">
        <w:t>15</w:t>
      </w:r>
      <w:r w:rsidR="007C5366" w:rsidRPr="00F20C3E">
        <w:t xml:space="preserve"> </w:t>
      </w:r>
      <w:r w:rsidR="00F20C3E" w:rsidRPr="00F20C3E">
        <w:t xml:space="preserve">based on the available scientific literature supporting that standard. </w:t>
      </w:r>
    </w:p>
    <w:p w14:paraId="4CC15880" w14:textId="4D548A27" w:rsidR="003163F9" w:rsidRPr="00597F34" w:rsidRDefault="003163F9" w:rsidP="00F20C3E">
      <w:pPr>
        <w:pStyle w:val="BodyText"/>
        <w:rPr>
          <w:rStyle w:val="Strong"/>
          <w:b w:val="0"/>
        </w:rPr>
      </w:pPr>
      <w:r>
        <w:rPr>
          <w:rStyle w:val="Strong"/>
          <w:b w:val="0"/>
        </w:rPr>
        <w:t>Note t</w:t>
      </w:r>
      <w:r w:rsidRPr="003163F9">
        <w:rPr>
          <w:rStyle w:val="Strong"/>
          <w:b w:val="0"/>
        </w:rPr>
        <w:t>he EPA recommends the current 8-hour primary ozone NAAQS be retained without revision in the draft ozone policy assessment (PA) released for public comment</w:t>
      </w:r>
      <w:r w:rsidR="001832F7">
        <w:rPr>
          <w:rStyle w:val="Strong"/>
          <w:b w:val="0"/>
        </w:rPr>
        <w:t xml:space="preserve"> on Oct</w:t>
      </w:r>
      <w:r w:rsidRPr="003163F9">
        <w:rPr>
          <w:rStyle w:val="Strong"/>
          <w:b w:val="0"/>
        </w:rPr>
        <w:t>ober 31, 2019.</w:t>
      </w:r>
      <w:r>
        <w:rPr>
          <w:rStyle w:val="Strong"/>
          <w:b w:val="0"/>
        </w:rPr>
        <w:t xml:space="preserve"> </w:t>
      </w:r>
    </w:p>
    <w:bookmarkEnd w:id="1"/>
    <w:p w14:paraId="5CE7CAA7" w14:textId="24EEE415" w:rsidR="003163F9" w:rsidRDefault="00597F34" w:rsidP="00355999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Summary of Comments: </w:t>
      </w:r>
      <w:r w:rsidR="00F32C57">
        <w:rPr>
          <w:rStyle w:val="Strong"/>
          <w:rFonts w:ascii="Georgia" w:hAnsi="Georgia"/>
          <w:b w:val="0"/>
        </w:rPr>
        <w:t xml:space="preserve">New </w:t>
      </w:r>
      <w:r w:rsidR="00F01B84">
        <w:rPr>
          <w:rFonts w:ascii="Georgia" w:hAnsi="Georgia"/>
        </w:rPr>
        <w:t xml:space="preserve">information </w:t>
      </w:r>
      <w:r w:rsidR="00F32C57">
        <w:rPr>
          <w:rFonts w:ascii="Georgia" w:hAnsi="Georgia"/>
        </w:rPr>
        <w:t>in the draft ozone I</w:t>
      </w:r>
      <w:r w:rsidR="002400C7">
        <w:rPr>
          <w:rFonts w:ascii="Georgia" w:hAnsi="Georgia"/>
        </w:rPr>
        <w:t>S</w:t>
      </w:r>
      <w:r w:rsidR="00F32C57">
        <w:rPr>
          <w:rFonts w:ascii="Georgia" w:hAnsi="Georgia"/>
        </w:rPr>
        <w:t>A reaffirms EPA’s previous conclusions on respiratory effects and is generally consistent with information in the previous ISA.</w:t>
      </w:r>
      <w:r w:rsidR="00400212" w:rsidRPr="00355999">
        <w:rPr>
          <w:rFonts w:ascii="Georgia" w:hAnsi="Georgia"/>
        </w:rPr>
        <w:t xml:space="preserve"> </w:t>
      </w:r>
      <w:r w:rsidR="003163F9">
        <w:rPr>
          <w:rFonts w:ascii="Georgia" w:hAnsi="Georgia"/>
        </w:rPr>
        <w:t>The causality determinations in the 2019 draft ozone ISA were downgraded for car</w:t>
      </w:r>
      <w:r w:rsidR="002400C7">
        <w:rPr>
          <w:rFonts w:ascii="Georgia" w:hAnsi="Georgia"/>
        </w:rPr>
        <w:t>d</w:t>
      </w:r>
      <w:r w:rsidR="003163F9">
        <w:rPr>
          <w:rFonts w:ascii="Georgia" w:hAnsi="Georgia"/>
        </w:rPr>
        <w:t xml:space="preserve">iovascular effects and mortality for short-term exposure to ozone. </w:t>
      </w:r>
      <w:r w:rsidR="00390E3D">
        <w:rPr>
          <w:rFonts w:ascii="Georgia" w:hAnsi="Georgia"/>
        </w:rPr>
        <w:t xml:space="preserve">For the first time, </w:t>
      </w:r>
      <w:r w:rsidR="00390E3D" w:rsidRPr="00390E3D">
        <w:rPr>
          <w:rFonts w:ascii="Georgia" w:hAnsi="Georgia"/>
        </w:rPr>
        <w:t xml:space="preserve">short- and long-term exposure to ozone </w:t>
      </w:r>
      <w:r w:rsidR="00390E3D">
        <w:rPr>
          <w:rFonts w:ascii="Georgia" w:hAnsi="Georgia"/>
        </w:rPr>
        <w:t>and m</w:t>
      </w:r>
      <w:r w:rsidR="003163F9">
        <w:rPr>
          <w:rFonts w:ascii="Georgia" w:hAnsi="Georgia"/>
        </w:rPr>
        <w:t>etabolic effects</w:t>
      </w:r>
      <w:r w:rsidR="00390E3D">
        <w:rPr>
          <w:rFonts w:ascii="Georgia" w:hAnsi="Georgia"/>
        </w:rPr>
        <w:t xml:space="preserve"> </w:t>
      </w:r>
      <w:r w:rsidR="003163F9">
        <w:rPr>
          <w:rFonts w:ascii="Georgia" w:hAnsi="Georgia"/>
        </w:rPr>
        <w:t>are considered by the EPA to be suggestive of, but not sufficient to infer, a causal relationship.</w:t>
      </w:r>
    </w:p>
    <w:p w14:paraId="54244E87" w14:textId="77777777" w:rsidR="002400C7" w:rsidRDefault="002400C7" w:rsidP="00355999">
      <w:pPr>
        <w:rPr>
          <w:rFonts w:ascii="Georgia" w:hAnsi="Georgia"/>
        </w:rPr>
      </w:pPr>
    </w:p>
    <w:p w14:paraId="7BB0B09F" w14:textId="506BD702" w:rsidR="002400C7" w:rsidRPr="00355999" w:rsidRDefault="002400C7" w:rsidP="00355999">
      <w:pPr>
        <w:rPr>
          <w:rFonts w:ascii="Georgia" w:hAnsi="Georgia"/>
        </w:rPr>
      </w:pPr>
      <w:r w:rsidRPr="00355999">
        <w:rPr>
          <w:rFonts w:ascii="Georgia" w:hAnsi="Georgia"/>
        </w:rPr>
        <w:t xml:space="preserve">The </w:t>
      </w:r>
      <w:r>
        <w:rPr>
          <w:rFonts w:ascii="Georgia" w:hAnsi="Georgia"/>
        </w:rPr>
        <w:t>TCEQ’s specific comments</w:t>
      </w:r>
      <w:r w:rsidRPr="0035599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include those on </w:t>
      </w:r>
      <w:r w:rsidRPr="00355999">
        <w:rPr>
          <w:rFonts w:ascii="Georgia" w:hAnsi="Georgia"/>
        </w:rPr>
        <w:t xml:space="preserve">exposure, biological plausibility, causality, uncertainty, </w:t>
      </w:r>
      <w:r>
        <w:rPr>
          <w:rFonts w:ascii="Georgia" w:hAnsi="Georgia"/>
        </w:rPr>
        <w:t xml:space="preserve">and </w:t>
      </w:r>
      <w:r w:rsidRPr="00355999">
        <w:rPr>
          <w:rFonts w:ascii="Georgia" w:hAnsi="Georgia"/>
        </w:rPr>
        <w:t>suggested methodological improvements.</w:t>
      </w:r>
    </w:p>
    <w:p w14:paraId="79CD93E5" w14:textId="77777777" w:rsidR="00597F34" w:rsidRDefault="00597F34" w:rsidP="00355999">
      <w:pPr>
        <w:spacing w:before="240"/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Lead Office:   </w:t>
      </w:r>
      <w:r w:rsidRPr="00597F34">
        <w:rPr>
          <w:rFonts w:ascii="Georgia" w:hAnsi="Georgia"/>
        </w:rPr>
        <w:t xml:space="preserve">  </w:t>
      </w:r>
    </w:p>
    <w:p w14:paraId="5EAFA68F" w14:textId="77777777" w:rsidR="00733714" w:rsidRPr="00597F34" w:rsidRDefault="00733714" w:rsidP="00DE443B">
      <w:pPr>
        <w:spacing w:after="120"/>
        <w:rPr>
          <w:rFonts w:ascii="Georgia" w:hAnsi="Georgia"/>
        </w:rPr>
      </w:pPr>
      <w:r>
        <w:rPr>
          <w:rFonts w:ascii="Georgia" w:hAnsi="Georgia"/>
        </w:rPr>
        <w:t>Toxicology</w:t>
      </w:r>
      <w:r w:rsidR="00355999">
        <w:rPr>
          <w:rFonts w:ascii="Georgia" w:hAnsi="Georgia"/>
        </w:rPr>
        <w:t>, Risk Assessment, and Research</w:t>
      </w:r>
      <w:r>
        <w:rPr>
          <w:rFonts w:ascii="Georgia" w:hAnsi="Georgia"/>
        </w:rPr>
        <w:t xml:space="preserve"> Division</w:t>
      </w:r>
    </w:p>
    <w:p w14:paraId="1395AB39" w14:textId="77777777" w:rsidR="00597F34" w:rsidRDefault="00597F34" w:rsidP="00597F34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Internal Coordination: </w:t>
      </w:r>
      <w:r w:rsidRPr="00597F34">
        <w:rPr>
          <w:rFonts w:ascii="Georgia" w:hAnsi="Georgia"/>
        </w:rPr>
        <w:t xml:space="preserve">    </w:t>
      </w:r>
    </w:p>
    <w:p w14:paraId="6FD65311" w14:textId="77777777" w:rsidR="00733714" w:rsidRPr="00597F34" w:rsidRDefault="00400212" w:rsidP="00DE443B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Allison Jenkins, </w:t>
      </w:r>
      <w:r w:rsidR="00733714">
        <w:rPr>
          <w:rFonts w:ascii="Georgia" w:hAnsi="Georgia"/>
        </w:rPr>
        <w:t>Toxicology</w:t>
      </w:r>
      <w:r w:rsidR="00355999">
        <w:rPr>
          <w:rFonts w:ascii="Georgia" w:hAnsi="Georgia"/>
        </w:rPr>
        <w:t>, Risk Assessment, and Research</w:t>
      </w:r>
      <w:r w:rsidR="00733714">
        <w:rPr>
          <w:rFonts w:ascii="Georgia" w:hAnsi="Georgia"/>
        </w:rPr>
        <w:t xml:space="preserve"> Division</w:t>
      </w:r>
    </w:p>
    <w:p w14:paraId="0C3D9735" w14:textId="77777777" w:rsidR="00597F34" w:rsidRPr="00597F34" w:rsidRDefault="00597F34" w:rsidP="00C43024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>Office of Legal Services:</w:t>
      </w:r>
      <w:r w:rsidRPr="00597F34">
        <w:rPr>
          <w:rFonts w:ascii="Georgia" w:hAnsi="Georgia"/>
        </w:rPr>
        <w:t xml:space="preserve">  </w:t>
      </w:r>
    </w:p>
    <w:p w14:paraId="31DE929D" w14:textId="4745C66D" w:rsidR="00597F34" w:rsidRPr="00597F34" w:rsidRDefault="00400212" w:rsidP="00C43024">
      <w:pPr>
        <w:spacing w:after="120"/>
        <w:rPr>
          <w:rFonts w:ascii="Georgia" w:hAnsi="Georgia"/>
        </w:rPr>
      </w:pPr>
      <w:r>
        <w:rPr>
          <w:rFonts w:ascii="Georgia" w:hAnsi="Georgia"/>
        </w:rPr>
        <w:t>Amy Browning</w:t>
      </w:r>
      <w:r w:rsidR="00EF5AE0">
        <w:rPr>
          <w:rFonts w:ascii="Georgia" w:hAnsi="Georgia"/>
        </w:rPr>
        <w:t xml:space="preserve"> and Booker Harrison,</w:t>
      </w:r>
      <w:r w:rsidR="00C43024">
        <w:rPr>
          <w:rFonts w:ascii="Georgia" w:hAnsi="Georgia"/>
        </w:rPr>
        <w:t xml:space="preserve"> Environmental Law Division</w:t>
      </w:r>
    </w:p>
    <w:p w14:paraId="42AB5A04" w14:textId="77777777" w:rsidR="00597F34" w:rsidRPr="00597F34" w:rsidRDefault="00597F34" w:rsidP="0060135F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Director Approval:  </w:t>
      </w:r>
      <w:r w:rsidRPr="00597F34">
        <w:rPr>
          <w:rStyle w:val="Strong"/>
          <w:rFonts w:ascii="Georgia" w:hAnsi="Georgia"/>
        </w:rPr>
        <w:tab/>
      </w:r>
    </w:p>
    <w:p w14:paraId="42A92225" w14:textId="77777777" w:rsidR="00597F34" w:rsidRPr="0060135F" w:rsidRDefault="0060135F" w:rsidP="0060135F">
      <w:pPr>
        <w:spacing w:after="120"/>
        <w:rPr>
          <w:rFonts w:ascii="Georgia" w:hAnsi="Georgia"/>
          <w:bCs/>
        </w:rPr>
      </w:pPr>
      <w:r w:rsidRPr="0060135F">
        <w:rPr>
          <w:rFonts w:ascii="Georgia" w:hAnsi="Georgia"/>
          <w:bCs/>
        </w:rPr>
        <w:t>Michael Honeycutt, Toxicology</w:t>
      </w:r>
      <w:r w:rsidR="009704CD">
        <w:rPr>
          <w:rFonts w:ascii="Georgia" w:hAnsi="Georgia"/>
          <w:bCs/>
        </w:rPr>
        <w:t xml:space="preserve">, Risk Assessment, and Research </w:t>
      </w:r>
      <w:r w:rsidRPr="0060135F">
        <w:rPr>
          <w:rFonts w:ascii="Georgia" w:hAnsi="Georgia"/>
          <w:bCs/>
        </w:rPr>
        <w:t>Division</w:t>
      </w:r>
    </w:p>
    <w:p w14:paraId="6D8FC559" w14:textId="77777777" w:rsidR="00597F34" w:rsidRPr="00597F34" w:rsidRDefault="00D425DC" w:rsidP="00597F34">
      <w:pPr>
        <w:rPr>
          <w:rFonts w:ascii="Georgia" w:hAnsi="Georgia"/>
        </w:rPr>
      </w:pPr>
      <w:r>
        <w:rPr>
          <w:rStyle w:val="Strong"/>
          <w:rFonts w:ascii="Georgia" w:hAnsi="Georgia"/>
        </w:rPr>
        <w:t>Deadline</w:t>
      </w:r>
      <w:r w:rsidR="00597F34" w:rsidRPr="00597F34">
        <w:rPr>
          <w:rFonts w:ascii="Georgia" w:hAnsi="Georgia"/>
        </w:rPr>
        <w:t xml:space="preserve">: </w:t>
      </w:r>
    </w:p>
    <w:p w14:paraId="3F92D45A" w14:textId="27F1BEE8" w:rsidR="00A03680" w:rsidRPr="00597F34" w:rsidRDefault="00A03680" w:rsidP="00DE443B"/>
    <w:sectPr w:rsidR="00A03680" w:rsidRPr="00597F34" w:rsidSect="00A960F0">
      <w:footerReference w:type="default" r:id="rId9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80670" w14:textId="77777777" w:rsidR="00DA1121" w:rsidRDefault="00DA1121">
      <w:r>
        <w:separator/>
      </w:r>
    </w:p>
  </w:endnote>
  <w:endnote w:type="continuationSeparator" w:id="0">
    <w:p w14:paraId="239F7118" w14:textId="77777777" w:rsidR="00DA1121" w:rsidRDefault="00D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E41D" w14:textId="77777777" w:rsidR="005F5A52" w:rsidRPr="00B02E65" w:rsidRDefault="000C2023">
    <w:pPr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8B4A" w14:textId="77777777" w:rsidR="00DA1121" w:rsidRDefault="00DA1121">
      <w:r>
        <w:separator/>
      </w:r>
    </w:p>
  </w:footnote>
  <w:footnote w:type="continuationSeparator" w:id="0">
    <w:p w14:paraId="564D0F98" w14:textId="77777777" w:rsidR="00DA1121" w:rsidRDefault="00DA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34"/>
    <w:rsid w:val="00014381"/>
    <w:rsid w:val="00051B7F"/>
    <w:rsid w:val="00060630"/>
    <w:rsid w:val="000C2023"/>
    <w:rsid w:val="00116413"/>
    <w:rsid w:val="001408B2"/>
    <w:rsid w:val="001832F7"/>
    <w:rsid w:val="001A17DC"/>
    <w:rsid w:val="001F0D2F"/>
    <w:rsid w:val="002400C7"/>
    <w:rsid w:val="0025323D"/>
    <w:rsid w:val="00261265"/>
    <w:rsid w:val="00267310"/>
    <w:rsid w:val="002677C4"/>
    <w:rsid w:val="00281880"/>
    <w:rsid w:val="00297D38"/>
    <w:rsid w:val="002D4E2D"/>
    <w:rsid w:val="002D638D"/>
    <w:rsid w:val="002E28F4"/>
    <w:rsid w:val="003163F9"/>
    <w:rsid w:val="00350854"/>
    <w:rsid w:val="00351FD0"/>
    <w:rsid w:val="00355999"/>
    <w:rsid w:val="003746CD"/>
    <w:rsid w:val="00390E3D"/>
    <w:rsid w:val="00393C75"/>
    <w:rsid w:val="003B41DF"/>
    <w:rsid w:val="003B6CDD"/>
    <w:rsid w:val="003F5ABB"/>
    <w:rsid w:val="00400212"/>
    <w:rsid w:val="004352F1"/>
    <w:rsid w:val="004D2CA6"/>
    <w:rsid w:val="00521814"/>
    <w:rsid w:val="005464F5"/>
    <w:rsid w:val="0055212A"/>
    <w:rsid w:val="00557C47"/>
    <w:rsid w:val="00597F34"/>
    <w:rsid w:val="005F337F"/>
    <w:rsid w:val="0060135F"/>
    <w:rsid w:val="0060293F"/>
    <w:rsid w:val="00630094"/>
    <w:rsid w:val="0065525B"/>
    <w:rsid w:val="006730D8"/>
    <w:rsid w:val="006A0F46"/>
    <w:rsid w:val="006A24FC"/>
    <w:rsid w:val="006C6CEB"/>
    <w:rsid w:val="007142DB"/>
    <w:rsid w:val="00720D87"/>
    <w:rsid w:val="0072249E"/>
    <w:rsid w:val="00727F1C"/>
    <w:rsid w:val="00732647"/>
    <w:rsid w:val="00733714"/>
    <w:rsid w:val="00746472"/>
    <w:rsid w:val="0075745D"/>
    <w:rsid w:val="007C5366"/>
    <w:rsid w:val="007F1D92"/>
    <w:rsid w:val="007F5FB9"/>
    <w:rsid w:val="008755F2"/>
    <w:rsid w:val="008D6CD0"/>
    <w:rsid w:val="008E33DD"/>
    <w:rsid w:val="009255A6"/>
    <w:rsid w:val="009704CD"/>
    <w:rsid w:val="00972E70"/>
    <w:rsid w:val="00974E8C"/>
    <w:rsid w:val="00996B99"/>
    <w:rsid w:val="009C2564"/>
    <w:rsid w:val="00A03680"/>
    <w:rsid w:val="00A2193F"/>
    <w:rsid w:val="00A35B1A"/>
    <w:rsid w:val="00A75BA9"/>
    <w:rsid w:val="00AB074C"/>
    <w:rsid w:val="00B02DB1"/>
    <w:rsid w:val="00B3681B"/>
    <w:rsid w:val="00B4403F"/>
    <w:rsid w:val="00B519FF"/>
    <w:rsid w:val="00B554D0"/>
    <w:rsid w:val="00BF000E"/>
    <w:rsid w:val="00C250F9"/>
    <w:rsid w:val="00C43024"/>
    <w:rsid w:val="00C95864"/>
    <w:rsid w:val="00CC6E23"/>
    <w:rsid w:val="00D425DC"/>
    <w:rsid w:val="00D44331"/>
    <w:rsid w:val="00D60247"/>
    <w:rsid w:val="00D65EC5"/>
    <w:rsid w:val="00D803EC"/>
    <w:rsid w:val="00D9218C"/>
    <w:rsid w:val="00DA1121"/>
    <w:rsid w:val="00DB2BCD"/>
    <w:rsid w:val="00DB788B"/>
    <w:rsid w:val="00DE443B"/>
    <w:rsid w:val="00E14844"/>
    <w:rsid w:val="00E17988"/>
    <w:rsid w:val="00E50397"/>
    <w:rsid w:val="00E50AEA"/>
    <w:rsid w:val="00E574E9"/>
    <w:rsid w:val="00E910F6"/>
    <w:rsid w:val="00EF5AE0"/>
    <w:rsid w:val="00EF6A56"/>
    <w:rsid w:val="00F01B84"/>
    <w:rsid w:val="00F20C3E"/>
    <w:rsid w:val="00F32C57"/>
    <w:rsid w:val="00F4465C"/>
    <w:rsid w:val="00F56A6D"/>
    <w:rsid w:val="00F56E78"/>
    <w:rsid w:val="00F84C3B"/>
    <w:rsid w:val="00FB1469"/>
    <w:rsid w:val="00FB1DEC"/>
    <w:rsid w:val="00FD51B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E90F"/>
  <w15:docId w15:val="{103BB876-CFF3-4245-9C80-ABEAE30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7F34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widowControl/>
      <w:tabs>
        <w:tab w:val="left" w:pos="720"/>
      </w:tabs>
      <w:autoSpaceDE/>
      <w:autoSpaceDN/>
      <w:adjustRightInd/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6"/>
    </w:pPr>
    <w:rPr>
      <w:rFonts w:ascii="Georgia" w:eastAsiaTheme="minorHAnsi" w:hAnsi="Georgia" w:cstheme="minorBidi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7"/>
    </w:pPr>
    <w:rPr>
      <w:rFonts w:ascii="Georgia" w:eastAsiaTheme="minorHAnsi" w:hAnsi="Georgia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350854"/>
    <w:pPr>
      <w:numPr>
        <w:numId w:val="49"/>
      </w:numPr>
      <w:spacing w:after="0"/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0"/>
    <w:qFormat/>
    <w:rsid w:val="00AB074C"/>
    <w:rPr>
      <w:i/>
      <w:iCs/>
    </w:rPr>
  </w:style>
  <w:style w:type="character" w:styleId="Strong">
    <w:name w:val="Strong"/>
    <w:uiPriority w:val="2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Index2">
    <w:name w:val="index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 w:hanging="240"/>
    </w:pPr>
    <w:rPr>
      <w:rFonts w:ascii="Georgia" w:eastAsiaTheme="minorHAnsi" w:hAnsi="Georgia" w:cstheme="minorBidi"/>
    </w:rPr>
  </w:style>
  <w:style w:type="paragraph" w:styleId="Index3">
    <w:name w:val="index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240"/>
    </w:pPr>
    <w:rPr>
      <w:rFonts w:ascii="Georgia" w:eastAsiaTheme="minorHAnsi" w:hAnsi="Georgia" w:cstheme="minorBidi"/>
    </w:rPr>
  </w:style>
  <w:style w:type="paragraph" w:styleId="Index4">
    <w:name w:val="index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 w:hanging="240"/>
    </w:pPr>
    <w:rPr>
      <w:rFonts w:ascii="Georgia" w:eastAsiaTheme="minorHAnsi" w:hAnsi="Georgia" w:cstheme="minorBidi"/>
    </w:rPr>
  </w:style>
  <w:style w:type="paragraph" w:styleId="Index5">
    <w:name w:val="index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 w:hanging="240"/>
    </w:pPr>
    <w:rPr>
      <w:rFonts w:ascii="Georgia" w:eastAsiaTheme="minorHAnsi" w:hAnsi="Georgia" w:cstheme="minorBidi"/>
    </w:rPr>
  </w:style>
  <w:style w:type="paragraph" w:styleId="Index6">
    <w:name w:val="index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240"/>
    </w:pPr>
    <w:rPr>
      <w:rFonts w:ascii="Georgia" w:eastAsiaTheme="minorHAnsi" w:hAnsi="Georgia" w:cstheme="minorBidi"/>
    </w:rPr>
  </w:style>
  <w:style w:type="paragraph" w:styleId="Index7">
    <w:name w:val="index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 w:hanging="240"/>
    </w:pPr>
    <w:rPr>
      <w:rFonts w:ascii="Georgia" w:eastAsiaTheme="minorHAnsi" w:hAnsi="Georgia" w:cstheme="minorBidi"/>
    </w:rPr>
  </w:style>
  <w:style w:type="paragraph" w:styleId="Index8">
    <w:name w:val="index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 w:hanging="240"/>
    </w:pPr>
    <w:rPr>
      <w:rFonts w:ascii="Georgia" w:eastAsiaTheme="minorHAnsi" w:hAnsi="Georgia" w:cstheme="minorBidi"/>
    </w:rPr>
  </w:style>
  <w:style w:type="paragraph" w:styleId="Index9">
    <w:name w:val="index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160" w:hanging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TOC2">
    <w:name w:val="toc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/>
    </w:pPr>
    <w:rPr>
      <w:rFonts w:ascii="Georgia" w:eastAsiaTheme="minorHAnsi" w:hAnsi="Georgia" w:cstheme="minorBidi"/>
    </w:rPr>
  </w:style>
  <w:style w:type="paragraph" w:styleId="TOC3">
    <w:name w:val="toc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/>
    </w:pPr>
    <w:rPr>
      <w:rFonts w:ascii="Georgia" w:eastAsiaTheme="minorHAnsi" w:hAnsi="Georgia" w:cstheme="minorBidi"/>
    </w:rPr>
  </w:style>
  <w:style w:type="paragraph" w:styleId="NormalIndent">
    <w:name w:val="Normal Indent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FootnoteText">
    <w:name w:val="footnote text"/>
    <w:basedOn w:val="Normal"/>
    <w:link w:val="Foot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widowControl/>
      <w:tabs>
        <w:tab w:val="left" w:pos="720"/>
      </w:tabs>
      <w:autoSpaceDE/>
      <w:autoSpaceDN/>
      <w:adjustRightInd/>
      <w:spacing w:before="-1" w:after="-1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120" w:after="-1"/>
    </w:pPr>
    <w:rPr>
      <w:rFonts w:ascii="Arial" w:eastAsiaTheme="minorHAnsi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360"/>
    </w:pPr>
    <w:rPr>
      <w:rFonts w:ascii="Georgia" w:eastAsiaTheme="minorHAnsi" w:hAnsi="Georgia" w:cstheme="minorBidi"/>
    </w:rPr>
  </w:style>
  <w:style w:type="paragraph" w:styleId="List3">
    <w:name w:val="List 3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080" w:hanging="360"/>
    </w:pPr>
    <w:rPr>
      <w:rFonts w:ascii="Georgia" w:eastAsiaTheme="minorHAnsi" w:hAnsi="Georgia" w:cstheme="minorBidi"/>
    </w:rPr>
  </w:style>
  <w:style w:type="paragraph" w:styleId="List4">
    <w:name w:val="List 4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360"/>
    </w:pPr>
    <w:rPr>
      <w:rFonts w:ascii="Georgia" w:eastAsiaTheme="minorHAnsi" w:hAnsi="Georgia" w:cstheme="minorBidi"/>
    </w:rPr>
  </w:style>
  <w:style w:type="paragraph" w:styleId="List5">
    <w:name w:val="List 5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800" w:hanging="360"/>
    </w:pPr>
    <w:rPr>
      <w:rFonts w:ascii="Georgia" w:eastAsiaTheme="minorHAnsi" w:hAnsi="Georgia" w:cstheme="minorBidi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widowControl/>
      <w:numPr>
        <w:numId w:val="2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4">
    <w:name w:val="List Bullet 4"/>
    <w:basedOn w:val="Normal"/>
    <w:uiPriority w:val="5"/>
    <w:semiHidden/>
    <w:rsid w:val="00AB074C"/>
    <w:pPr>
      <w:widowControl/>
      <w:numPr>
        <w:numId w:val="3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5">
    <w:name w:val="List Bullet 5"/>
    <w:basedOn w:val="Normal"/>
    <w:uiPriority w:val="5"/>
    <w:semiHidden/>
    <w:rsid w:val="00AB074C"/>
    <w:pPr>
      <w:widowControl/>
      <w:numPr>
        <w:numId w:val="33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2">
    <w:name w:val="List Number 2"/>
    <w:basedOn w:val="Normal"/>
    <w:uiPriority w:val="5"/>
    <w:semiHidden/>
    <w:unhideWhenUsed/>
    <w:rsid w:val="00AB074C"/>
    <w:pPr>
      <w:widowControl/>
      <w:numPr>
        <w:numId w:val="35"/>
      </w:numPr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3">
    <w:name w:val="List Number 3"/>
    <w:basedOn w:val="Normal"/>
    <w:uiPriority w:val="5"/>
    <w:semiHidden/>
    <w:rsid w:val="00AB074C"/>
    <w:pPr>
      <w:widowControl/>
      <w:numPr>
        <w:numId w:val="37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4">
    <w:name w:val="List Number 4"/>
    <w:basedOn w:val="Normal"/>
    <w:uiPriority w:val="5"/>
    <w:semiHidden/>
    <w:rsid w:val="00AB074C"/>
    <w:pPr>
      <w:widowControl/>
      <w:numPr>
        <w:numId w:val="3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5">
    <w:name w:val="List Number 5"/>
    <w:basedOn w:val="Normal"/>
    <w:uiPriority w:val="5"/>
    <w:semiHidden/>
    <w:rsid w:val="00AB074C"/>
    <w:pPr>
      <w:widowControl/>
      <w:numPr>
        <w:numId w:val="4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Closing">
    <w:name w:val="Closing"/>
    <w:basedOn w:val="Normal"/>
    <w:link w:val="Clos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720"/>
    </w:pPr>
    <w:rPr>
      <w:rFonts w:ascii="Georgia" w:eastAsiaTheme="minorHAnsi" w:hAnsi="Georgia" w:cstheme="minorBidi"/>
    </w:rPr>
  </w:style>
  <w:style w:type="paragraph" w:styleId="ListContinue3">
    <w:name w:val="List Continue 3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080"/>
    </w:pPr>
    <w:rPr>
      <w:rFonts w:ascii="Georgia" w:eastAsiaTheme="minorHAnsi" w:hAnsi="Georgia" w:cstheme="minorBidi"/>
    </w:rPr>
  </w:style>
  <w:style w:type="paragraph" w:styleId="ListContinue4">
    <w:name w:val="List Continue 4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440"/>
    </w:pPr>
    <w:rPr>
      <w:rFonts w:ascii="Georgia" w:eastAsiaTheme="minorHAnsi" w:hAnsi="Georgia" w:cstheme="minorBidi"/>
    </w:rPr>
  </w:style>
  <w:style w:type="paragraph" w:styleId="ListContinue5">
    <w:name w:val="List Continue 5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800"/>
    </w:pPr>
    <w:rPr>
      <w:rFonts w:ascii="Georgia" w:eastAsiaTheme="minorHAnsi" w:hAnsi="Georgia" w:cstheme="minorBidi"/>
    </w:rPr>
  </w:style>
  <w:style w:type="paragraph" w:styleId="MessageHeader">
    <w:name w:val="Message Header"/>
    <w:basedOn w:val="Normal"/>
    <w:link w:val="MessageHeaderChar"/>
    <w:semiHidden/>
    <w:rsid w:val="00AB07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autoSpaceDE/>
      <w:autoSpaceDN/>
      <w:adjustRightInd/>
      <w:spacing w:before="-1" w:after="-1"/>
      <w:ind w:left="1080" w:hanging="1080"/>
    </w:pPr>
    <w:rPr>
      <w:rFonts w:ascii="Arial" w:eastAsiaTheme="minorHAnsi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</w:pPr>
    <w:rPr>
      <w:rFonts w:ascii="Georgia" w:eastAsiaTheme="minorHAnsi" w:hAnsi="Georgia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widowControl/>
      <w:shd w:val="clear" w:color="auto" w:fill="FFFF00"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352F1"/>
    <w:pPr>
      <w:spacing w:before="0" w:after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9364-4BD7-4614-BAC3-E894BD9E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Redmond</dc:creator>
  <cp:lastModifiedBy>Ken Sherry</cp:lastModifiedBy>
  <cp:revision>2</cp:revision>
  <dcterms:created xsi:type="dcterms:W3CDTF">2019-12-03T16:19:00Z</dcterms:created>
  <dcterms:modified xsi:type="dcterms:W3CDTF">2019-12-03T16:19:00Z</dcterms:modified>
</cp:coreProperties>
</file>