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CDA921" w14:textId="19390E6F" w:rsidR="00946782" w:rsidRPr="00F80EEF" w:rsidRDefault="00946782" w:rsidP="00A40E06">
      <w:pPr>
        <w:pStyle w:val="Heading1"/>
        <w:spacing w:before="0" w:after="0"/>
      </w:pPr>
      <w:r w:rsidRPr="00F80EEF">
        <w:t>Comments by the Texas Commission on En</w:t>
      </w:r>
      <w:r w:rsidR="0097312F">
        <w:t xml:space="preserve">vironmental Quality Regarding </w:t>
      </w:r>
      <w:r w:rsidR="004B5125" w:rsidRPr="004B5125">
        <w:t xml:space="preserve">the </w:t>
      </w:r>
      <w:r w:rsidR="0057729F">
        <w:t xml:space="preserve">September 2019 </w:t>
      </w:r>
      <w:r w:rsidR="00573D2D">
        <w:t xml:space="preserve">External Review </w:t>
      </w:r>
      <w:r w:rsidR="004B5125" w:rsidRPr="004B5125">
        <w:t xml:space="preserve">draft </w:t>
      </w:r>
      <w:r w:rsidR="000759C2">
        <w:t>Policy</w:t>
      </w:r>
      <w:r w:rsidR="003F797E">
        <w:t xml:space="preserve"> Assessment</w:t>
      </w:r>
      <w:r w:rsidR="004B5125" w:rsidRPr="004B5125">
        <w:t xml:space="preserve"> for particulate matter</w:t>
      </w:r>
    </w:p>
    <w:p w14:paraId="79DE4DF9" w14:textId="77777777" w:rsidR="00946782" w:rsidRPr="00F80EEF" w:rsidRDefault="00946782" w:rsidP="000759C2">
      <w:pPr>
        <w:pStyle w:val="Heading1"/>
        <w:spacing w:before="0" w:after="0"/>
      </w:pPr>
      <w:r w:rsidRPr="00F80EEF">
        <w:t>EPA Docket ID NO. EPA-</w:t>
      </w:r>
      <w:r w:rsidR="000759C2">
        <w:t>HQ–OAR–2015–0072</w:t>
      </w:r>
    </w:p>
    <w:p w14:paraId="60623461" w14:textId="77777777" w:rsidR="00946782" w:rsidRPr="00F80EEF" w:rsidRDefault="00946782" w:rsidP="00212883">
      <w:pPr>
        <w:pStyle w:val="BodyText"/>
        <w:spacing w:after="0"/>
      </w:pPr>
    </w:p>
    <w:p w14:paraId="32804EDF" w14:textId="77777777" w:rsidR="00946782" w:rsidRPr="00F07D55" w:rsidRDefault="00946782" w:rsidP="00F07D55">
      <w:pPr>
        <w:pStyle w:val="Heading2"/>
      </w:pPr>
      <w:r w:rsidRPr="00F07D55">
        <w:t>Summary of Proposed Action</w:t>
      </w:r>
    </w:p>
    <w:p w14:paraId="7F5E8E7C" w14:textId="77777777" w:rsidR="00946782" w:rsidRPr="00BF312E" w:rsidRDefault="00946782" w:rsidP="00BF312E">
      <w:pPr>
        <w:pStyle w:val="BodyText"/>
        <w:spacing w:after="0"/>
        <w:rPr>
          <w:rStyle w:val="Strong"/>
          <w:b w:val="0"/>
        </w:rPr>
      </w:pPr>
      <w:r w:rsidRPr="00BF312E">
        <w:t xml:space="preserve">On </w:t>
      </w:r>
      <w:r w:rsidR="000759C2">
        <w:t>September 11, 2019</w:t>
      </w:r>
      <w:r w:rsidRPr="00BF312E">
        <w:t xml:space="preserve">, the United States Environmental Protection Agency (EPA) published in the </w:t>
      </w:r>
      <w:r w:rsidRPr="00BF312E">
        <w:rPr>
          <w:rStyle w:val="Emphasis"/>
        </w:rPr>
        <w:t>Federal Register</w:t>
      </w:r>
      <w:r w:rsidRPr="00BF312E">
        <w:t xml:space="preserve"> (</w:t>
      </w:r>
      <w:r w:rsidR="004B5125" w:rsidRPr="00BF312E">
        <w:t>8</w:t>
      </w:r>
      <w:r w:rsidR="000759C2">
        <w:t>4</w:t>
      </w:r>
      <w:r w:rsidRPr="00BF312E">
        <w:t xml:space="preserve"> FR</w:t>
      </w:r>
      <w:r w:rsidR="004B5125" w:rsidRPr="00BF312E">
        <w:t xml:space="preserve"> </w:t>
      </w:r>
      <w:r w:rsidR="000759C2">
        <w:t>47944</w:t>
      </w:r>
      <w:r w:rsidRPr="00BF312E">
        <w:t xml:space="preserve">) </w:t>
      </w:r>
      <w:r w:rsidR="004B5125" w:rsidRPr="00BF312E">
        <w:rPr>
          <w:rStyle w:val="Strong"/>
          <w:b w:val="0"/>
        </w:rPr>
        <w:t xml:space="preserve">notice of the availability and public comment period for the </w:t>
      </w:r>
      <w:r w:rsidR="00573D2D">
        <w:rPr>
          <w:rStyle w:val="Strong"/>
          <w:b w:val="0"/>
        </w:rPr>
        <w:t xml:space="preserve">External Review </w:t>
      </w:r>
      <w:r w:rsidR="004B5125" w:rsidRPr="00BF312E">
        <w:rPr>
          <w:rStyle w:val="Strong"/>
          <w:b w:val="0"/>
        </w:rPr>
        <w:t xml:space="preserve">Draft </w:t>
      </w:r>
      <w:r w:rsidR="00573D2D">
        <w:rPr>
          <w:rStyle w:val="Strong"/>
          <w:b w:val="0"/>
        </w:rPr>
        <w:t xml:space="preserve">of the </w:t>
      </w:r>
      <w:r w:rsidR="000759C2">
        <w:rPr>
          <w:rStyle w:val="Strong"/>
          <w:b w:val="0"/>
        </w:rPr>
        <w:t xml:space="preserve">Policy </w:t>
      </w:r>
      <w:r w:rsidR="00573D2D">
        <w:rPr>
          <w:rStyle w:val="Strong"/>
          <w:b w:val="0"/>
        </w:rPr>
        <w:t>Assessment</w:t>
      </w:r>
      <w:r w:rsidR="004B5125" w:rsidRPr="00BF312E">
        <w:rPr>
          <w:rStyle w:val="Strong"/>
          <w:b w:val="0"/>
        </w:rPr>
        <w:t xml:space="preserve"> for Particulate Matter.</w:t>
      </w:r>
    </w:p>
    <w:p w14:paraId="698D2434" w14:textId="005CA1D8" w:rsidR="00946782" w:rsidRDefault="004B5125" w:rsidP="00BF312E">
      <w:pPr>
        <w:pStyle w:val="BodyText"/>
        <w:spacing w:after="0"/>
      </w:pPr>
      <w:r>
        <w:t xml:space="preserve">The </w:t>
      </w:r>
      <w:r w:rsidR="000759C2">
        <w:t>Policy Assessment (PA</w:t>
      </w:r>
      <w:r w:rsidR="00573D2D">
        <w:t>)</w:t>
      </w:r>
      <w:r>
        <w:t xml:space="preserve"> </w:t>
      </w:r>
      <w:r w:rsidR="0073579F">
        <w:t xml:space="preserve">draws from the scientific evidence assessed in the draft Integrated Science Assessment </w:t>
      </w:r>
      <w:r w:rsidR="00A40B03">
        <w:t xml:space="preserve">(ISA) </w:t>
      </w:r>
      <w:r w:rsidR="0073579F">
        <w:t>for Particulate Matter</w:t>
      </w:r>
      <w:r w:rsidR="00353D50">
        <w:t xml:space="preserve"> (PM)</w:t>
      </w:r>
      <w:r w:rsidR="0073579F">
        <w:t xml:space="preserve">, together with the results of air quality and other quantitative analyses, as available. When final, the PA is intended to “bridge the gap” between the scientific and technical information available in the review and the judgments required of the Administrator in determining whether to retain or revise the existing PM </w:t>
      </w:r>
      <w:r w:rsidR="00353D50">
        <w:t>national ambient air quality standard (</w:t>
      </w:r>
      <w:r w:rsidR="0073579F">
        <w:t>NAAQS</w:t>
      </w:r>
      <w:r w:rsidR="00353D50">
        <w:t>)</w:t>
      </w:r>
      <w:r w:rsidR="0073579F">
        <w:t xml:space="preserve">. </w:t>
      </w:r>
      <w:r w:rsidR="00573D2D">
        <w:t>The EPA last revised the primary PM NAAQS in 2012 based on the available scientific literature supporting that standard.</w:t>
      </w:r>
    </w:p>
    <w:p w14:paraId="66B2D427" w14:textId="71593343" w:rsidR="00946782" w:rsidRPr="00F07D55" w:rsidRDefault="00CB5DDC" w:rsidP="00B6077C">
      <w:pPr>
        <w:pStyle w:val="Heading2"/>
        <w:spacing w:before="240"/>
      </w:pPr>
      <w:r>
        <w:t xml:space="preserve">General </w:t>
      </w:r>
      <w:r w:rsidR="00946782" w:rsidRPr="00F07D55">
        <w:t>Comments</w:t>
      </w:r>
    </w:p>
    <w:p w14:paraId="7581C045" w14:textId="77777777" w:rsidR="0076027E" w:rsidRDefault="0009603A" w:rsidP="00B6077C">
      <w:pPr>
        <w:pStyle w:val="Heading4"/>
      </w:pPr>
      <w:r w:rsidRPr="00B6077C">
        <w:t>The current annual and 24-hour PM NAAQS should be retained without revision.</w:t>
      </w:r>
      <w:r w:rsidR="0076027E" w:rsidRPr="0076027E">
        <w:t xml:space="preserve"> </w:t>
      </w:r>
    </w:p>
    <w:p w14:paraId="0DBA0AAF" w14:textId="77777777" w:rsidR="0076027E" w:rsidRDefault="0076027E" w:rsidP="0009603A">
      <w:pPr>
        <w:pStyle w:val="BodyText"/>
        <w:spacing w:after="0"/>
      </w:pPr>
      <w:r>
        <w:t>T</w:t>
      </w:r>
      <w:r w:rsidRPr="0076027E">
        <w:t xml:space="preserve">he level of the current primary NAAQS offers </w:t>
      </w:r>
      <w:proofErr w:type="gramStart"/>
      <w:r w:rsidRPr="0076027E">
        <w:t>sufficient</w:t>
      </w:r>
      <w:proofErr w:type="gramEnd"/>
      <w:r w:rsidRPr="0076027E">
        <w:t xml:space="preserve"> protection of public health with an adequate margin of safety.</w:t>
      </w:r>
      <w:r>
        <w:t xml:space="preserve"> </w:t>
      </w:r>
    </w:p>
    <w:p w14:paraId="777D6AA2" w14:textId="77777777" w:rsidR="00D37548" w:rsidRDefault="0009603A" w:rsidP="00D37548">
      <w:pPr>
        <w:pStyle w:val="BodyText"/>
        <w:spacing w:before="240" w:after="0"/>
      </w:pPr>
      <w:r w:rsidRPr="00D37548">
        <w:rPr>
          <w:rStyle w:val="Heading5Char"/>
        </w:rPr>
        <w:t>Risk estimates based on recent literature in the EPA PA (2019) do not provide a sufficiently sound scientific basis for expecting that reducing the annual or 24-hour PM</w:t>
      </w:r>
      <w:r w:rsidRPr="005F6D5A">
        <w:rPr>
          <w:rStyle w:val="Heading5Char"/>
          <w:vertAlign w:val="subscript"/>
        </w:rPr>
        <w:t>2.5</w:t>
      </w:r>
      <w:r w:rsidRPr="00D37548">
        <w:rPr>
          <w:rStyle w:val="Heading5Char"/>
        </w:rPr>
        <w:t xml:space="preserve"> NAAQS values would result in real reductions in mortality risk.</w:t>
      </w:r>
      <w:r w:rsidRPr="0009603A">
        <w:t xml:space="preserve"> </w:t>
      </w:r>
    </w:p>
    <w:p w14:paraId="3538998A" w14:textId="255636B4" w:rsidR="0009603A" w:rsidRDefault="0009603A" w:rsidP="00D37548">
      <w:pPr>
        <w:pStyle w:val="BodyText"/>
        <w:spacing w:before="240" w:after="0"/>
      </w:pPr>
      <w:r w:rsidRPr="0009603A">
        <w:t xml:space="preserve">That is, statistical weight-of-evidence (WOE) and other considerations do not indicate that further reductions from the current NAAQS values can be confidently counted on to provide a real public health benefit in terms of reductions in mortality. EPA’s own work points to this conclusion. Tables 3-5 and 3-7 of the </w:t>
      </w:r>
      <w:r w:rsidR="00C42206">
        <w:t>EPA</w:t>
      </w:r>
      <w:r w:rsidRPr="0009603A">
        <w:t xml:space="preserve"> PA (2019) provide PM</w:t>
      </w:r>
      <w:r w:rsidRPr="00A40B03">
        <w:rPr>
          <w:vertAlign w:val="subscript"/>
        </w:rPr>
        <w:t>2.5</w:t>
      </w:r>
      <w:r w:rsidRPr="0009603A">
        <w:t>-associated risk estimates for the current annual and 24-hour NAAQS and various alternative standards (i.e., 11, 10, and 9 µg/m</w:t>
      </w:r>
      <w:r w:rsidRPr="00A705B9">
        <w:rPr>
          <w:vertAlign w:val="superscript"/>
        </w:rPr>
        <w:t xml:space="preserve">3 </w:t>
      </w:r>
      <w:r w:rsidRPr="0009603A">
        <w:t>as alternate annual PM</w:t>
      </w:r>
      <w:r w:rsidRPr="00A705B9">
        <w:rPr>
          <w:vertAlign w:val="subscript"/>
        </w:rPr>
        <w:t xml:space="preserve">2.5 </w:t>
      </w:r>
      <w:r w:rsidRPr="0009603A">
        <w:t>standards and 30 µg/m</w:t>
      </w:r>
      <w:r w:rsidRPr="00A705B9">
        <w:rPr>
          <w:vertAlign w:val="superscript"/>
        </w:rPr>
        <w:t>3</w:t>
      </w:r>
      <w:r w:rsidRPr="0009603A">
        <w:t xml:space="preserve"> as an alternative 24-hour PM</w:t>
      </w:r>
      <w:r w:rsidRPr="00A705B9">
        <w:rPr>
          <w:vertAlign w:val="subscript"/>
        </w:rPr>
        <w:t xml:space="preserve">2.5 </w:t>
      </w:r>
      <w:r w:rsidRPr="0009603A">
        <w:t xml:space="preserve">standard) based on concentration-response functions from various epidemiological studies (see pp. 3-85 and 3-88 of </w:t>
      </w:r>
      <w:r w:rsidR="00C42206">
        <w:t>EPA</w:t>
      </w:r>
      <w:r w:rsidRPr="0009603A">
        <w:t xml:space="preserve"> PA 2019). These tables are used below, along with other considerations where necessary (e.g., the inaccuracy of </w:t>
      </w:r>
      <w:r w:rsidR="00C42206">
        <w:t>EPA</w:t>
      </w:r>
      <w:r w:rsidRPr="0009603A">
        <w:t>’s modeling relative to the reductions being modeled), to demonstrate this critical point.</w:t>
      </w:r>
    </w:p>
    <w:p w14:paraId="5767254A" w14:textId="77777777" w:rsidR="00652F6D" w:rsidRPr="00865B96" w:rsidRDefault="00652F6D" w:rsidP="00865B96">
      <w:pPr>
        <w:pStyle w:val="Heading5"/>
      </w:pPr>
      <w:r w:rsidRPr="00865B96">
        <w:t>Modeling Inaccuracy</w:t>
      </w:r>
    </w:p>
    <w:p w14:paraId="2B0E5FC6" w14:textId="16061775" w:rsidR="00652F6D" w:rsidRPr="00C17C2F" w:rsidRDefault="00652F6D" w:rsidP="00652F6D">
      <w:pPr>
        <w:pStyle w:val="BodyText"/>
        <w:spacing w:after="0"/>
        <w:rPr>
          <w:sz w:val="24"/>
        </w:rPr>
      </w:pPr>
      <w:r w:rsidRPr="00B6077C">
        <w:t>Likewise, the relative inaccuracy of EPA’s modeling does not support</w:t>
      </w:r>
      <w:r>
        <w:rPr>
          <w:b/>
          <w:sz w:val="24"/>
        </w:rPr>
        <w:t xml:space="preserve"> </w:t>
      </w:r>
      <w:r w:rsidRPr="00B6077C">
        <w:t>lowering the annual PM</w:t>
      </w:r>
      <w:r w:rsidRPr="00D37548">
        <w:rPr>
          <w:vertAlign w:val="subscript"/>
        </w:rPr>
        <w:t>2.5</w:t>
      </w:r>
      <w:r w:rsidRPr="00B6077C">
        <w:t xml:space="preserve"> standard. Table C-6 of the EPA PA (2019) indicates that the mean bias (MB) in modeled PM</w:t>
      </w:r>
      <w:r w:rsidRPr="00D37548">
        <w:rPr>
          <w:vertAlign w:val="subscript"/>
        </w:rPr>
        <w:t>2.5</w:t>
      </w:r>
      <w:r w:rsidRPr="00B6077C">
        <w:t xml:space="preserve"> concentrations </w:t>
      </w:r>
      <w:proofErr w:type="gramStart"/>
      <w:r w:rsidRPr="00B6077C">
        <w:t>ranges</w:t>
      </w:r>
      <w:proofErr w:type="gramEnd"/>
      <w:r w:rsidRPr="00B6077C">
        <w:t xml:space="preserve"> from -2.49 to +2.71 µg/m</w:t>
      </w:r>
      <w:r w:rsidRPr="00D37548">
        <w:rPr>
          <w:vertAlign w:val="superscript"/>
        </w:rPr>
        <w:t>3</w:t>
      </w:r>
      <w:r w:rsidRPr="00B6077C">
        <w:t>. For every region of the US, at least one season has an MB (i.e., error) ≥ one or more of the proposed reductions in the annual PM</w:t>
      </w:r>
      <w:r w:rsidRPr="00D37548">
        <w:rPr>
          <w:vertAlign w:val="subscript"/>
        </w:rPr>
        <w:t>2.5</w:t>
      </w:r>
      <w:r w:rsidRPr="00B6077C">
        <w:t xml:space="preserve"> NAAQS (i.e., annual standard reductions of 1-3 µg/m</w:t>
      </w:r>
      <w:r w:rsidRPr="00D37548">
        <w:rPr>
          <w:vertAlign w:val="superscript"/>
        </w:rPr>
        <w:t>3</w:t>
      </w:r>
      <w:r w:rsidRPr="00B6077C">
        <w:t>). That is, uncertainty associated with the modeling is of the same magnitude as the annual PM</w:t>
      </w:r>
      <w:r w:rsidRPr="00D37548">
        <w:rPr>
          <w:vertAlign w:val="subscript"/>
        </w:rPr>
        <w:t>2.5</w:t>
      </w:r>
      <w:r w:rsidRPr="00B6077C">
        <w:t xml:space="preserve"> reductions being modeled. As a result, the EPA model cannot even accurately model the risk reductions associated with the alternative PM</w:t>
      </w:r>
      <w:r w:rsidRPr="00D37548">
        <w:rPr>
          <w:vertAlign w:val="subscript"/>
        </w:rPr>
        <w:t>2.5</w:t>
      </w:r>
      <w:r w:rsidRPr="00B6077C">
        <w:t xml:space="preserve"> standards (i.e., PM</w:t>
      </w:r>
      <w:r w:rsidRPr="00D37548">
        <w:rPr>
          <w:vertAlign w:val="subscript"/>
        </w:rPr>
        <w:t>2.5</w:t>
      </w:r>
      <w:r w:rsidRPr="00B6077C">
        <w:t xml:space="preserve"> reductions) that EPA is evaluating/proposing because modeling error is admittedly the same or greater than the PM</w:t>
      </w:r>
      <w:r w:rsidRPr="00D37548">
        <w:rPr>
          <w:vertAlign w:val="subscript"/>
        </w:rPr>
        <w:t>2.5</w:t>
      </w:r>
      <w:r w:rsidRPr="00B6077C">
        <w:t xml:space="preserve"> reductions associated with the alternative standards. Modeling with errors equal to or greater than the reductions EPA is attempting to model/propose is incapable of adequately supporting such </w:t>
      </w:r>
      <w:r w:rsidRPr="0022485B">
        <w:t xml:space="preserve">reductions because the modeling is </w:t>
      </w:r>
      <w:r w:rsidRPr="0022485B">
        <w:lastRenderedPageBreak/>
        <w:t xml:space="preserve">simply not accurate enough to accurately predict risk reductions </w:t>
      </w:r>
      <w:r w:rsidRPr="00A705B9">
        <w:t>associated with the 1-3 µg/m</w:t>
      </w:r>
      <w:r w:rsidRPr="00D37548">
        <w:rPr>
          <w:vertAlign w:val="superscript"/>
        </w:rPr>
        <w:t>3</w:t>
      </w:r>
      <w:r w:rsidRPr="00A705B9">
        <w:t xml:space="preserve"> lower alternative standards evaluated. </w:t>
      </w:r>
      <w:bookmarkStart w:id="0" w:name="_Hlk22028104"/>
      <w:r w:rsidRPr="00A705B9">
        <w:t>This</w:t>
      </w:r>
      <w:r>
        <w:rPr>
          <w:sz w:val="24"/>
        </w:rPr>
        <w:t xml:space="preserve"> is not surprising given that </w:t>
      </w:r>
      <w:r w:rsidRPr="00FD22E8">
        <w:rPr>
          <w:i/>
          <w:sz w:val="24"/>
        </w:rPr>
        <w:t xml:space="preserve">the average Pearson correlation coefficient (r) between the observed concentrations and those modeled by </w:t>
      </w:r>
      <w:r>
        <w:rPr>
          <w:i/>
          <w:sz w:val="24"/>
        </w:rPr>
        <w:t>EPA</w:t>
      </w:r>
      <w:r w:rsidRPr="00FD22E8">
        <w:rPr>
          <w:i/>
          <w:sz w:val="24"/>
        </w:rPr>
        <w:t xml:space="preserve"> (across the nation) in Table C-6 </w:t>
      </w:r>
      <w:r w:rsidRPr="00B15E86">
        <w:rPr>
          <w:i/>
          <w:sz w:val="24"/>
        </w:rPr>
        <w:t xml:space="preserve">is 0.529, </w:t>
      </w:r>
      <w:r w:rsidRPr="00B15E86">
        <w:rPr>
          <w:sz w:val="24"/>
        </w:rPr>
        <w:t>which</w:t>
      </w:r>
      <w:r w:rsidRPr="00FD22E8">
        <w:rPr>
          <w:sz w:val="24"/>
        </w:rPr>
        <w:t xml:space="preserve"> may be interpreted as merely a “</w:t>
      </w:r>
      <w:r w:rsidRPr="00FD22E8">
        <w:rPr>
          <w:i/>
          <w:sz w:val="24"/>
        </w:rPr>
        <w:t>moderate correlation</w:t>
      </w:r>
      <w:r w:rsidRPr="00FD22E8">
        <w:rPr>
          <w:sz w:val="24"/>
        </w:rPr>
        <w:t xml:space="preserve">” (Schober et al. 2018) and provides </w:t>
      </w:r>
      <w:r w:rsidRPr="00FD22E8">
        <w:rPr>
          <w:i/>
          <w:sz w:val="24"/>
        </w:rPr>
        <w:t>a</w:t>
      </w:r>
      <w:r w:rsidRPr="00FD22E8">
        <w:rPr>
          <w:sz w:val="24"/>
        </w:rPr>
        <w:t xml:space="preserve"> </w:t>
      </w:r>
      <w:r w:rsidRPr="00FD22E8">
        <w:rPr>
          <w:i/>
          <w:sz w:val="24"/>
        </w:rPr>
        <w:t>poor basis for risk assessment and scientific or policy decision making</w:t>
      </w:r>
      <w:r>
        <w:rPr>
          <w:sz w:val="24"/>
        </w:rPr>
        <w:t>.</w:t>
      </w:r>
      <w:bookmarkEnd w:id="0"/>
    </w:p>
    <w:p w14:paraId="4B8886F1" w14:textId="77777777" w:rsidR="00180C7F" w:rsidRPr="00865B96" w:rsidRDefault="0009603A" w:rsidP="00865B96">
      <w:pPr>
        <w:pStyle w:val="Heading5"/>
      </w:pPr>
      <w:r w:rsidRPr="00865B96">
        <w:t>Short-Term Exposure Related Mortality Risk</w:t>
      </w:r>
    </w:p>
    <w:p w14:paraId="4FADA623" w14:textId="77777777" w:rsidR="009826C1" w:rsidRPr="00353D50" w:rsidRDefault="009826C1" w:rsidP="009826C1">
      <w:pPr>
        <w:pStyle w:val="BodyText"/>
        <w:spacing w:after="0"/>
      </w:pPr>
      <w:r w:rsidRPr="00322FBF">
        <w:rPr>
          <w:sz w:val="24"/>
        </w:rPr>
        <w:t xml:space="preserve">Examination of Table 3-5 below reveals that all short-term exposure related mortality risks (best estimates) associated with the current </w:t>
      </w:r>
      <w:r w:rsidRPr="000B1A91">
        <w:rPr>
          <w:sz w:val="24"/>
        </w:rPr>
        <w:t>PM</w:t>
      </w:r>
      <w:r w:rsidRPr="000B1A91">
        <w:rPr>
          <w:sz w:val="24"/>
          <w:vertAlign w:val="subscript"/>
        </w:rPr>
        <w:t>2.5</w:t>
      </w:r>
      <w:r w:rsidRPr="000B1A91">
        <w:rPr>
          <w:b/>
          <w:sz w:val="24"/>
        </w:rPr>
        <w:t xml:space="preserve"> </w:t>
      </w:r>
      <w:r w:rsidRPr="00322FBF">
        <w:rPr>
          <w:sz w:val="24"/>
        </w:rPr>
        <w:t xml:space="preserve">NAAQS values are included in the risk confidence interval (CI) ranges for the alternative standards. For example, the current standard best estimate of 2,490 based on Baxter 2017 (all-cause mortality, </w:t>
      </w:r>
      <w:r w:rsidR="00FF689A">
        <w:rPr>
          <w:sz w:val="24"/>
        </w:rPr>
        <w:t>primary PM-based modeling approach (</w:t>
      </w:r>
      <w:proofErr w:type="spellStart"/>
      <w:r w:rsidRPr="00322FBF">
        <w:rPr>
          <w:sz w:val="24"/>
        </w:rPr>
        <w:t>Pri</w:t>
      </w:r>
      <w:proofErr w:type="spellEnd"/>
      <w:r w:rsidRPr="00322FBF">
        <w:rPr>
          <w:sz w:val="24"/>
        </w:rPr>
        <w:t>-PM)</w:t>
      </w:r>
      <w:r w:rsidR="00FF689A">
        <w:rPr>
          <w:sz w:val="24"/>
        </w:rPr>
        <w:t>)</w:t>
      </w:r>
      <w:r w:rsidRPr="00322FBF">
        <w:rPr>
          <w:sz w:val="24"/>
        </w:rPr>
        <w:t xml:space="preserve"> falls well within the CIs for the alternative standards (i.e., CI of 850-3,450 for the alternative annual </w:t>
      </w:r>
      <w:r>
        <w:rPr>
          <w:sz w:val="24"/>
        </w:rPr>
        <w:t xml:space="preserve">standard </w:t>
      </w:r>
      <w:r w:rsidRPr="00322FBF">
        <w:rPr>
          <w:sz w:val="24"/>
        </w:rPr>
        <w:t xml:space="preserve">and 970-3,950 for the alternative 24-hour </w:t>
      </w:r>
      <w:r>
        <w:rPr>
          <w:sz w:val="24"/>
        </w:rPr>
        <w:t>standard</w:t>
      </w:r>
      <w:r w:rsidRPr="00322FBF">
        <w:rPr>
          <w:sz w:val="24"/>
        </w:rPr>
        <w:t>).</w:t>
      </w:r>
      <w:r>
        <w:rPr>
          <w:sz w:val="24"/>
        </w:rPr>
        <w:t xml:space="preserve"> </w:t>
      </w:r>
      <w:r w:rsidRPr="00353D50">
        <w:t>Thus, based on Table 3-5 results for recent studies, there is no statistical confidence that reducing the annual PM</w:t>
      </w:r>
      <w:r w:rsidRPr="005F6D5A">
        <w:rPr>
          <w:sz w:val="24"/>
          <w:vertAlign w:val="subscript"/>
        </w:rPr>
        <w:t>2.5</w:t>
      </w:r>
      <w:r w:rsidRPr="00353D50">
        <w:t xml:space="preserve"> NAAQS to 10 µg/m</w:t>
      </w:r>
      <w:r w:rsidRPr="00D37548">
        <w:rPr>
          <w:vertAlign w:val="superscript"/>
        </w:rPr>
        <w:t>3</w:t>
      </w:r>
      <w:r w:rsidRPr="00353D50">
        <w:t xml:space="preserve"> or the 24-hour NAAQS to 30 µg/m</w:t>
      </w:r>
      <w:r w:rsidRPr="00D37548">
        <w:rPr>
          <w:vertAlign w:val="superscript"/>
        </w:rPr>
        <w:t>3</w:t>
      </w:r>
      <w:r w:rsidRPr="00353D50">
        <w:t xml:space="preserve"> would </w:t>
      </w:r>
      <w:proofErr w:type="gramStart"/>
      <w:r w:rsidRPr="00353D50">
        <w:t>actually reduce</w:t>
      </w:r>
      <w:proofErr w:type="gramEnd"/>
      <w:r w:rsidRPr="00353D50">
        <w:t xml:space="preserve"> short-term exposure related mortality risk.</w:t>
      </w:r>
    </w:p>
    <w:p w14:paraId="53CB7DB5" w14:textId="347932F7" w:rsidR="009826C1" w:rsidRDefault="00F00F19" w:rsidP="00B6077C">
      <w:pPr>
        <w:pStyle w:val="BodyText"/>
        <w:spacing w:before="240" w:after="0"/>
      </w:pPr>
      <w:r w:rsidRPr="009826C1">
        <w:rPr>
          <w:noProof/>
          <w:sz w:val="24"/>
        </w:rPr>
        <w:drawing>
          <wp:inline distT="0" distB="0" distL="0" distR="0" wp14:anchorId="696D8719" wp14:editId="6166813F">
            <wp:extent cx="5939790" cy="444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4445000"/>
                    </a:xfrm>
                    <a:prstGeom prst="rect">
                      <a:avLst/>
                    </a:prstGeom>
                    <a:noFill/>
                    <a:ln>
                      <a:noFill/>
                    </a:ln>
                  </pic:spPr>
                </pic:pic>
              </a:graphicData>
            </a:graphic>
          </wp:inline>
        </w:drawing>
      </w:r>
    </w:p>
    <w:p w14:paraId="40A25F4C" w14:textId="21DF3544" w:rsidR="009826C1" w:rsidRPr="00322FBF" w:rsidRDefault="009826C1" w:rsidP="00B6077C">
      <w:pPr>
        <w:pStyle w:val="BodyText"/>
        <w:spacing w:before="240" w:after="0"/>
        <w:rPr>
          <w:sz w:val="24"/>
        </w:rPr>
      </w:pPr>
      <w:r w:rsidRPr="00322FBF">
        <w:rPr>
          <w:sz w:val="24"/>
        </w:rPr>
        <w:t xml:space="preserve">Applying the same consideration to short-term exposure related mortality risks in Table 3-7 below shows that in 17 of 18 cases, short-term exposure related mortality risks (best estimates) associated with the current </w:t>
      </w:r>
      <w:r w:rsidRPr="000B1A91">
        <w:rPr>
          <w:sz w:val="24"/>
        </w:rPr>
        <w:t>PM</w:t>
      </w:r>
      <w:r w:rsidRPr="000B1A91">
        <w:rPr>
          <w:sz w:val="24"/>
          <w:vertAlign w:val="subscript"/>
        </w:rPr>
        <w:t>2.5</w:t>
      </w:r>
      <w:r w:rsidRPr="000B1A91">
        <w:rPr>
          <w:b/>
          <w:sz w:val="24"/>
        </w:rPr>
        <w:t xml:space="preserve"> </w:t>
      </w:r>
      <w:r w:rsidRPr="00322FBF">
        <w:rPr>
          <w:sz w:val="24"/>
        </w:rPr>
        <w:t xml:space="preserve">NAAQS values are included in the risk CI ranges for the alternative standards. In the single exception (i.e., </w:t>
      </w:r>
      <w:proofErr w:type="spellStart"/>
      <w:r w:rsidRPr="00322FBF">
        <w:rPr>
          <w:sz w:val="24"/>
        </w:rPr>
        <w:t>Zanobetti</w:t>
      </w:r>
      <w:proofErr w:type="spellEnd"/>
      <w:r w:rsidRPr="00322FBF">
        <w:rPr>
          <w:sz w:val="24"/>
        </w:rPr>
        <w:t xml:space="preserve"> </w:t>
      </w:r>
      <w:r w:rsidR="00F97089">
        <w:rPr>
          <w:sz w:val="24"/>
        </w:rPr>
        <w:t xml:space="preserve">et al. </w:t>
      </w:r>
      <w:r w:rsidRPr="00322FBF">
        <w:rPr>
          <w:sz w:val="24"/>
        </w:rPr>
        <w:t xml:space="preserve">2014, all-cause mortality, </w:t>
      </w:r>
      <w:r w:rsidR="00FF689A">
        <w:rPr>
          <w:sz w:val="24"/>
        </w:rPr>
        <w:t>secondary PM-based modeling approach (</w:t>
      </w:r>
      <w:r w:rsidRPr="00322FBF">
        <w:rPr>
          <w:sz w:val="24"/>
        </w:rPr>
        <w:t>Sec-PM</w:t>
      </w:r>
      <w:r w:rsidR="00FF689A">
        <w:rPr>
          <w:sz w:val="24"/>
        </w:rPr>
        <w:t>)</w:t>
      </w:r>
      <w:r w:rsidRPr="00322FBF">
        <w:rPr>
          <w:sz w:val="24"/>
        </w:rPr>
        <w:t>, 9 µg/m</w:t>
      </w:r>
      <w:r w:rsidRPr="00462884">
        <w:rPr>
          <w:sz w:val="24"/>
          <w:vertAlign w:val="superscript"/>
        </w:rPr>
        <w:t>3</w:t>
      </w:r>
      <w:r w:rsidRPr="00322FBF">
        <w:rPr>
          <w:sz w:val="24"/>
        </w:rPr>
        <w:t xml:space="preserve"> annual alternative standard), there is significant overlap in the risk CIs with the best estimate for the 9 µg/m</w:t>
      </w:r>
      <w:r w:rsidRPr="00462884">
        <w:rPr>
          <w:sz w:val="24"/>
          <w:vertAlign w:val="superscript"/>
        </w:rPr>
        <w:t>3</w:t>
      </w:r>
      <w:r w:rsidRPr="00322FBF">
        <w:rPr>
          <w:sz w:val="24"/>
        </w:rPr>
        <w:t xml:space="preserve"> annual alternative standard (2,440) falling within the CI for the current NAAQS (2,220-4,450).</w:t>
      </w:r>
      <w:r>
        <w:rPr>
          <w:sz w:val="24"/>
        </w:rPr>
        <w:t xml:space="preserve"> </w:t>
      </w:r>
      <w:r w:rsidRPr="00322FBF">
        <w:rPr>
          <w:i/>
          <w:sz w:val="24"/>
        </w:rPr>
        <w:t>Thus,</w:t>
      </w:r>
      <w:r w:rsidRPr="00322FBF">
        <w:rPr>
          <w:sz w:val="24"/>
        </w:rPr>
        <w:t xml:space="preserve"> </w:t>
      </w:r>
      <w:r w:rsidRPr="00322FBF">
        <w:rPr>
          <w:i/>
          <w:sz w:val="24"/>
        </w:rPr>
        <w:t xml:space="preserve">based on Table 3-7 results for recent studies, there is no statistical confidence that reducing the annual </w:t>
      </w:r>
      <w:r w:rsidRPr="00462884">
        <w:rPr>
          <w:i/>
          <w:sz w:val="24"/>
        </w:rPr>
        <w:t>PM</w:t>
      </w:r>
      <w:r w:rsidRPr="00462884">
        <w:rPr>
          <w:i/>
          <w:sz w:val="24"/>
          <w:vertAlign w:val="subscript"/>
        </w:rPr>
        <w:t>2.5</w:t>
      </w:r>
      <w:r w:rsidRPr="000B1A91">
        <w:rPr>
          <w:b/>
          <w:sz w:val="24"/>
        </w:rPr>
        <w:t xml:space="preserve"> </w:t>
      </w:r>
      <w:r w:rsidRPr="00322FBF">
        <w:rPr>
          <w:i/>
          <w:sz w:val="24"/>
        </w:rPr>
        <w:t>NAAQS to a value in the 9</w:t>
      </w:r>
      <w:r w:rsidR="00197652">
        <w:rPr>
          <w:i/>
          <w:sz w:val="24"/>
        </w:rPr>
        <w:noBreakHyphen/>
      </w:r>
      <w:r w:rsidRPr="00322FBF">
        <w:rPr>
          <w:i/>
          <w:sz w:val="24"/>
        </w:rPr>
        <w:t>11</w:t>
      </w:r>
      <w:r w:rsidR="00197652">
        <w:rPr>
          <w:i/>
          <w:sz w:val="24"/>
        </w:rPr>
        <w:t> </w:t>
      </w:r>
      <w:r w:rsidRPr="00322FBF">
        <w:rPr>
          <w:rFonts w:ascii="Calibri" w:hAnsi="Calibri" w:cs="Calibri"/>
          <w:i/>
          <w:sz w:val="24"/>
        </w:rPr>
        <w:t>µ</w:t>
      </w:r>
      <w:r w:rsidRPr="00322FBF">
        <w:rPr>
          <w:i/>
          <w:sz w:val="24"/>
        </w:rPr>
        <w:t>g/m</w:t>
      </w:r>
      <w:r w:rsidRPr="00462884">
        <w:rPr>
          <w:i/>
          <w:sz w:val="24"/>
          <w:vertAlign w:val="superscript"/>
        </w:rPr>
        <w:t>3</w:t>
      </w:r>
      <w:r w:rsidRPr="00322FBF">
        <w:rPr>
          <w:i/>
          <w:sz w:val="24"/>
        </w:rPr>
        <w:t xml:space="preserve"> range would </w:t>
      </w:r>
      <w:proofErr w:type="gramStart"/>
      <w:r w:rsidRPr="00322FBF">
        <w:rPr>
          <w:i/>
          <w:sz w:val="24"/>
        </w:rPr>
        <w:t>actually reduce</w:t>
      </w:r>
      <w:proofErr w:type="gramEnd"/>
      <w:r w:rsidRPr="00322FBF">
        <w:rPr>
          <w:i/>
          <w:sz w:val="24"/>
        </w:rPr>
        <w:t xml:space="preserve"> short-term exposure related mortality risk</w:t>
      </w:r>
      <w:r w:rsidRPr="00322FBF">
        <w:rPr>
          <w:sz w:val="24"/>
        </w:rPr>
        <w:t>.</w:t>
      </w:r>
    </w:p>
    <w:p w14:paraId="1B51A276" w14:textId="77777777" w:rsidR="00B6077C" w:rsidRDefault="00B6077C" w:rsidP="00A40B03">
      <w:pPr>
        <w:pStyle w:val="BodyText"/>
        <w:spacing w:after="0"/>
        <w:rPr>
          <w:noProof/>
          <w:sz w:val="24"/>
        </w:rPr>
      </w:pPr>
    </w:p>
    <w:p w14:paraId="302EB895" w14:textId="6BE7165B" w:rsidR="009826C1" w:rsidRPr="009826C1" w:rsidRDefault="00F00F19" w:rsidP="00A40B03">
      <w:pPr>
        <w:pStyle w:val="BodyText"/>
        <w:spacing w:after="0"/>
      </w:pPr>
      <w:r w:rsidRPr="009826C1">
        <w:rPr>
          <w:noProof/>
          <w:sz w:val="24"/>
        </w:rPr>
        <w:drawing>
          <wp:inline distT="0" distB="0" distL="0" distR="0" wp14:anchorId="29E4BC33" wp14:editId="358983C0">
            <wp:extent cx="5947410" cy="38404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7410" cy="3840480"/>
                    </a:xfrm>
                    <a:prstGeom prst="rect">
                      <a:avLst/>
                    </a:prstGeom>
                    <a:noFill/>
                    <a:ln>
                      <a:noFill/>
                    </a:ln>
                  </pic:spPr>
                </pic:pic>
              </a:graphicData>
            </a:graphic>
          </wp:inline>
        </w:drawing>
      </w:r>
    </w:p>
    <w:p w14:paraId="0B6BFB08" w14:textId="77777777" w:rsidR="009826C1" w:rsidRPr="00A705B9" w:rsidRDefault="009826C1" w:rsidP="00B6077C">
      <w:pPr>
        <w:pStyle w:val="BodyText"/>
        <w:spacing w:before="240" w:after="0"/>
      </w:pPr>
      <w:r w:rsidRPr="00A705B9">
        <w:t>Based on the above considerations, it can be concluded that there is no statistical confidence that reducing the annual PM</w:t>
      </w:r>
      <w:r w:rsidRPr="005F6D5A">
        <w:rPr>
          <w:sz w:val="24"/>
          <w:vertAlign w:val="subscript"/>
        </w:rPr>
        <w:t>2.5</w:t>
      </w:r>
      <w:r w:rsidRPr="00A705B9">
        <w:t xml:space="preserve"> NAAQS to a value in the 9-11 µg/m</w:t>
      </w:r>
      <w:r w:rsidRPr="00107BA1">
        <w:rPr>
          <w:vertAlign w:val="superscript"/>
        </w:rPr>
        <w:t>3</w:t>
      </w:r>
      <w:r w:rsidRPr="00A705B9">
        <w:t xml:space="preserve"> range or </w:t>
      </w:r>
      <w:bookmarkStart w:id="1" w:name="_Hlk19082484"/>
      <w:r w:rsidRPr="00A705B9">
        <w:t>the 24-hour PM</w:t>
      </w:r>
      <w:r w:rsidRPr="005F6D5A">
        <w:rPr>
          <w:sz w:val="24"/>
          <w:vertAlign w:val="subscript"/>
        </w:rPr>
        <w:t>2.5</w:t>
      </w:r>
      <w:r w:rsidRPr="00A705B9">
        <w:t xml:space="preserve"> NAAQS to </w:t>
      </w:r>
      <w:bookmarkStart w:id="2" w:name="_Hlk19082681"/>
      <w:r w:rsidRPr="00A705B9">
        <w:t>30 µg/m</w:t>
      </w:r>
      <w:r w:rsidRPr="00107BA1">
        <w:rPr>
          <w:vertAlign w:val="superscript"/>
        </w:rPr>
        <w:t>3</w:t>
      </w:r>
      <w:r w:rsidRPr="00A705B9">
        <w:t xml:space="preserve"> </w:t>
      </w:r>
      <w:bookmarkEnd w:id="2"/>
      <w:r w:rsidRPr="00A705B9">
        <w:t xml:space="preserve">would </w:t>
      </w:r>
      <w:proofErr w:type="gramStart"/>
      <w:r w:rsidRPr="00A705B9">
        <w:t>actually reduce</w:t>
      </w:r>
      <w:proofErr w:type="gramEnd"/>
      <w:r w:rsidRPr="00A705B9">
        <w:t xml:space="preserve"> short-term exposure related mortality risk</w:t>
      </w:r>
      <w:bookmarkEnd w:id="1"/>
      <w:r w:rsidRPr="00A705B9">
        <w:t>. Even ignoring</w:t>
      </w:r>
      <w:r>
        <w:rPr>
          <w:sz w:val="24"/>
        </w:rPr>
        <w:t xml:space="preserve"> the lack of statistical confidence across studies that a reduction in </w:t>
      </w:r>
      <w:r w:rsidRPr="000A343F">
        <w:rPr>
          <w:sz w:val="24"/>
        </w:rPr>
        <w:t xml:space="preserve">the 24-hour </w:t>
      </w:r>
      <w:r w:rsidRPr="000B1A91">
        <w:rPr>
          <w:sz w:val="24"/>
        </w:rPr>
        <w:t>PM</w:t>
      </w:r>
      <w:r w:rsidRPr="000B1A91">
        <w:rPr>
          <w:sz w:val="24"/>
          <w:vertAlign w:val="subscript"/>
        </w:rPr>
        <w:t>2.5</w:t>
      </w:r>
      <w:r w:rsidRPr="000B1A91">
        <w:rPr>
          <w:b/>
          <w:sz w:val="24"/>
        </w:rPr>
        <w:t xml:space="preserve"> </w:t>
      </w:r>
      <w:r w:rsidRPr="000A343F">
        <w:rPr>
          <w:sz w:val="24"/>
        </w:rPr>
        <w:t xml:space="preserve">NAAQS would </w:t>
      </w:r>
      <w:r>
        <w:rPr>
          <w:sz w:val="24"/>
        </w:rPr>
        <w:t xml:space="preserve">result in an </w:t>
      </w:r>
      <w:r w:rsidRPr="000A343F">
        <w:rPr>
          <w:sz w:val="24"/>
        </w:rPr>
        <w:t>actual reduc</w:t>
      </w:r>
      <w:r>
        <w:rPr>
          <w:sz w:val="24"/>
        </w:rPr>
        <w:t>tion in</w:t>
      </w:r>
      <w:r w:rsidRPr="000A343F">
        <w:rPr>
          <w:sz w:val="24"/>
        </w:rPr>
        <w:t xml:space="preserve"> related mortality risk</w:t>
      </w:r>
      <w:r>
        <w:rPr>
          <w:sz w:val="24"/>
        </w:rPr>
        <w:t xml:space="preserve">, it is noted that Tables C-11 through C-19 indicate that for the vast majority of the 47 urban areas studied (including the </w:t>
      </w:r>
      <w:r w:rsidR="00130211">
        <w:rPr>
          <w:sz w:val="24"/>
        </w:rPr>
        <w:t>two</w:t>
      </w:r>
      <w:r>
        <w:rPr>
          <w:sz w:val="24"/>
        </w:rPr>
        <w:t xml:space="preserve"> in Texas) there would be zero risk reduction predicted if the 24-hour standard were to be decreased to </w:t>
      </w:r>
      <w:r w:rsidRPr="000A343F">
        <w:rPr>
          <w:sz w:val="24"/>
        </w:rPr>
        <w:t>30 µg/m</w:t>
      </w:r>
      <w:r w:rsidRPr="00462884">
        <w:rPr>
          <w:sz w:val="24"/>
          <w:vertAlign w:val="superscript"/>
        </w:rPr>
        <w:t>3</w:t>
      </w:r>
      <w:r>
        <w:rPr>
          <w:sz w:val="24"/>
        </w:rPr>
        <w:t xml:space="preserve">, with relatively minor reductions only in a few areas (see pp. C-44 through C-52 of EPA PA 2019). </w:t>
      </w:r>
      <w:r w:rsidRPr="00A705B9">
        <w:t>Collectively, the above information supports retaining both the current annual and 24-hour PM</w:t>
      </w:r>
      <w:r w:rsidRPr="005F6D5A">
        <w:rPr>
          <w:sz w:val="24"/>
          <w:vertAlign w:val="subscript"/>
        </w:rPr>
        <w:t>2.5</w:t>
      </w:r>
      <w:r w:rsidRPr="00A705B9">
        <w:t xml:space="preserve"> NAAQS (additional supporting considerations are discussed below).</w:t>
      </w:r>
    </w:p>
    <w:p w14:paraId="488A1FA6" w14:textId="77777777" w:rsidR="009826C1" w:rsidRPr="00865B96" w:rsidRDefault="009826C1" w:rsidP="00865B96">
      <w:pPr>
        <w:pStyle w:val="Heading5"/>
      </w:pPr>
      <w:r w:rsidRPr="00B6077C">
        <w:t>Long-Term Exposure Related</w:t>
      </w:r>
      <w:r w:rsidRPr="00865B96">
        <w:t xml:space="preserve"> Mortality Risk</w:t>
      </w:r>
    </w:p>
    <w:p w14:paraId="75ECF08E" w14:textId="77777777" w:rsidR="009826C1" w:rsidRPr="00A705B9" w:rsidRDefault="00130211" w:rsidP="009826C1">
      <w:pPr>
        <w:pStyle w:val="BodyText"/>
        <w:spacing w:after="0"/>
      </w:pPr>
      <w:r w:rsidRPr="00CB5DDC">
        <w:rPr>
          <w:sz w:val="24"/>
        </w:rPr>
        <w:t>Risk</w:t>
      </w:r>
      <w:r w:rsidR="009826C1" w:rsidRPr="00CB5DDC">
        <w:rPr>
          <w:sz w:val="24"/>
        </w:rPr>
        <w:t xml:space="preserve"> estimates based on recent literature do not provide a sufficiently sound scientific basis for expecting that reducing the annual or 24-hour PM</w:t>
      </w:r>
      <w:r w:rsidR="009826C1" w:rsidRPr="00CB5DDC">
        <w:rPr>
          <w:sz w:val="24"/>
          <w:vertAlign w:val="subscript"/>
        </w:rPr>
        <w:t>2.5</w:t>
      </w:r>
      <w:r w:rsidR="009826C1" w:rsidRPr="00CB5DDC">
        <w:rPr>
          <w:sz w:val="24"/>
        </w:rPr>
        <w:t xml:space="preserve"> NAAQS values would result in actual reductions in long-term exposure related mortality risk. Examination</w:t>
      </w:r>
      <w:r w:rsidR="009826C1" w:rsidRPr="00322FBF">
        <w:rPr>
          <w:sz w:val="24"/>
        </w:rPr>
        <w:t xml:space="preserve"> of Table 3-5 above reveals that in 22 of 24 cases (92%), long-term exposure related mortality risks (best estimates) associated with the current </w:t>
      </w:r>
      <w:r w:rsidR="009826C1" w:rsidRPr="000B1A91">
        <w:rPr>
          <w:sz w:val="24"/>
        </w:rPr>
        <w:t>PM</w:t>
      </w:r>
      <w:r w:rsidR="009826C1" w:rsidRPr="000B1A91">
        <w:rPr>
          <w:sz w:val="24"/>
          <w:vertAlign w:val="subscript"/>
        </w:rPr>
        <w:t>2.5</w:t>
      </w:r>
      <w:r w:rsidR="009826C1" w:rsidRPr="000B1A91">
        <w:rPr>
          <w:b/>
          <w:sz w:val="24"/>
        </w:rPr>
        <w:t xml:space="preserve"> </w:t>
      </w:r>
      <w:r w:rsidR="009826C1" w:rsidRPr="00322FBF">
        <w:rPr>
          <w:sz w:val="24"/>
        </w:rPr>
        <w:t xml:space="preserve">NAAQS values are included in the risk CI ranges for the alternative standards. For example, the current standard best estimate of 15,600 based on Pope 2015 (IDH mortality, </w:t>
      </w:r>
      <w:proofErr w:type="spellStart"/>
      <w:r w:rsidR="009826C1" w:rsidRPr="00322FBF">
        <w:rPr>
          <w:sz w:val="24"/>
        </w:rPr>
        <w:t>Pri</w:t>
      </w:r>
      <w:proofErr w:type="spellEnd"/>
      <w:r w:rsidR="009826C1" w:rsidRPr="00322FBF">
        <w:rPr>
          <w:sz w:val="24"/>
        </w:rPr>
        <w:t xml:space="preserve">-PM) falls well within the CIs for the alternative standards (i.e., CI of 10,100-17,000 for the alternative annual </w:t>
      </w:r>
      <w:r w:rsidR="009826C1">
        <w:rPr>
          <w:sz w:val="24"/>
        </w:rPr>
        <w:t xml:space="preserve">standard </w:t>
      </w:r>
      <w:r w:rsidR="009826C1" w:rsidRPr="00322FBF">
        <w:rPr>
          <w:sz w:val="24"/>
        </w:rPr>
        <w:t xml:space="preserve">and 11,500-19,200 for the alternative 24-hour </w:t>
      </w:r>
      <w:r w:rsidR="009826C1">
        <w:rPr>
          <w:sz w:val="24"/>
        </w:rPr>
        <w:t>standard</w:t>
      </w:r>
      <w:r w:rsidR="009826C1" w:rsidRPr="00322FBF">
        <w:rPr>
          <w:sz w:val="24"/>
        </w:rPr>
        <w:t xml:space="preserve">). Similarly, Table 3-7 shows that in 23 of 36 cases (64%), long-term exposure related mortality risks (best estimates) associated with the current </w:t>
      </w:r>
      <w:r w:rsidR="009826C1" w:rsidRPr="000B1A91">
        <w:rPr>
          <w:sz w:val="24"/>
        </w:rPr>
        <w:t>PM</w:t>
      </w:r>
      <w:r w:rsidR="009826C1" w:rsidRPr="000B1A91">
        <w:rPr>
          <w:sz w:val="24"/>
          <w:vertAlign w:val="subscript"/>
        </w:rPr>
        <w:t>2.5</w:t>
      </w:r>
      <w:r w:rsidR="009826C1" w:rsidRPr="000B1A91">
        <w:rPr>
          <w:b/>
          <w:sz w:val="24"/>
        </w:rPr>
        <w:t xml:space="preserve"> </w:t>
      </w:r>
      <w:r w:rsidR="009826C1" w:rsidRPr="00322FBF">
        <w:rPr>
          <w:sz w:val="24"/>
        </w:rPr>
        <w:t>NAAQS values are included in the risk CI ranges for the alternative standards. However, in the 13 of 36 instances (36%) where this was not the case, there is significant overlap in the risk CIs for the current standard compared to the alternative standard being evaluated (e.g., the best estimates of IDH mortality risk for the 9 µg/m</w:t>
      </w:r>
      <w:r w:rsidR="009826C1" w:rsidRPr="00462884">
        <w:rPr>
          <w:sz w:val="24"/>
          <w:vertAlign w:val="superscript"/>
        </w:rPr>
        <w:t>3</w:t>
      </w:r>
      <w:r w:rsidR="009826C1" w:rsidRPr="00322FBF">
        <w:rPr>
          <w:sz w:val="24"/>
        </w:rPr>
        <w:t xml:space="preserve"> annual alternative </w:t>
      </w:r>
      <w:r w:rsidR="009826C1" w:rsidRPr="000B1A91">
        <w:rPr>
          <w:sz w:val="24"/>
        </w:rPr>
        <w:t>PM</w:t>
      </w:r>
      <w:r w:rsidR="009826C1" w:rsidRPr="000B1A91">
        <w:rPr>
          <w:sz w:val="24"/>
          <w:vertAlign w:val="subscript"/>
        </w:rPr>
        <w:t>2.5</w:t>
      </w:r>
      <w:r w:rsidR="009826C1" w:rsidRPr="000B1A91">
        <w:rPr>
          <w:b/>
          <w:sz w:val="24"/>
        </w:rPr>
        <w:t xml:space="preserve"> </w:t>
      </w:r>
      <w:r w:rsidR="009826C1" w:rsidRPr="00322FBF">
        <w:rPr>
          <w:sz w:val="24"/>
        </w:rPr>
        <w:t xml:space="preserve">standard based on Pope 2015 falls within the CI for the current NAAQS) with the exception of mortality risk </w:t>
      </w:r>
      <w:r w:rsidR="009826C1">
        <w:rPr>
          <w:sz w:val="24"/>
        </w:rPr>
        <w:t>estimates</w:t>
      </w:r>
      <w:r w:rsidR="009826C1" w:rsidRPr="00322FBF">
        <w:rPr>
          <w:sz w:val="24"/>
        </w:rPr>
        <w:t xml:space="preserve"> based on one study: Di et al. (2017; all-cause mortality, </w:t>
      </w:r>
      <w:proofErr w:type="spellStart"/>
      <w:r w:rsidR="009826C1" w:rsidRPr="00322FBF">
        <w:rPr>
          <w:sz w:val="24"/>
        </w:rPr>
        <w:t>Pri</w:t>
      </w:r>
      <w:proofErr w:type="spellEnd"/>
      <w:r w:rsidR="009826C1" w:rsidRPr="00322FBF">
        <w:rPr>
          <w:sz w:val="24"/>
        </w:rPr>
        <w:t>-PM and Sec-PM), which is discussed further below.</w:t>
      </w:r>
      <w:r w:rsidR="009826C1">
        <w:rPr>
          <w:sz w:val="24"/>
        </w:rPr>
        <w:t xml:space="preserve"> In Table 3-9, again, except for estimates based on Di et al. (discussed below),</w:t>
      </w:r>
      <w:r w:rsidR="009826C1" w:rsidRPr="006F58EC">
        <w:rPr>
          <w:sz w:val="24"/>
        </w:rPr>
        <w:t xml:space="preserve"> </w:t>
      </w:r>
      <w:r w:rsidR="009826C1">
        <w:rPr>
          <w:sz w:val="24"/>
        </w:rPr>
        <w:t xml:space="preserve">all </w:t>
      </w:r>
      <w:r w:rsidR="009826C1" w:rsidRPr="00322FBF">
        <w:rPr>
          <w:sz w:val="24"/>
        </w:rPr>
        <w:t xml:space="preserve">long-term </w:t>
      </w:r>
      <w:r w:rsidR="009826C1">
        <w:rPr>
          <w:sz w:val="24"/>
        </w:rPr>
        <w:t xml:space="preserve">(and short-term) </w:t>
      </w:r>
      <w:r w:rsidR="009826C1" w:rsidRPr="00322FBF">
        <w:rPr>
          <w:sz w:val="24"/>
        </w:rPr>
        <w:t xml:space="preserve">exposure related mortality risks (best estimates) associated with the current </w:t>
      </w:r>
      <w:r w:rsidR="009826C1" w:rsidRPr="000B1A91">
        <w:rPr>
          <w:sz w:val="24"/>
        </w:rPr>
        <w:t>PM</w:t>
      </w:r>
      <w:r w:rsidR="009826C1" w:rsidRPr="000B1A91">
        <w:rPr>
          <w:sz w:val="24"/>
          <w:vertAlign w:val="subscript"/>
        </w:rPr>
        <w:t>2.5</w:t>
      </w:r>
      <w:r w:rsidR="009826C1" w:rsidRPr="000B1A91">
        <w:rPr>
          <w:b/>
          <w:sz w:val="24"/>
        </w:rPr>
        <w:t xml:space="preserve"> </w:t>
      </w:r>
      <w:r w:rsidR="009826C1" w:rsidRPr="00322FBF">
        <w:rPr>
          <w:sz w:val="24"/>
        </w:rPr>
        <w:t xml:space="preserve">NAAQS values are included in the risk CI ranges </w:t>
      </w:r>
      <w:r w:rsidR="009826C1" w:rsidRPr="00107BA1">
        <w:rPr>
          <w:sz w:val="24"/>
        </w:rPr>
        <w:t xml:space="preserve">for the alternative standard (see p. 3-92 of </w:t>
      </w:r>
      <w:r w:rsidR="00C42206" w:rsidRPr="00107BA1">
        <w:rPr>
          <w:sz w:val="24"/>
        </w:rPr>
        <w:t>EPA</w:t>
      </w:r>
      <w:r w:rsidR="009826C1" w:rsidRPr="00107BA1">
        <w:rPr>
          <w:sz w:val="24"/>
        </w:rPr>
        <w:t xml:space="preserve"> PA 2019). Thus, based on Table 3-5, 3-7, and 3-9 results for recent studies, the WOE is that there is no statistical confidence that reducing the annual PM</w:t>
      </w:r>
      <w:r w:rsidR="009826C1" w:rsidRPr="00107BA1">
        <w:rPr>
          <w:sz w:val="24"/>
          <w:vertAlign w:val="subscript"/>
        </w:rPr>
        <w:t xml:space="preserve">2.5 </w:t>
      </w:r>
      <w:r w:rsidR="009826C1" w:rsidRPr="00107BA1">
        <w:rPr>
          <w:sz w:val="24"/>
        </w:rPr>
        <w:t>NAAQS even down to 9 µg/m</w:t>
      </w:r>
      <w:r w:rsidR="009826C1" w:rsidRPr="00107BA1">
        <w:rPr>
          <w:sz w:val="24"/>
          <w:vertAlign w:val="superscript"/>
        </w:rPr>
        <w:t>3</w:t>
      </w:r>
      <w:r w:rsidR="009826C1" w:rsidRPr="00107BA1">
        <w:rPr>
          <w:sz w:val="24"/>
        </w:rPr>
        <w:t xml:space="preserve"> (or the 24-hour NAAQS to 30 µg/m</w:t>
      </w:r>
      <w:r w:rsidR="009826C1" w:rsidRPr="00107BA1">
        <w:rPr>
          <w:sz w:val="24"/>
          <w:vertAlign w:val="superscript"/>
        </w:rPr>
        <w:t>3</w:t>
      </w:r>
      <w:r w:rsidR="009826C1" w:rsidRPr="00107BA1">
        <w:rPr>
          <w:sz w:val="24"/>
        </w:rPr>
        <w:t xml:space="preserve">) would </w:t>
      </w:r>
      <w:proofErr w:type="gramStart"/>
      <w:r w:rsidR="009826C1" w:rsidRPr="00107BA1">
        <w:rPr>
          <w:sz w:val="24"/>
        </w:rPr>
        <w:t>actually reduce</w:t>
      </w:r>
      <w:proofErr w:type="gramEnd"/>
      <w:r w:rsidR="009826C1" w:rsidRPr="00107BA1">
        <w:rPr>
          <w:sz w:val="24"/>
        </w:rPr>
        <w:t xml:space="preserve"> long-term exposure related mortality risk</w:t>
      </w:r>
      <w:r w:rsidR="009826C1" w:rsidRPr="00A705B9">
        <w:t>.</w:t>
      </w:r>
    </w:p>
    <w:p w14:paraId="1DD55BD8" w14:textId="77777777" w:rsidR="009826C1" w:rsidRPr="00322FBF" w:rsidRDefault="009826C1" w:rsidP="00B6077C">
      <w:pPr>
        <w:pStyle w:val="BodyText"/>
        <w:spacing w:before="240" w:after="0"/>
        <w:rPr>
          <w:sz w:val="24"/>
        </w:rPr>
      </w:pPr>
      <w:r w:rsidRPr="00322FBF">
        <w:rPr>
          <w:sz w:val="24"/>
        </w:rPr>
        <w:t xml:space="preserve">The primary exception to this </w:t>
      </w:r>
      <w:r>
        <w:rPr>
          <w:sz w:val="24"/>
        </w:rPr>
        <w:t>WOE</w:t>
      </w:r>
      <w:r w:rsidRPr="00322FBF">
        <w:rPr>
          <w:sz w:val="24"/>
        </w:rPr>
        <w:t xml:space="preserve"> is for </w:t>
      </w:r>
      <w:r w:rsidRPr="00322FBF">
        <w:rPr>
          <w:i/>
          <w:sz w:val="24"/>
        </w:rPr>
        <w:t>all-cause</w:t>
      </w:r>
      <w:r w:rsidRPr="00322FBF">
        <w:rPr>
          <w:sz w:val="24"/>
        </w:rPr>
        <w:t xml:space="preserve"> mortality risk estimated based on Di et al. (2017) compared to a 9-11 µg/m</w:t>
      </w:r>
      <w:r w:rsidRPr="00462884">
        <w:rPr>
          <w:sz w:val="24"/>
          <w:vertAlign w:val="superscript"/>
        </w:rPr>
        <w:t>3</w:t>
      </w:r>
      <w:r w:rsidRPr="00322FBF">
        <w:rPr>
          <w:sz w:val="24"/>
        </w:rPr>
        <w:t xml:space="preserve"> alternative annual </w:t>
      </w:r>
      <w:r w:rsidRPr="000B1A91">
        <w:rPr>
          <w:sz w:val="24"/>
        </w:rPr>
        <w:t>PM</w:t>
      </w:r>
      <w:r w:rsidRPr="000B1A91">
        <w:rPr>
          <w:sz w:val="24"/>
          <w:vertAlign w:val="subscript"/>
        </w:rPr>
        <w:t>2.5</w:t>
      </w:r>
      <w:r w:rsidRPr="000B1A91">
        <w:rPr>
          <w:b/>
          <w:sz w:val="24"/>
        </w:rPr>
        <w:t xml:space="preserve"> </w:t>
      </w:r>
      <w:r w:rsidRPr="00322FBF">
        <w:rPr>
          <w:sz w:val="24"/>
        </w:rPr>
        <w:t xml:space="preserve">standard (see Table 3-7). </w:t>
      </w:r>
      <w:r w:rsidRPr="00BC3E31">
        <w:rPr>
          <w:sz w:val="24"/>
        </w:rPr>
        <w:t>However, there are significant scientific issues with both all-cause mortality as an endpoint and exactly what Di et al. (2017) purports to show. Strictly</w:t>
      </w:r>
      <w:r>
        <w:rPr>
          <w:sz w:val="24"/>
        </w:rPr>
        <w:t>/literally speaking,</w:t>
      </w:r>
      <w:r w:rsidRPr="00322FBF">
        <w:rPr>
          <w:sz w:val="24"/>
        </w:rPr>
        <w:t xml:space="preserve"> </w:t>
      </w:r>
      <w:r w:rsidRPr="00322FBF">
        <w:rPr>
          <w:i/>
          <w:sz w:val="24"/>
        </w:rPr>
        <w:t>all-cause</w:t>
      </w:r>
      <w:r w:rsidRPr="00322FBF">
        <w:rPr>
          <w:sz w:val="24"/>
        </w:rPr>
        <w:t xml:space="preserve"> mortality </w:t>
      </w:r>
      <w:r>
        <w:rPr>
          <w:sz w:val="24"/>
        </w:rPr>
        <w:t xml:space="preserve">(i.e., mortality due to every non-accidental cause as opposed to a few specific causes of mortality that may be associated with PM and contribute to all-cause mortality, potentially increase it, and should be scientifically identified and evaluated separately) </w:t>
      </w:r>
      <w:r w:rsidRPr="00322FBF">
        <w:rPr>
          <w:sz w:val="24"/>
        </w:rPr>
        <w:t xml:space="preserve">is unlikely to be a biologically plausible outcome of PM-induced effects, and CASAC comments highlight the lack of an association of PM exposures with all-cause mortality in several places (e.g., discussion of Health Effects Institute 2013 on p. A-28, discussion of </w:t>
      </w:r>
      <w:proofErr w:type="spellStart"/>
      <w:r w:rsidRPr="00322FBF">
        <w:rPr>
          <w:sz w:val="24"/>
        </w:rPr>
        <w:t>Puett</w:t>
      </w:r>
      <w:proofErr w:type="spellEnd"/>
      <w:r w:rsidRPr="00322FBF">
        <w:rPr>
          <w:sz w:val="24"/>
        </w:rPr>
        <w:t xml:space="preserve"> et al. 2011 on pp. A-31 and A-69, discussion of Hartiala et al. 2016 on pp. A-32 and A-68). </w:t>
      </w:r>
      <w:r>
        <w:rPr>
          <w:sz w:val="24"/>
        </w:rPr>
        <w:t xml:space="preserve">Similarly, the hazard ratio (HR) CI for six studies in Figure 3-3 cross the HR of 1, with 3 of 6 having an HR less than 1 (see all-cause mortality in Figure 3-3 on p. 3-54 of the </w:t>
      </w:r>
      <w:r w:rsidR="00C42206">
        <w:rPr>
          <w:sz w:val="24"/>
        </w:rPr>
        <w:t>EPA</w:t>
      </w:r>
      <w:r>
        <w:rPr>
          <w:sz w:val="24"/>
        </w:rPr>
        <w:t xml:space="preserve"> PA 2019). </w:t>
      </w:r>
      <w:r w:rsidRPr="000B1A91">
        <w:rPr>
          <w:sz w:val="24"/>
        </w:rPr>
        <w:t>PM</w:t>
      </w:r>
      <w:r w:rsidRPr="000B1A91">
        <w:rPr>
          <w:sz w:val="24"/>
          <w:vertAlign w:val="subscript"/>
        </w:rPr>
        <w:t>2.5</w:t>
      </w:r>
      <w:r w:rsidRPr="000B1A91">
        <w:rPr>
          <w:b/>
          <w:sz w:val="24"/>
        </w:rPr>
        <w:t xml:space="preserve"> </w:t>
      </w:r>
      <w:r w:rsidRPr="00322FBF">
        <w:rPr>
          <w:sz w:val="24"/>
        </w:rPr>
        <w:t>would have to be capable of inducing mortality through</w:t>
      </w:r>
      <w:r>
        <w:rPr>
          <w:sz w:val="24"/>
        </w:rPr>
        <w:t xml:space="preserve"> a multitude of </w:t>
      </w:r>
      <w:proofErr w:type="gramStart"/>
      <w:r>
        <w:rPr>
          <w:sz w:val="24"/>
        </w:rPr>
        <w:t>as of yet</w:t>
      </w:r>
      <w:proofErr w:type="gramEnd"/>
      <w:r>
        <w:rPr>
          <w:sz w:val="24"/>
        </w:rPr>
        <w:t xml:space="preserve"> unidentified</w:t>
      </w:r>
      <w:r w:rsidRPr="00322FBF">
        <w:rPr>
          <w:sz w:val="24"/>
        </w:rPr>
        <w:t xml:space="preserve"> toxicological pathways sufficiently perturbed at low </w:t>
      </w:r>
      <w:r w:rsidRPr="000B1A91">
        <w:rPr>
          <w:sz w:val="24"/>
        </w:rPr>
        <w:t>PM</w:t>
      </w:r>
      <w:r w:rsidRPr="000B1A91">
        <w:rPr>
          <w:sz w:val="24"/>
          <w:vertAlign w:val="subscript"/>
        </w:rPr>
        <w:t>2.5</w:t>
      </w:r>
      <w:r w:rsidRPr="000B1A91">
        <w:rPr>
          <w:b/>
          <w:sz w:val="24"/>
        </w:rPr>
        <w:t xml:space="preserve"> </w:t>
      </w:r>
      <w:r w:rsidRPr="00322FBF">
        <w:rPr>
          <w:sz w:val="24"/>
        </w:rPr>
        <w:t xml:space="preserve">doses, despite relatively robust homeostatic biological processes, to lead to literally every non-accidental cause of death. Evidence demonstrating such a phenomenon simply does not exist. In fact, evidence supportive of the biological plausibility of long-term </w:t>
      </w:r>
      <w:r w:rsidRPr="000B1A91">
        <w:rPr>
          <w:sz w:val="24"/>
        </w:rPr>
        <w:t>PM</w:t>
      </w:r>
      <w:r w:rsidRPr="000B1A91">
        <w:rPr>
          <w:sz w:val="24"/>
          <w:vertAlign w:val="subscript"/>
        </w:rPr>
        <w:t>2.5</w:t>
      </w:r>
      <w:r w:rsidRPr="000B1A91">
        <w:rPr>
          <w:b/>
          <w:sz w:val="24"/>
        </w:rPr>
        <w:t xml:space="preserve"> </w:t>
      </w:r>
      <w:r w:rsidRPr="00322FBF">
        <w:rPr>
          <w:sz w:val="24"/>
        </w:rPr>
        <w:t xml:space="preserve">exposure-associated mortality is </w:t>
      </w:r>
      <w:r w:rsidRPr="00322FBF">
        <w:rPr>
          <w:i/>
          <w:sz w:val="24"/>
        </w:rPr>
        <w:t>limited to only a few outcomes</w:t>
      </w:r>
      <w:r w:rsidRPr="00322FBF">
        <w:rPr>
          <w:sz w:val="24"/>
        </w:rPr>
        <w:t xml:space="preserve"> (e.g., cardiovascular and respiratory morbidity and metabolic disease</w:t>
      </w:r>
      <w:r w:rsidR="00FF689A">
        <w:rPr>
          <w:sz w:val="24"/>
        </w:rPr>
        <w:t>,</w:t>
      </w:r>
      <w:r w:rsidRPr="00322FBF">
        <w:rPr>
          <w:sz w:val="24"/>
        </w:rPr>
        <w:t xml:space="preserve"> see Section 11.2.1 of the draft </w:t>
      </w:r>
      <w:r w:rsidR="00C42206">
        <w:rPr>
          <w:sz w:val="24"/>
        </w:rPr>
        <w:t>EPA</w:t>
      </w:r>
      <w:r w:rsidRPr="00322FBF">
        <w:rPr>
          <w:sz w:val="24"/>
        </w:rPr>
        <w:t xml:space="preserve"> ISA 2018). Furthermore, as illustrated in Figure 6-16 below (</w:t>
      </w:r>
      <w:r w:rsidR="00C42206">
        <w:rPr>
          <w:sz w:val="24"/>
        </w:rPr>
        <w:t>EPA</w:t>
      </w:r>
      <w:r w:rsidRPr="00322FBF">
        <w:rPr>
          <w:sz w:val="24"/>
        </w:rPr>
        <w:t xml:space="preserve"> ISA 2018</w:t>
      </w:r>
      <w:r>
        <w:rPr>
          <w:sz w:val="24"/>
        </w:rPr>
        <w:t>),</w:t>
      </w:r>
      <w:r w:rsidRPr="004827B9">
        <w:rPr>
          <w:sz w:val="24"/>
        </w:rPr>
        <w:t xml:space="preserve"> </w:t>
      </w:r>
      <w:r>
        <w:rPr>
          <w:sz w:val="24"/>
        </w:rPr>
        <w:t>the only figure referred to in the mortality section of the ISA (Chapter 11) in regard to biological pathways proposed to potentially lead to mortality</w:t>
      </w:r>
      <w:r w:rsidRPr="00322FBF">
        <w:rPr>
          <w:sz w:val="24"/>
        </w:rPr>
        <w:t xml:space="preserve">: (1) hypothetical pathways leading to </w:t>
      </w:r>
      <w:r w:rsidRPr="00322FBF">
        <w:rPr>
          <w:i/>
          <w:sz w:val="24"/>
        </w:rPr>
        <w:t>all-cause</w:t>
      </w:r>
      <w:r w:rsidRPr="00322FBF">
        <w:rPr>
          <w:sz w:val="24"/>
        </w:rPr>
        <w:t xml:space="preserve"> mortality are not even proposed by </w:t>
      </w:r>
      <w:r w:rsidR="00C42206">
        <w:rPr>
          <w:sz w:val="24"/>
        </w:rPr>
        <w:t>EPA</w:t>
      </w:r>
      <w:r w:rsidRPr="00322FBF">
        <w:rPr>
          <w:sz w:val="24"/>
        </w:rPr>
        <w:t xml:space="preserve"> (2018); and (2) </w:t>
      </w:r>
      <w:r w:rsidRPr="00322FBF">
        <w:rPr>
          <w:i/>
          <w:sz w:val="24"/>
        </w:rPr>
        <w:t>there is insufficient evidence to support biological plausibility for</w:t>
      </w:r>
      <w:r w:rsidRPr="00322FBF">
        <w:rPr>
          <w:sz w:val="24"/>
        </w:rPr>
        <w:t xml:space="preserve"> </w:t>
      </w:r>
      <w:r w:rsidRPr="00322FBF">
        <w:rPr>
          <w:i/>
          <w:sz w:val="24"/>
        </w:rPr>
        <w:t>the vast majority of potential pathways proposed to lead to even the limited-cause mortality depicted below</w:t>
      </w:r>
      <w:r w:rsidRPr="00322FBF">
        <w:rPr>
          <w:sz w:val="24"/>
        </w:rPr>
        <w:t xml:space="preserve"> (lack of evidence indicated by the dotted lines).</w:t>
      </w:r>
    </w:p>
    <w:p w14:paraId="1D312272" w14:textId="678F48B0" w:rsidR="009826C1" w:rsidRPr="00322FBF" w:rsidRDefault="00F00F19" w:rsidP="009826C1">
      <w:pPr>
        <w:pStyle w:val="BodyText"/>
        <w:spacing w:after="0"/>
        <w:rPr>
          <w:sz w:val="24"/>
        </w:rPr>
      </w:pPr>
      <w:r w:rsidRPr="009826C1">
        <w:rPr>
          <w:noProof/>
          <w:sz w:val="24"/>
        </w:rPr>
        <w:drawing>
          <wp:inline distT="0" distB="0" distL="0" distR="0" wp14:anchorId="4714BC81" wp14:editId="46B6A2C5">
            <wp:extent cx="5939790" cy="40951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4095115"/>
                    </a:xfrm>
                    <a:prstGeom prst="rect">
                      <a:avLst/>
                    </a:prstGeom>
                    <a:noFill/>
                    <a:ln>
                      <a:noFill/>
                    </a:ln>
                  </pic:spPr>
                </pic:pic>
              </a:graphicData>
            </a:graphic>
          </wp:inline>
        </w:drawing>
      </w:r>
    </w:p>
    <w:p w14:paraId="01033301" w14:textId="77777777" w:rsidR="009826C1" w:rsidRPr="00322FBF" w:rsidRDefault="009826C1" w:rsidP="009826C1">
      <w:pPr>
        <w:pStyle w:val="BodyText"/>
        <w:spacing w:after="0"/>
        <w:rPr>
          <w:sz w:val="24"/>
        </w:rPr>
      </w:pPr>
      <w:r w:rsidRPr="003511A7">
        <w:rPr>
          <w:sz w:val="24"/>
        </w:rPr>
        <w:t>Moreover, as discussed by a CASAC member,</w:t>
      </w:r>
      <w:r w:rsidRPr="00322FBF">
        <w:rPr>
          <w:i/>
          <w:sz w:val="24"/>
        </w:rPr>
        <w:t xml:space="preserve"> Di et al. (2017) cannot honestly be said to demonstrate what </w:t>
      </w:r>
      <w:r w:rsidR="00C42206">
        <w:rPr>
          <w:i/>
          <w:sz w:val="24"/>
        </w:rPr>
        <w:t>EPA</w:t>
      </w:r>
      <w:r w:rsidRPr="00322FBF">
        <w:rPr>
          <w:i/>
          <w:sz w:val="24"/>
        </w:rPr>
        <w:t xml:space="preserve"> and the study authors purport</w:t>
      </w:r>
      <w:r w:rsidRPr="00322FBF">
        <w:rPr>
          <w:sz w:val="24"/>
        </w:rPr>
        <w:t xml:space="preserve">. Dr. James Boylan, in his comments as part of CASAC’s review of the </w:t>
      </w:r>
      <w:r w:rsidR="00C42206">
        <w:rPr>
          <w:sz w:val="24"/>
        </w:rPr>
        <w:t>EPA</w:t>
      </w:r>
      <w:r w:rsidRPr="00322FBF">
        <w:rPr>
          <w:sz w:val="24"/>
        </w:rPr>
        <w:t xml:space="preserve"> ISA (2018), stated [p. A-45 of CASAC April 11, 2019; </w:t>
      </w:r>
      <w:r w:rsidRPr="00322FBF">
        <w:rPr>
          <w:i/>
          <w:sz w:val="24"/>
        </w:rPr>
        <w:t>emphasis added</w:t>
      </w:r>
      <w:r w:rsidRPr="00322FBF">
        <w:rPr>
          <w:sz w:val="24"/>
        </w:rPr>
        <w:t xml:space="preserve">], “Many other studies cited in the Draft ISA also </w:t>
      </w:r>
      <w:r w:rsidRPr="00322FBF">
        <w:rPr>
          <w:i/>
          <w:sz w:val="24"/>
        </w:rPr>
        <w:t>misrepresent estimated exposures as if they were true exposures, leading to false statements about what has been found</w:t>
      </w:r>
      <w:r w:rsidRPr="00322FBF">
        <w:rPr>
          <w:sz w:val="24"/>
        </w:rPr>
        <w:t>.” Di et al. (2017) was provided by Dr. Boylan as an example of such false statements, specifically where Di et al. state…</w:t>
      </w:r>
    </w:p>
    <w:p w14:paraId="72C85AB1" w14:textId="77777777" w:rsidR="009826C1" w:rsidRPr="00322FBF" w:rsidRDefault="009826C1" w:rsidP="00B6077C">
      <w:pPr>
        <w:pStyle w:val="BodyText"/>
        <w:spacing w:before="240" w:after="0"/>
        <w:ind w:left="720" w:right="720"/>
        <w:rPr>
          <w:sz w:val="24"/>
        </w:rPr>
      </w:pPr>
      <w:r w:rsidRPr="00322FBF">
        <w:rPr>
          <w:sz w:val="24"/>
        </w:rPr>
        <w:t xml:space="preserve">“In the entire Medicare population, </w:t>
      </w:r>
      <w:r w:rsidRPr="00322FBF">
        <w:rPr>
          <w:i/>
          <w:sz w:val="24"/>
        </w:rPr>
        <w:t xml:space="preserve">there was significant evidence of adverse effects related to exposure to </w:t>
      </w:r>
      <w:r w:rsidRPr="00462884">
        <w:rPr>
          <w:i/>
          <w:sz w:val="24"/>
        </w:rPr>
        <w:t>PM</w:t>
      </w:r>
      <w:r w:rsidRPr="00462884">
        <w:rPr>
          <w:i/>
          <w:sz w:val="24"/>
          <w:vertAlign w:val="subscript"/>
        </w:rPr>
        <w:t>2.5</w:t>
      </w:r>
      <w:r w:rsidRPr="000B1A91">
        <w:rPr>
          <w:b/>
          <w:sz w:val="24"/>
        </w:rPr>
        <w:t xml:space="preserve"> </w:t>
      </w:r>
      <w:r w:rsidRPr="00322FBF">
        <w:rPr>
          <w:sz w:val="24"/>
        </w:rPr>
        <w:t xml:space="preserve">and ozone at concentrations </w:t>
      </w:r>
      <w:r w:rsidRPr="00322FBF">
        <w:rPr>
          <w:i/>
          <w:sz w:val="24"/>
        </w:rPr>
        <w:t>below current national standards</w:t>
      </w:r>
      <w:r w:rsidRPr="00322FBF">
        <w:rPr>
          <w:sz w:val="24"/>
        </w:rPr>
        <w:t xml:space="preserve">. This effect was most pronounced among self-identified racial minorities and people with low income” (Di Q, Wang Y, </w:t>
      </w:r>
      <w:proofErr w:type="spellStart"/>
      <w:r w:rsidRPr="00322FBF">
        <w:rPr>
          <w:sz w:val="24"/>
        </w:rPr>
        <w:t>Zanobetti</w:t>
      </w:r>
      <w:proofErr w:type="spellEnd"/>
      <w:r w:rsidRPr="00322FBF">
        <w:rPr>
          <w:sz w:val="24"/>
        </w:rPr>
        <w:t xml:space="preserve"> A, et al. Air pollution and mortality in the Medicare population. N </w:t>
      </w:r>
      <w:proofErr w:type="spellStart"/>
      <w:r w:rsidRPr="00322FBF">
        <w:rPr>
          <w:sz w:val="24"/>
        </w:rPr>
        <w:t>Engl</w:t>
      </w:r>
      <w:proofErr w:type="spellEnd"/>
      <w:r w:rsidRPr="00322FBF">
        <w:rPr>
          <w:sz w:val="24"/>
        </w:rPr>
        <w:t xml:space="preserve"> J Med 2017; 376: 2513-22).</w:t>
      </w:r>
    </w:p>
    <w:p w14:paraId="0B4C3463" w14:textId="77777777" w:rsidR="009826C1" w:rsidRPr="00322FBF" w:rsidRDefault="009826C1" w:rsidP="00B6077C">
      <w:pPr>
        <w:pStyle w:val="BodyText"/>
        <w:spacing w:before="240" w:after="0"/>
        <w:rPr>
          <w:sz w:val="24"/>
        </w:rPr>
      </w:pPr>
      <w:r w:rsidRPr="00322FBF">
        <w:rPr>
          <w:sz w:val="24"/>
        </w:rPr>
        <w:t>Dr. Boylan writes, “</w:t>
      </w:r>
      <w:r w:rsidRPr="00322FBF">
        <w:rPr>
          <w:i/>
          <w:sz w:val="24"/>
        </w:rPr>
        <w:t>Again, this is a false and misleading statement, insofar as it suggests that adverse effects were observed “at concentrations below current national standards</w:t>
      </w:r>
      <w:r w:rsidRPr="00322FBF">
        <w:rPr>
          <w:sz w:val="24"/>
        </w:rPr>
        <w:t xml:space="preserve">. </w:t>
      </w:r>
      <w:proofErr w:type="gramStart"/>
      <w:r w:rsidRPr="00322FBF">
        <w:rPr>
          <w:sz w:val="24"/>
        </w:rPr>
        <w:t>In reality, the</w:t>
      </w:r>
      <w:proofErr w:type="gramEnd"/>
      <w:r w:rsidRPr="00322FBF">
        <w:rPr>
          <w:sz w:val="24"/>
        </w:rPr>
        <w:t xml:space="preserve"> supplement to the article shows that the </w:t>
      </w:r>
      <w:r w:rsidRPr="00377AF8">
        <w:rPr>
          <w:i/>
          <w:sz w:val="24"/>
        </w:rPr>
        <w:t>exposure concentrations experienced by individuals who experienced adverse effects were not measured</w:t>
      </w:r>
      <w:r w:rsidRPr="00322FBF">
        <w:rPr>
          <w:sz w:val="24"/>
        </w:rPr>
        <w:t xml:space="preserve">. Instead, individual exposure concentrations were guessed at, or imputed…” “In other words, </w:t>
      </w:r>
      <w:r w:rsidRPr="00322FBF">
        <w:rPr>
          <w:i/>
          <w:sz w:val="24"/>
        </w:rPr>
        <w:t xml:space="preserve">no actual measurements or observations of </w:t>
      </w:r>
      <w:r w:rsidRPr="00462884">
        <w:rPr>
          <w:i/>
          <w:sz w:val="24"/>
        </w:rPr>
        <w:t>PM</w:t>
      </w:r>
      <w:r w:rsidRPr="00462884">
        <w:rPr>
          <w:i/>
          <w:sz w:val="24"/>
          <w:vertAlign w:val="subscript"/>
        </w:rPr>
        <w:t>2.5</w:t>
      </w:r>
      <w:r w:rsidRPr="000B1A91">
        <w:rPr>
          <w:b/>
          <w:sz w:val="24"/>
        </w:rPr>
        <w:t xml:space="preserve"> </w:t>
      </w:r>
      <w:r w:rsidRPr="00322FBF">
        <w:rPr>
          <w:i/>
          <w:sz w:val="24"/>
        </w:rPr>
        <w:t>concentrations for any individual with an adverse health effect were made in this study</w:t>
      </w:r>
      <w:r w:rsidRPr="00322FBF">
        <w:rPr>
          <w:sz w:val="24"/>
        </w:rPr>
        <w:t>.</w:t>
      </w:r>
      <w:r>
        <w:rPr>
          <w:sz w:val="24"/>
        </w:rPr>
        <w:t>”</w:t>
      </w:r>
      <w:r w:rsidRPr="00322FBF">
        <w:rPr>
          <w:sz w:val="24"/>
        </w:rPr>
        <w:t xml:space="preserve"> Consequently, </w:t>
      </w:r>
      <w:r>
        <w:rPr>
          <w:sz w:val="24"/>
        </w:rPr>
        <w:t xml:space="preserve">the TCEQ agrees with Dr. Boylan that </w:t>
      </w:r>
      <w:r w:rsidRPr="00322FBF">
        <w:rPr>
          <w:sz w:val="24"/>
        </w:rPr>
        <w:t xml:space="preserve">the claim </w:t>
      </w:r>
      <w:r>
        <w:rPr>
          <w:sz w:val="24"/>
        </w:rPr>
        <w:t>of</w:t>
      </w:r>
      <w:r w:rsidRPr="00322FBF">
        <w:rPr>
          <w:sz w:val="24"/>
        </w:rPr>
        <w:t xml:space="preserve"> significant evidence </w:t>
      </w:r>
      <w:r>
        <w:rPr>
          <w:sz w:val="24"/>
        </w:rPr>
        <w:t xml:space="preserve">from Di et al. (2017) </w:t>
      </w:r>
      <w:r w:rsidRPr="00322FBF">
        <w:rPr>
          <w:sz w:val="24"/>
        </w:rPr>
        <w:t xml:space="preserve">of adverse effects related to exposure to </w:t>
      </w:r>
      <w:r w:rsidRPr="000B1A91">
        <w:rPr>
          <w:sz w:val="24"/>
        </w:rPr>
        <w:t>PM</w:t>
      </w:r>
      <w:r w:rsidRPr="000B1A91">
        <w:rPr>
          <w:sz w:val="24"/>
          <w:vertAlign w:val="subscript"/>
        </w:rPr>
        <w:t>2.5</w:t>
      </w:r>
      <w:r w:rsidRPr="000B1A91">
        <w:rPr>
          <w:b/>
          <w:sz w:val="24"/>
        </w:rPr>
        <w:t xml:space="preserve"> </w:t>
      </w:r>
      <w:r w:rsidRPr="00322FBF">
        <w:rPr>
          <w:sz w:val="24"/>
        </w:rPr>
        <w:t>and ozone at concentrations below current national standards</w:t>
      </w:r>
      <w:r>
        <w:rPr>
          <w:sz w:val="24"/>
        </w:rPr>
        <w:t xml:space="preserve"> is not accurate (furthermore, this ecological zip-code study lacked data on some important individual level covariates such as smoking).</w:t>
      </w:r>
    </w:p>
    <w:p w14:paraId="36212F0E" w14:textId="77777777" w:rsidR="00353D50" w:rsidRDefault="009826C1" w:rsidP="009826C1">
      <w:pPr>
        <w:pStyle w:val="BodyText"/>
        <w:spacing w:after="0"/>
        <w:rPr>
          <w:sz w:val="24"/>
        </w:rPr>
      </w:pPr>
      <w:r>
        <w:rPr>
          <w:sz w:val="24"/>
        </w:rPr>
        <w:t>Consistent with the discussion above</w:t>
      </w:r>
      <w:r w:rsidRPr="00322FBF">
        <w:rPr>
          <w:sz w:val="24"/>
        </w:rPr>
        <w:t xml:space="preserve">, </w:t>
      </w:r>
      <w:r w:rsidRPr="00153FB1">
        <w:rPr>
          <w:sz w:val="24"/>
        </w:rPr>
        <w:t>Di et al. (2017)</w:t>
      </w:r>
      <w:r w:rsidRPr="00322FBF">
        <w:rPr>
          <w:sz w:val="24"/>
        </w:rPr>
        <w:t xml:space="preserve"> </w:t>
      </w:r>
      <w:r>
        <w:rPr>
          <w:sz w:val="24"/>
        </w:rPr>
        <w:t>stands alone as</w:t>
      </w:r>
      <w:r w:rsidRPr="00322FBF">
        <w:rPr>
          <w:sz w:val="24"/>
        </w:rPr>
        <w:t xml:space="preserve"> the only study </w:t>
      </w:r>
      <w:r>
        <w:rPr>
          <w:sz w:val="24"/>
        </w:rPr>
        <w:t>in Tables 3-5, 3-7, or 3-9 (</w:t>
      </w:r>
      <w:r w:rsidR="00C42206">
        <w:rPr>
          <w:sz w:val="24"/>
        </w:rPr>
        <w:t>EPA</w:t>
      </w:r>
      <w:r>
        <w:rPr>
          <w:sz w:val="24"/>
        </w:rPr>
        <w:t xml:space="preserve"> PA 2019) </w:t>
      </w:r>
      <w:r w:rsidRPr="00322FBF">
        <w:rPr>
          <w:sz w:val="24"/>
        </w:rPr>
        <w:t>suggest</w:t>
      </w:r>
      <w:r>
        <w:rPr>
          <w:sz w:val="24"/>
        </w:rPr>
        <w:t>ive of any statistical confidence</w:t>
      </w:r>
      <w:r w:rsidRPr="00322FBF">
        <w:rPr>
          <w:sz w:val="24"/>
        </w:rPr>
        <w:t xml:space="preserve"> </w:t>
      </w:r>
      <w:r>
        <w:rPr>
          <w:sz w:val="24"/>
        </w:rPr>
        <w:t xml:space="preserve">that </w:t>
      </w:r>
      <w:r w:rsidRPr="00322FBF">
        <w:rPr>
          <w:sz w:val="24"/>
        </w:rPr>
        <w:t xml:space="preserve">an actual reduction in mortality risk may occur due to a reduction in the annual </w:t>
      </w:r>
      <w:r w:rsidRPr="000B1A91">
        <w:rPr>
          <w:sz w:val="24"/>
        </w:rPr>
        <w:t>PM</w:t>
      </w:r>
      <w:r w:rsidRPr="000B1A91">
        <w:rPr>
          <w:sz w:val="24"/>
          <w:vertAlign w:val="subscript"/>
        </w:rPr>
        <w:t>2.5</w:t>
      </w:r>
      <w:r w:rsidRPr="000B1A91">
        <w:rPr>
          <w:b/>
          <w:sz w:val="24"/>
        </w:rPr>
        <w:t xml:space="preserve"> </w:t>
      </w:r>
      <w:r w:rsidRPr="00322FBF">
        <w:rPr>
          <w:sz w:val="24"/>
        </w:rPr>
        <w:t>NAAQS</w:t>
      </w:r>
      <w:r>
        <w:rPr>
          <w:sz w:val="24"/>
        </w:rPr>
        <w:t xml:space="preserve"> (e.g., the best risk estimate for the current </w:t>
      </w:r>
      <w:r w:rsidRPr="000B1A91">
        <w:rPr>
          <w:sz w:val="24"/>
        </w:rPr>
        <w:t>PM</w:t>
      </w:r>
      <w:r w:rsidRPr="000B1A91">
        <w:rPr>
          <w:sz w:val="24"/>
          <w:vertAlign w:val="subscript"/>
        </w:rPr>
        <w:t>2.5</w:t>
      </w:r>
      <w:r w:rsidRPr="000B1A91">
        <w:rPr>
          <w:b/>
          <w:sz w:val="24"/>
        </w:rPr>
        <w:t xml:space="preserve"> </w:t>
      </w:r>
      <w:r>
        <w:rPr>
          <w:sz w:val="24"/>
        </w:rPr>
        <w:t xml:space="preserve">standard is not included in the risk CIs calculated based on Di et al. 2007 for any of the alternative annual standards). </w:t>
      </w:r>
      <w:r w:rsidRPr="008842FA">
        <w:rPr>
          <w:sz w:val="24"/>
        </w:rPr>
        <w:t xml:space="preserve">However, this study is cited by a CASAC member as a specific example of a false statement about what </w:t>
      </w:r>
      <w:r>
        <w:rPr>
          <w:sz w:val="24"/>
        </w:rPr>
        <w:t>the study</w:t>
      </w:r>
      <w:r w:rsidRPr="008842FA">
        <w:rPr>
          <w:sz w:val="24"/>
        </w:rPr>
        <w:t xml:space="preserve"> </w:t>
      </w:r>
      <w:r>
        <w:rPr>
          <w:sz w:val="24"/>
        </w:rPr>
        <w:t xml:space="preserve">can </w:t>
      </w:r>
      <w:proofErr w:type="gramStart"/>
      <w:r w:rsidRPr="008842FA">
        <w:rPr>
          <w:sz w:val="24"/>
        </w:rPr>
        <w:t xml:space="preserve">actually </w:t>
      </w:r>
      <w:r>
        <w:rPr>
          <w:sz w:val="24"/>
        </w:rPr>
        <w:t>be</w:t>
      </w:r>
      <w:proofErr w:type="gramEnd"/>
      <w:r>
        <w:rPr>
          <w:sz w:val="24"/>
        </w:rPr>
        <w:t xml:space="preserve"> said to have </w:t>
      </w:r>
      <w:r w:rsidRPr="008842FA">
        <w:rPr>
          <w:sz w:val="24"/>
        </w:rPr>
        <w:t>found.</w:t>
      </w:r>
      <w:r>
        <w:rPr>
          <w:sz w:val="24"/>
        </w:rPr>
        <w:t xml:space="preserve"> </w:t>
      </w:r>
    </w:p>
    <w:p w14:paraId="05827131" w14:textId="7E7A5524" w:rsidR="009826C1" w:rsidRPr="004A0541" w:rsidRDefault="009826C1" w:rsidP="00353D50">
      <w:pPr>
        <w:pStyle w:val="BodyText"/>
        <w:spacing w:before="240" w:after="0"/>
        <w:rPr>
          <w:sz w:val="24"/>
        </w:rPr>
      </w:pPr>
      <w:r>
        <w:rPr>
          <w:sz w:val="24"/>
        </w:rPr>
        <w:t>S</w:t>
      </w:r>
      <w:r w:rsidRPr="00322FBF">
        <w:rPr>
          <w:sz w:val="24"/>
        </w:rPr>
        <w:t>pecifically</w:t>
      </w:r>
      <w:r>
        <w:rPr>
          <w:sz w:val="24"/>
        </w:rPr>
        <w:t>,</w:t>
      </w:r>
      <w:r w:rsidRPr="00322FBF">
        <w:rPr>
          <w:sz w:val="24"/>
        </w:rPr>
        <w:t xml:space="preserve"> </w:t>
      </w:r>
      <w:r w:rsidRPr="008842FA">
        <w:rPr>
          <w:i/>
          <w:sz w:val="24"/>
        </w:rPr>
        <w:t>Dr. Boylan assert</w:t>
      </w:r>
      <w:r>
        <w:rPr>
          <w:i/>
          <w:sz w:val="24"/>
        </w:rPr>
        <w:t>s</w:t>
      </w:r>
      <w:r w:rsidRPr="008842FA">
        <w:rPr>
          <w:i/>
          <w:sz w:val="24"/>
        </w:rPr>
        <w:t xml:space="preserve"> that</w:t>
      </w:r>
      <w:r w:rsidRPr="00322FBF">
        <w:rPr>
          <w:sz w:val="24"/>
        </w:rPr>
        <w:t xml:space="preserve"> </w:t>
      </w:r>
      <w:r w:rsidRPr="00322FBF">
        <w:rPr>
          <w:i/>
          <w:sz w:val="24"/>
        </w:rPr>
        <w:t xml:space="preserve">it is a false statement that Di et al. (2017) found that adverse effects were observed at concentrations below the current </w:t>
      </w:r>
      <w:r w:rsidRPr="00462884">
        <w:rPr>
          <w:i/>
          <w:sz w:val="24"/>
        </w:rPr>
        <w:t>PM</w:t>
      </w:r>
      <w:r w:rsidRPr="00462884">
        <w:rPr>
          <w:i/>
          <w:sz w:val="24"/>
          <w:vertAlign w:val="subscript"/>
        </w:rPr>
        <w:t>2.5</w:t>
      </w:r>
      <w:r w:rsidRPr="000B1A91">
        <w:rPr>
          <w:b/>
          <w:sz w:val="24"/>
        </w:rPr>
        <w:t xml:space="preserve"> </w:t>
      </w:r>
      <w:r w:rsidRPr="00322FBF">
        <w:rPr>
          <w:i/>
          <w:sz w:val="24"/>
        </w:rPr>
        <w:t>NAAQS standard</w:t>
      </w:r>
      <w:r w:rsidRPr="00322FBF">
        <w:rPr>
          <w:sz w:val="24"/>
        </w:rPr>
        <w:t xml:space="preserve">. </w:t>
      </w:r>
      <w:r w:rsidRPr="00A705B9">
        <w:t>Consequently, not only does the scientific WOE indicate no statistical confidence that a real reduction in mortality risk would result from a reduction in either the annual or 24-hour PM</w:t>
      </w:r>
      <w:r w:rsidRPr="005F6D5A">
        <w:rPr>
          <w:sz w:val="24"/>
          <w:vertAlign w:val="subscript"/>
        </w:rPr>
        <w:t>2.5</w:t>
      </w:r>
      <w:r w:rsidRPr="005F6D5A">
        <w:rPr>
          <w:vertAlign w:val="subscript"/>
        </w:rPr>
        <w:t xml:space="preserve"> </w:t>
      </w:r>
      <w:r w:rsidRPr="00A705B9">
        <w:t xml:space="preserve">NAAQS, but the only study to suggest otherwise (Di et al. 2017) does not in fact show what </w:t>
      </w:r>
      <w:r w:rsidR="00C42206" w:rsidRPr="00A705B9">
        <w:t>EPA</w:t>
      </w:r>
      <w:r w:rsidRPr="00A705B9">
        <w:t xml:space="preserve"> and others purport it to show.</w:t>
      </w:r>
      <w:r w:rsidRPr="00322FBF">
        <w:rPr>
          <w:b/>
          <w:sz w:val="24"/>
        </w:rPr>
        <w:t xml:space="preserve"> </w:t>
      </w:r>
      <w:r w:rsidRPr="004A0541">
        <w:rPr>
          <w:sz w:val="24"/>
        </w:rPr>
        <w:t xml:space="preserve">The TCEQ agrees with Dr. Boylan (CASAC member) that Di et al. (2017) </w:t>
      </w:r>
      <w:r w:rsidRPr="004A0541">
        <w:rPr>
          <w:i/>
          <w:sz w:val="24"/>
        </w:rPr>
        <w:t>does not actually show</w:t>
      </w:r>
      <w:r w:rsidRPr="004A0541">
        <w:rPr>
          <w:sz w:val="24"/>
        </w:rPr>
        <w:t xml:space="preserve"> that adverse effects were observed at concentrations below current national standards.</w:t>
      </w:r>
      <w:r>
        <w:rPr>
          <w:sz w:val="24"/>
        </w:rPr>
        <w:t xml:space="preserve"> By corollary, the “effect estimate” for Di et al. (2007) in Table C-1 of the </w:t>
      </w:r>
      <w:r w:rsidR="00C42206">
        <w:rPr>
          <w:sz w:val="24"/>
        </w:rPr>
        <w:t>EPA</w:t>
      </w:r>
      <w:r>
        <w:rPr>
          <w:sz w:val="24"/>
        </w:rPr>
        <w:t xml:space="preserve"> PA (2019), as well as for any other study where the </w:t>
      </w:r>
      <w:r w:rsidRPr="00A01411">
        <w:rPr>
          <w:sz w:val="24"/>
        </w:rPr>
        <w:t>exposure concentrations experienced by individuals who experienced adverse effects were not measured</w:t>
      </w:r>
      <w:r>
        <w:rPr>
          <w:sz w:val="24"/>
        </w:rPr>
        <w:t xml:space="preserve">, </w:t>
      </w:r>
      <w:r w:rsidRPr="00A01411">
        <w:rPr>
          <w:i/>
          <w:sz w:val="24"/>
        </w:rPr>
        <w:t>cannot truly be said to be an effect estimate at all since</w:t>
      </w:r>
      <w:r>
        <w:rPr>
          <w:sz w:val="24"/>
        </w:rPr>
        <w:t xml:space="preserve"> </w:t>
      </w:r>
      <w:r w:rsidRPr="00A01411">
        <w:rPr>
          <w:i/>
          <w:sz w:val="24"/>
        </w:rPr>
        <w:t>no actual measurements of PM</w:t>
      </w:r>
      <w:r w:rsidRPr="00A01411">
        <w:rPr>
          <w:i/>
          <w:sz w:val="24"/>
          <w:vertAlign w:val="subscript"/>
        </w:rPr>
        <w:t xml:space="preserve">2.5 </w:t>
      </w:r>
      <w:r w:rsidRPr="00A01411">
        <w:rPr>
          <w:i/>
          <w:sz w:val="24"/>
        </w:rPr>
        <w:t>concentrations for any individual with an adverse health effect were made</w:t>
      </w:r>
      <w:r>
        <w:rPr>
          <w:sz w:val="24"/>
        </w:rPr>
        <w:t>.</w:t>
      </w:r>
    </w:p>
    <w:p w14:paraId="7E9C15F8" w14:textId="77777777" w:rsidR="00B6077C" w:rsidRDefault="009826C1" w:rsidP="00B6077C">
      <w:pPr>
        <w:pStyle w:val="BodyText"/>
        <w:spacing w:before="240" w:after="0"/>
        <w:rPr>
          <w:sz w:val="24"/>
        </w:rPr>
      </w:pPr>
      <w:r w:rsidRPr="00A705B9">
        <w:rPr>
          <w:sz w:val="24"/>
        </w:rPr>
        <w:t xml:space="preserve">Based on the above considerations, similar to our evaluation of </w:t>
      </w:r>
      <w:r w:rsidRPr="00A705B9">
        <w:rPr>
          <w:i/>
          <w:sz w:val="24"/>
        </w:rPr>
        <w:t>short-term</w:t>
      </w:r>
      <w:r w:rsidRPr="00A705B9">
        <w:rPr>
          <w:sz w:val="24"/>
        </w:rPr>
        <w:t xml:space="preserve"> exposure related mortality risk, it can be concluded that there is no statistical confidence that reducing the annual PM</w:t>
      </w:r>
      <w:r w:rsidRPr="00A705B9">
        <w:rPr>
          <w:sz w:val="24"/>
          <w:vertAlign w:val="subscript"/>
        </w:rPr>
        <w:t>2.5</w:t>
      </w:r>
      <w:r w:rsidRPr="00A705B9">
        <w:rPr>
          <w:sz w:val="24"/>
        </w:rPr>
        <w:t xml:space="preserve"> NAAQS to a value in the 9-11 </w:t>
      </w:r>
      <w:r w:rsidRPr="00A705B9">
        <w:rPr>
          <w:rFonts w:ascii="Calibri" w:hAnsi="Calibri" w:cs="Calibri"/>
          <w:sz w:val="24"/>
        </w:rPr>
        <w:t>µ</w:t>
      </w:r>
      <w:r w:rsidRPr="00A705B9">
        <w:rPr>
          <w:sz w:val="24"/>
        </w:rPr>
        <w:t>g/m</w:t>
      </w:r>
      <w:r w:rsidRPr="00A705B9">
        <w:rPr>
          <w:sz w:val="24"/>
          <w:vertAlign w:val="superscript"/>
        </w:rPr>
        <w:t>3</w:t>
      </w:r>
      <w:r w:rsidRPr="00A705B9">
        <w:rPr>
          <w:sz w:val="24"/>
        </w:rPr>
        <w:t xml:space="preserve"> range (or the 24-hour PM</w:t>
      </w:r>
      <w:r w:rsidRPr="005F6D5A">
        <w:rPr>
          <w:sz w:val="24"/>
          <w:vertAlign w:val="subscript"/>
        </w:rPr>
        <w:t>2.5</w:t>
      </w:r>
      <w:r w:rsidRPr="00A705B9">
        <w:rPr>
          <w:sz w:val="24"/>
        </w:rPr>
        <w:t xml:space="preserve"> NAAQS to 30 </w:t>
      </w:r>
      <w:r w:rsidRPr="00A705B9">
        <w:rPr>
          <w:rFonts w:ascii="Calibri" w:hAnsi="Calibri" w:cs="Calibri"/>
          <w:sz w:val="24"/>
        </w:rPr>
        <w:t>µ</w:t>
      </w:r>
      <w:r w:rsidRPr="00A705B9">
        <w:rPr>
          <w:sz w:val="24"/>
        </w:rPr>
        <w:t>g/m</w:t>
      </w:r>
      <w:r w:rsidRPr="00A705B9">
        <w:rPr>
          <w:sz w:val="24"/>
          <w:vertAlign w:val="superscript"/>
        </w:rPr>
        <w:t>3</w:t>
      </w:r>
      <w:r w:rsidRPr="00A705B9">
        <w:rPr>
          <w:sz w:val="24"/>
        </w:rPr>
        <w:t xml:space="preserve">) would actually reduce </w:t>
      </w:r>
      <w:r w:rsidRPr="00A705B9">
        <w:rPr>
          <w:i/>
          <w:sz w:val="24"/>
        </w:rPr>
        <w:t>long-term</w:t>
      </w:r>
      <w:r w:rsidRPr="00A705B9">
        <w:rPr>
          <w:sz w:val="24"/>
        </w:rPr>
        <w:t xml:space="preserve"> exposure related mortality risk.</w:t>
      </w:r>
    </w:p>
    <w:p w14:paraId="5A189621" w14:textId="110B6E88" w:rsidR="009826C1" w:rsidRPr="00D47D18" w:rsidRDefault="009826C1" w:rsidP="00B6077C">
      <w:pPr>
        <w:pStyle w:val="BodyText"/>
        <w:spacing w:before="240" w:after="0"/>
        <w:rPr>
          <w:sz w:val="24"/>
        </w:rPr>
      </w:pPr>
      <w:r w:rsidRPr="00A40B03">
        <w:rPr>
          <w:sz w:val="24"/>
        </w:rPr>
        <w:t xml:space="preserve">In summary, when taken together collectively, the information discussed in the sections above does </w:t>
      </w:r>
      <w:r w:rsidRPr="00A40B03">
        <w:rPr>
          <w:i/>
          <w:sz w:val="24"/>
        </w:rPr>
        <w:t>not</w:t>
      </w:r>
      <w:r w:rsidRPr="00A40B03">
        <w:rPr>
          <w:sz w:val="24"/>
        </w:rPr>
        <w:t xml:space="preserve"> support lowering the current annual and 24-hour PM</w:t>
      </w:r>
      <w:r w:rsidRPr="00A40B03">
        <w:rPr>
          <w:sz w:val="24"/>
          <w:vertAlign w:val="subscript"/>
        </w:rPr>
        <w:t xml:space="preserve">2.5 </w:t>
      </w:r>
      <w:r w:rsidRPr="00A40B03">
        <w:rPr>
          <w:sz w:val="24"/>
        </w:rPr>
        <w:t>standards, but rather by corollary supports retaining the current annual and 24-hour PM</w:t>
      </w:r>
      <w:r w:rsidRPr="00A40B03">
        <w:rPr>
          <w:sz w:val="24"/>
          <w:vertAlign w:val="subscript"/>
        </w:rPr>
        <w:t>2.5</w:t>
      </w:r>
      <w:r w:rsidRPr="00A40B03">
        <w:rPr>
          <w:sz w:val="24"/>
        </w:rPr>
        <w:t xml:space="preserve"> NAAQS.</w:t>
      </w:r>
      <w:r w:rsidRPr="00D47D18">
        <w:t xml:space="preserve"> </w:t>
      </w:r>
      <w:r w:rsidRPr="00D47D18">
        <w:rPr>
          <w:sz w:val="24"/>
        </w:rPr>
        <w:t xml:space="preserve">Consequently, </w:t>
      </w:r>
      <w:r w:rsidRPr="00A40B03">
        <w:rPr>
          <w:sz w:val="24"/>
        </w:rPr>
        <w:t>retaining the current annual PM</w:t>
      </w:r>
      <w:r w:rsidRPr="00A40B03">
        <w:rPr>
          <w:sz w:val="24"/>
          <w:vertAlign w:val="subscript"/>
        </w:rPr>
        <w:t>2.5</w:t>
      </w:r>
      <w:r w:rsidRPr="00A40B03">
        <w:rPr>
          <w:sz w:val="24"/>
        </w:rPr>
        <w:t xml:space="preserve"> standard </w:t>
      </w:r>
      <w:r w:rsidRPr="00D47D18">
        <w:rPr>
          <w:sz w:val="24"/>
        </w:rPr>
        <w:t xml:space="preserve">should be added as an alternative to Section 3.4.2.4.1 of the </w:t>
      </w:r>
      <w:r w:rsidR="00C42206" w:rsidRPr="00D47D18">
        <w:rPr>
          <w:sz w:val="24"/>
        </w:rPr>
        <w:t>EPA</w:t>
      </w:r>
      <w:r w:rsidRPr="00D47D18">
        <w:rPr>
          <w:sz w:val="24"/>
        </w:rPr>
        <w:t xml:space="preserve"> PA (2019).</w:t>
      </w:r>
    </w:p>
    <w:p w14:paraId="7C445104" w14:textId="4D63B041" w:rsidR="006B26F0" w:rsidRPr="00865B96" w:rsidRDefault="009826C1" w:rsidP="00B6077C">
      <w:pPr>
        <w:pStyle w:val="Heading2"/>
        <w:spacing w:before="240"/>
      </w:pPr>
      <w:r w:rsidRPr="00865B96">
        <w:t xml:space="preserve">Mass of </w:t>
      </w:r>
      <w:r w:rsidR="00AC794C" w:rsidRPr="00865B96">
        <w:t xml:space="preserve">PM </w:t>
      </w:r>
      <w:r w:rsidRPr="00865B96">
        <w:t>is a poor toxicity surrogate for PM</w:t>
      </w:r>
      <w:r w:rsidRPr="005F6D5A">
        <w:rPr>
          <w:sz w:val="24"/>
          <w:szCs w:val="24"/>
          <w:vertAlign w:val="subscript"/>
        </w:rPr>
        <w:t>2.5</w:t>
      </w:r>
    </w:p>
    <w:p w14:paraId="63E50F45" w14:textId="14BB7186" w:rsidR="009826C1" w:rsidRPr="00A705B9" w:rsidRDefault="00157B64" w:rsidP="00A40B03">
      <w:pPr>
        <w:pStyle w:val="BodyText"/>
        <w:spacing w:after="0"/>
      </w:pPr>
      <w:r>
        <w:t xml:space="preserve">The evidence presented in the </w:t>
      </w:r>
      <w:r w:rsidR="00576793">
        <w:t xml:space="preserve">2018 PM </w:t>
      </w:r>
      <w:r>
        <w:t xml:space="preserve">ISA suggests that PM mass is not equally toxic across the country or over time. </w:t>
      </w:r>
      <w:r w:rsidRPr="00E848D1">
        <w:t>PM mass</w:t>
      </w:r>
      <w:r w:rsidRPr="000B0FC5">
        <w:t xml:space="preserve"> may </w:t>
      </w:r>
      <w:r>
        <w:t xml:space="preserve">be </w:t>
      </w:r>
      <w:r w:rsidRPr="000B0FC5">
        <w:t>comprise</w:t>
      </w:r>
      <w:r>
        <w:t>d</w:t>
      </w:r>
      <w:r w:rsidRPr="000B0FC5">
        <w:t xml:space="preserve"> of constituents such as organic carbon, elemental carbon, nitrate, and sulfate, as well as trace elements such as iron, vanadium, nickel. These chemical constituents emanate from diverse anthropogenic and natural sources like soil or road dust, vehicle exhaust, biomass combustion, sea salt, and forest fires. </w:t>
      </w:r>
      <w:r w:rsidR="009826C1" w:rsidRPr="00C37EA2">
        <w:rPr>
          <w:sz w:val="24"/>
        </w:rPr>
        <w:t xml:space="preserve">The </w:t>
      </w:r>
      <w:r w:rsidR="00C42206">
        <w:rPr>
          <w:sz w:val="24"/>
        </w:rPr>
        <w:t>EPA</w:t>
      </w:r>
      <w:r w:rsidR="009826C1" w:rsidRPr="00C37EA2">
        <w:rPr>
          <w:sz w:val="24"/>
        </w:rPr>
        <w:t xml:space="preserve"> acknowledges in </w:t>
      </w:r>
      <w:r w:rsidR="009826C1">
        <w:rPr>
          <w:sz w:val="24"/>
        </w:rPr>
        <w:t xml:space="preserve">the 2018 </w:t>
      </w:r>
      <w:r w:rsidR="00130211">
        <w:rPr>
          <w:sz w:val="24"/>
        </w:rPr>
        <w:t xml:space="preserve">PM </w:t>
      </w:r>
      <w:r w:rsidR="009826C1">
        <w:rPr>
          <w:sz w:val="24"/>
        </w:rPr>
        <w:t>ISA</w:t>
      </w:r>
      <w:r w:rsidR="009826C1" w:rsidRPr="00C37EA2">
        <w:rPr>
          <w:sz w:val="24"/>
        </w:rPr>
        <w:t xml:space="preserve"> that they are unable to differentiate the sources or chemical components of PM</w:t>
      </w:r>
      <w:r w:rsidR="009826C1" w:rsidRPr="00C37EA2">
        <w:rPr>
          <w:sz w:val="24"/>
          <w:vertAlign w:val="subscript"/>
        </w:rPr>
        <w:t xml:space="preserve">2.5 </w:t>
      </w:r>
      <w:r w:rsidR="009826C1" w:rsidRPr="00C37EA2">
        <w:rPr>
          <w:sz w:val="24"/>
        </w:rPr>
        <w:t>that are most closely relate</w:t>
      </w:r>
      <w:r w:rsidR="00D47D18">
        <w:rPr>
          <w:sz w:val="24"/>
        </w:rPr>
        <w:t>d</w:t>
      </w:r>
      <w:r w:rsidR="009826C1" w:rsidRPr="00C37EA2">
        <w:rPr>
          <w:sz w:val="24"/>
        </w:rPr>
        <w:t xml:space="preserve"> to health outcomes, with the implication being that they will continue to regulate on a PM</w:t>
      </w:r>
      <w:r w:rsidR="009826C1" w:rsidRPr="00C37EA2">
        <w:rPr>
          <w:sz w:val="24"/>
          <w:vertAlign w:val="subscript"/>
        </w:rPr>
        <w:t>2.5</w:t>
      </w:r>
      <w:r w:rsidR="009826C1" w:rsidRPr="005A49FC">
        <w:rPr>
          <w:sz w:val="24"/>
        </w:rPr>
        <w:t xml:space="preserve"> </w:t>
      </w:r>
      <w:r w:rsidR="009826C1" w:rsidRPr="00C37EA2">
        <w:rPr>
          <w:sz w:val="24"/>
        </w:rPr>
        <w:t>mass basis (µg/m</w:t>
      </w:r>
      <w:r w:rsidR="009826C1" w:rsidRPr="00C37EA2">
        <w:rPr>
          <w:sz w:val="24"/>
          <w:vertAlign w:val="superscript"/>
        </w:rPr>
        <w:t>3</w:t>
      </w:r>
      <w:r w:rsidR="009826C1" w:rsidRPr="00C37EA2">
        <w:rPr>
          <w:sz w:val="24"/>
        </w:rPr>
        <w:t xml:space="preserve">). </w:t>
      </w:r>
      <w:r w:rsidR="009826C1">
        <w:rPr>
          <w:sz w:val="24"/>
        </w:rPr>
        <w:t>D</w:t>
      </w:r>
      <w:r w:rsidR="009826C1" w:rsidRPr="00C37EA2">
        <w:rPr>
          <w:sz w:val="24"/>
        </w:rPr>
        <w:t>espite encouraging results for some PM</w:t>
      </w:r>
      <w:r w:rsidR="009826C1" w:rsidRPr="00C37EA2">
        <w:rPr>
          <w:sz w:val="24"/>
          <w:vertAlign w:val="subscript"/>
        </w:rPr>
        <w:t>2.5</w:t>
      </w:r>
      <w:r w:rsidR="009826C1" w:rsidRPr="005A49FC">
        <w:rPr>
          <w:sz w:val="24"/>
        </w:rPr>
        <w:t xml:space="preserve"> </w:t>
      </w:r>
      <w:r w:rsidR="009826C1" w:rsidRPr="00C37EA2">
        <w:rPr>
          <w:sz w:val="24"/>
        </w:rPr>
        <w:t xml:space="preserve">components and effects (e.g., see the 2018 ISA for specific positive findings for </w:t>
      </w:r>
      <w:r w:rsidR="00AC794C">
        <w:rPr>
          <w:sz w:val="24"/>
        </w:rPr>
        <w:t>elemental carbon (</w:t>
      </w:r>
      <w:r w:rsidR="009826C1" w:rsidRPr="00C37EA2">
        <w:rPr>
          <w:sz w:val="24"/>
        </w:rPr>
        <w:t>EC</w:t>
      </w:r>
      <w:r w:rsidR="008F7867">
        <w:rPr>
          <w:sz w:val="24"/>
        </w:rPr>
        <w:t>)</w:t>
      </w:r>
      <w:r w:rsidR="009826C1" w:rsidRPr="00C37EA2">
        <w:rPr>
          <w:sz w:val="24"/>
        </w:rPr>
        <w:t>,</w:t>
      </w:r>
      <w:r w:rsidR="008F7867">
        <w:rPr>
          <w:sz w:val="24"/>
        </w:rPr>
        <w:t xml:space="preserve"> organic carbon (</w:t>
      </w:r>
      <w:r w:rsidR="009826C1" w:rsidRPr="00C37EA2">
        <w:rPr>
          <w:sz w:val="24"/>
        </w:rPr>
        <w:t>OC</w:t>
      </w:r>
      <w:r w:rsidR="008F7867">
        <w:rPr>
          <w:sz w:val="24"/>
        </w:rPr>
        <w:t>)</w:t>
      </w:r>
      <w:r w:rsidR="009826C1" w:rsidRPr="00C37EA2">
        <w:rPr>
          <w:sz w:val="24"/>
        </w:rPr>
        <w:t xml:space="preserve">, oxidative potential, and combustion-related </w:t>
      </w:r>
      <w:r w:rsidR="009826C1" w:rsidRPr="002F2B47">
        <w:rPr>
          <w:sz w:val="24"/>
        </w:rPr>
        <w:t xml:space="preserve">sources), the </w:t>
      </w:r>
      <w:r w:rsidR="00C42206" w:rsidRPr="002F2B47">
        <w:rPr>
          <w:sz w:val="24"/>
        </w:rPr>
        <w:t>EPA</w:t>
      </w:r>
      <w:r w:rsidR="009826C1" w:rsidRPr="002F2B47">
        <w:rPr>
          <w:sz w:val="24"/>
        </w:rPr>
        <w:t xml:space="preserve"> appears to desire consistent results for the same component across effects when a given component is unlikely to be associated with all the multiple effects evaluated, or that components be more strongly associated with effects than PM</w:t>
      </w:r>
      <w:r w:rsidR="009826C1" w:rsidRPr="002F2B47">
        <w:rPr>
          <w:sz w:val="24"/>
          <w:vertAlign w:val="subscript"/>
        </w:rPr>
        <w:t>2.5</w:t>
      </w:r>
      <w:r w:rsidR="009826C1" w:rsidRPr="002F2B47">
        <w:rPr>
          <w:sz w:val="24"/>
        </w:rPr>
        <w:t xml:space="preserve"> (e.g.</w:t>
      </w:r>
      <w:r w:rsidR="009826C1" w:rsidRPr="00C37EA2">
        <w:rPr>
          <w:sz w:val="24"/>
        </w:rPr>
        <w:t>, p. ES-17 line 17</w:t>
      </w:r>
      <w:r w:rsidR="009826C1">
        <w:rPr>
          <w:sz w:val="24"/>
        </w:rPr>
        <w:t xml:space="preserve"> of the </w:t>
      </w:r>
      <w:r w:rsidR="00C42206">
        <w:rPr>
          <w:sz w:val="24"/>
        </w:rPr>
        <w:t>EPA</w:t>
      </w:r>
      <w:r w:rsidR="009826C1">
        <w:rPr>
          <w:sz w:val="24"/>
        </w:rPr>
        <w:t xml:space="preserve"> ISA 2018</w:t>
      </w:r>
      <w:r w:rsidR="009826C1" w:rsidRPr="00C37EA2">
        <w:rPr>
          <w:sz w:val="24"/>
        </w:rPr>
        <w:t xml:space="preserve">). </w:t>
      </w:r>
      <w:r w:rsidR="009826C1" w:rsidRPr="00A705B9">
        <w:t>Regardless, mass of is a poor surrogate for PM</w:t>
      </w:r>
      <w:r w:rsidR="009826C1" w:rsidRPr="005F6D5A">
        <w:rPr>
          <w:sz w:val="24"/>
          <w:vertAlign w:val="subscript"/>
        </w:rPr>
        <w:t>2.5</w:t>
      </w:r>
      <w:r w:rsidR="009826C1" w:rsidRPr="00A705B9">
        <w:t xml:space="preserve"> toxicity as evidenced by the heterogeneity of PM</w:t>
      </w:r>
      <w:r w:rsidR="009826C1" w:rsidRPr="005F6D5A">
        <w:rPr>
          <w:sz w:val="24"/>
          <w:vertAlign w:val="subscript"/>
        </w:rPr>
        <w:t>2.5</w:t>
      </w:r>
      <w:r w:rsidR="009826C1" w:rsidRPr="00A705B9">
        <w:t>-associated risk both regionally and seasonally (see above), and regulation on a mass basis only assures that the most easily achieved PM</w:t>
      </w:r>
      <w:r w:rsidR="009826C1" w:rsidRPr="005F6D5A">
        <w:rPr>
          <w:sz w:val="24"/>
          <w:vertAlign w:val="subscript"/>
        </w:rPr>
        <w:t>2.5</w:t>
      </w:r>
      <w:r w:rsidR="009826C1" w:rsidRPr="00A705B9">
        <w:t xml:space="preserve"> reductions are made, not ones from the PM</w:t>
      </w:r>
      <w:r w:rsidR="009826C1" w:rsidRPr="005F6D5A">
        <w:rPr>
          <w:sz w:val="24"/>
          <w:vertAlign w:val="subscript"/>
        </w:rPr>
        <w:t>2.5</w:t>
      </w:r>
      <w:r w:rsidR="009826C1" w:rsidRPr="00A705B9">
        <w:t xml:space="preserve"> sources/components most closely associated with health risk.</w:t>
      </w:r>
    </w:p>
    <w:p w14:paraId="6587BDFA" w14:textId="77777777" w:rsidR="009826C1" w:rsidRPr="00CB5DDC" w:rsidRDefault="009826C1" w:rsidP="00CB5DDC">
      <w:pPr>
        <w:pStyle w:val="BodyText"/>
      </w:pPr>
      <w:r w:rsidRPr="00CB5DDC">
        <w:t xml:space="preserve">The </w:t>
      </w:r>
      <w:r w:rsidR="00C42206" w:rsidRPr="00CB5DDC">
        <w:t>EPA</w:t>
      </w:r>
      <w:r w:rsidRPr="00CB5DDC">
        <w:t xml:space="preserve"> acknowledges that results from epidemiological studies evaluating health effects associated with long- and short-term PM</w:t>
      </w:r>
      <w:r w:rsidRPr="005F6D5A">
        <w:rPr>
          <w:sz w:val="24"/>
          <w:vertAlign w:val="subscript"/>
        </w:rPr>
        <w:t>2.5</w:t>
      </w:r>
      <w:r w:rsidRPr="00CB5DDC">
        <w:t xml:space="preserve"> exposures show heterogeneity in responses between cities and effect estimates across geographic regions of the US (e.g., short-term PM</w:t>
      </w:r>
      <w:r w:rsidRPr="005F6D5A">
        <w:rPr>
          <w:sz w:val="24"/>
          <w:vertAlign w:val="subscript"/>
        </w:rPr>
        <w:t>2.5</w:t>
      </w:r>
      <w:r w:rsidRPr="00CB5DDC">
        <w:t xml:space="preserve"> exposure is associated with greater cardiovascular mortality and hospital admissions in the eastern versus western US, </w:t>
      </w:r>
      <w:r w:rsidR="00C42206" w:rsidRPr="00CB5DDC">
        <w:t>EPA</w:t>
      </w:r>
      <w:r w:rsidRPr="00CB5DDC">
        <w:t xml:space="preserve"> 2012; Section 5.1.10.4 of the 2018 ISA), and that this heterogeneity could be partly attributed to differences in PM</w:t>
      </w:r>
      <w:r w:rsidRPr="005F6D5A">
        <w:rPr>
          <w:sz w:val="24"/>
          <w:vertAlign w:val="subscript"/>
        </w:rPr>
        <w:t>2.5</w:t>
      </w:r>
      <w:r w:rsidRPr="00CB5DDC">
        <w:t xml:space="preserve"> composition across the US as well as exposure differences that vary regionally (e.g., personal activity patterns, microenvironmental characteristics). Additionally, </w:t>
      </w:r>
      <w:r w:rsidR="00C42206" w:rsidRPr="00CB5DDC">
        <w:t>EPA</w:t>
      </w:r>
      <w:r w:rsidRPr="00CB5DDC">
        <w:t xml:space="preserve"> acknowledges evidence indicating a greater risk of dying being associated with higher exposures to PM</w:t>
      </w:r>
      <w:r w:rsidRPr="005F6D5A">
        <w:rPr>
          <w:sz w:val="24"/>
          <w:vertAlign w:val="subscript"/>
        </w:rPr>
        <w:t>2.5</w:t>
      </w:r>
      <w:r w:rsidRPr="00CB5DDC">
        <w:t xml:space="preserve"> in the warmer months of the year (e.g., </w:t>
      </w:r>
      <w:r w:rsidR="00C42206" w:rsidRPr="00CB5DDC">
        <w:t>EPA</w:t>
      </w:r>
      <w:r w:rsidRPr="00CB5DDC">
        <w:t xml:space="preserve"> 2012, Section 5.1.10.4 of the 2018 ISA). </w:t>
      </w:r>
      <w:proofErr w:type="gramStart"/>
      <w:r w:rsidRPr="00CB5DDC">
        <w:t>Similar to</w:t>
      </w:r>
      <w:proofErr w:type="gramEnd"/>
      <w:r w:rsidRPr="00CB5DDC">
        <w:t xml:space="preserve"> geographical heterogeneity, </w:t>
      </w:r>
      <w:r w:rsidR="00C42206" w:rsidRPr="00CB5DDC">
        <w:t>EPA</w:t>
      </w:r>
      <w:r w:rsidRPr="00CB5DDC">
        <w:t xml:space="preserve"> acknowledges that seasonal heterogeneity (within a region or across regions) could be attributed to a number of factors including varying PM</w:t>
      </w:r>
      <w:r w:rsidRPr="005F6D5A">
        <w:rPr>
          <w:sz w:val="24"/>
          <w:vertAlign w:val="subscript"/>
        </w:rPr>
        <w:t>2.5</w:t>
      </w:r>
      <w:r w:rsidRPr="00CB5DDC">
        <w:t xml:space="preserve"> composition by season. Regional and seasonal heterogeneity in risk due to reasons with a known factual basis (e.g., differences in PM</w:t>
      </w:r>
      <w:r w:rsidRPr="005F6D5A">
        <w:rPr>
          <w:sz w:val="24"/>
          <w:vertAlign w:val="subscript"/>
        </w:rPr>
        <w:t>2.5</w:t>
      </w:r>
      <w:r w:rsidRPr="00CB5DDC">
        <w:t xml:space="preserve"> composition across the country in conjunction with differences in chemical toxicity and potency) highlights the lack of credible scientific support for nationwide, one-size fits all NAAQS. The ability to differentiate the PM</w:t>
      </w:r>
      <w:r w:rsidRPr="005F6D5A">
        <w:rPr>
          <w:sz w:val="24"/>
          <w:vertAlign w:val="subscript"/>
        </w:rPr>
        <w:t>2.5</w:t>
      </w:r>
      <w:r w:rsidRPr="00CB5DDC">
        <w:t xml:space="preserve"> constituents and/or sources most closely related to the various health outcomes is not necessary to the ability to understand that single nationwide estimates or NAAQS are scientifically inappropriate given the demonstrated and </w:t>
      </w:r>
      <w:r w:rsidR="00C42206" w:rsidRPr="00CB5DDC">
        <w:t>EPA</w:t>
      </w:r>
      <w:r w:rsidRPr="00CB5DDC">
        <w:t xml:space="preserve"> acknowledged heterogeneity in risk across the country.</w:t>
      </w:r>
    </w:p>
    <w:p w14:paraId="23901FF3" w14:textId="77777777" w:rsidR="009826C1" w:rsidRDefault="009826C1" w:rsidP="00B6077C">
      <w:pPr>
        <w:pStyle w:val="BodyText"/>
        <w:spacing w:before="240" w:after="0"/>
        <w:rPr>
          <w:sz w:val="24"/>
        </w:rPr>
      </w:pPr>
      <w:r w:rsidRPr="00C37EA2">
        <w:rPr>
          <w:sz w:val="24"/>
        </w:rPr>
        <w:t xml:space="preserve">Lastly, it is noted that the </w:t>
      </w:r>
      <w:r w:rsidR="00C42206">
        <w:rPr>
          <w:sz w:val="24"/>
        </w:rPr>
        <w:t>EPA</w:t>
      </w:r>
      <w:r w:rsidRPr="00C37EA2">
        <w:rPr>
          <w:sz w:val="24"/>
        </w:rPr>
        <w:t xml:space="preserve"> is seemingly unable to identify any chemical component(s) of PM</w:t>
      </w:r>
      <w:r w:rsidRPr="0059310A">
        <w:rPr>
          <w:sz w:val="24"/>
          <w:vertAlign w:val="subscript"/>
        </w:rPr>
        <w:t>2.5</w:t>
      </w:r>
      <w:r w:rsidRPr="0059310A">
        <w:rPr>
          <w:sz w:val="24"/>
        </w:rPr>
        <w:t xml:space="preserve"> </w:t>
      </w:r>
      <w:r w:rsidRPr="00C37EA2">
        <w:rPr>
          <w:sz w:val="24"/>
        </w:rPr>
        <w:t xml:space="preserve">specifically culpable for any specific health outcome they evaluate, chemicals for which there is a wealth of toxicological information, and </w:t>
      </w:r>
      <w:r w:rsidR="00C42206">
        <w:rPr>
          <w:sz w:val="24"/>
        </w:rPr>
        <w:t>EPA</w:t>
      </w:r>
      <w:r w:rsidRPr="00C37EA2">
        <w:rPr>
          <w:sz w:val="24"/>
        </w:rPr>
        <w:t xml:space="preserve"> apparently continues to consider that significant scientific shortcoming acceptable. The inability to identify any chemical component(s) of PM</w:t>
      </w:r>
      <w:r w:rsidRPr="0059310A">
        <w:rPr>
          <w:sz w:val="24"/>
          <w:vertAlign w:val="subscript"/>
        </w:rPr>
        <w:t>2.5</w:t>
      </w:r>
      <w:r w:rsidRPr="0059310A">
        <w:rPr>
          <w:sz w:val="24"/>
        </w:rPr>
        <w:t xml:space="preserve"> </w:t>
      </w:r>
      <w:r w:rsidRPr="00C37EA2">
        <w:rPr>
          <w:sz w:val="24"/>
        </w:rPr>
        <w:t xml:space="preserve">specifically culpable for any specific health outcome says a great deal about the usefulness of the underlying science in differentiating and ultimately addressing </w:t>
      </w:r>
      <w:r>
        <w:rPr>
          <w:sz w:val="24"/>
        </w:rPr>
        <w:t xml:space="preserve">the </w:t>
      </w:r>
      <w:r w:rsidRPr="00C37EA2">
        <w:rPr>
          <w:sz w:val="24"/>
        </w:rPr>
        <w:t xml:space="preserve">actual causative chemical agent(s) </w:t>
      </w:r>
      <w:r>
        <w:rPr>
          <w:sz w:val="24"/>
        </w:rPr>
        <w:t>a</w:t>
      </w:r>
      <w:r w:rsidR="00D47D18">
        <w:rPr>
          <w:sz w:val="24"/>
        </w:rPr>
        <w:t>s</w:t>
      </w:r>
      <w:r>
        <w:rPr>
          <w:sz w:val="24"/>
        </w:rPr>
        <w:t>sociated with</w:t>
      </w:r>
      <w:r w:rsidRPr="00C37EA2">
        <w:rPr>
          <w:sz w:val="24"/>
        </w:rPr>
        <w:t xml:space="preserve"> the various effects</w:t>
      </w:r>
      <w:r>
        <w:rPr>
          <w:sz w:val="24"/>
        </w:rPr>
        <w:t xml:space="preserve"> evaluated by </w:t>
      </w:r>
      <w:r w:rsidR="00C42206">
        <w:rPr>
          <w:sz w:val="24"/>
        </w:rPr>
        <w:t>EPA</w:t>
      </w:r>
      <w:r>
        <w:rPr>
          <w:sz w:val="24"/>
        </w:rPr>
        <w:t xml:space="preserve"> in the ISA and PA</w:t>
      </w:r>
      <w:r w:rsidRPr="00C37EA2">
        <w:rPr>
          <w:sz w:val="24"/>
        </w:rPr>
        <w:t>.</w:t>
      </w:r>
    </w:p>
    <w:p w14:paraId="6B2677FB" w14:textId="77777777" w:rsidR="009A32CE" w:rsidRDefault="009A32CE" w:rsidP="00107BA1">
      <w:pPr>
        <w:pStyle w:val="Heading5"/>
        <w:spacing w:after="0"/>
      </w:pPr>
      <w:r>
        <w:t>The PA does not consistently nor appropriately consider the implications of the extreme heterogeneity of PM mass in its causal and likely to be causal determinations for generic PM</w:t>
      </w:r>
      <w:r w:rsidRPr="005F6D5A">
        <w:rPr>
          <w:sz w:val="24"/>
          <w:vertAlign w:val="subscript"/>
        </w:rPr>
        <w:t>2.5</w:t>
      </w:r>
      <w:r w:rsidRPr="00813B78">
        <w:rPr>
          <w:vertAlign w:val="subscript"/>
        </w:rPr>
        <w:t xml:space="preserve"> </w:t>
      </w:r>
      <w:r>
        <w:t>mass.</w:t>
      </w:r>
    </w:p>
    <w:p w14:paraId="3DD5B5B2" w14:textId="75FED274" w:rsidR="009A32CE" w:rsidRPr="00813B78" w:rsidRDefault="009A32CE" w:rsidP="009A32CE">
      <w:pPr>
        <w:pStyle w:val="BodyText"/>
        <w:numPr>
          <w:ilvl w:val="0"/>
          <w:numId w:val="38"/>
        </w:numPr>
        <w:spacing w:after="0"/>
        <w:rPr>
          <w:sz w:val="24"/>
        </w:rPr>
      </w:pPr>
      <w:r w:rsidRPr="00813B78">
        <w:rPr>
          <w:sz w:val="24"/>
        </w:rPr>
        <w:t>EPA should question their unconditional “causal” and “likely to be causal” determinations for generic PM</w:t>
      </w:r>
      <w:r w:rsidRPr="00813B78">
        <w:rPr>
          <w:sz w:val="24"/>
          <w:vertAlign w:val="subscript"/>
        </w:rPr>
        <w:t>2.5</w:t>
      </w:r>
      <w:r w:rsidRPr="00813B78">
        <w:rPr>
          <w:sz w:val="24"/>
        </w:rPr>
        <w:t xml:space="preserve"> mass (e.g., without regard to PM source or composition; as in EPA ISA 2018 and Table 3-1 of EPA PA 2019) as it is apparent from the extensive scientific database that not all PM</w:t>
      </w:r>
      <w:r w:rsidRPr="00813B78">
        <w:rPr>
          <w:sz w:val="24"/>
          <w:vertAlign w:val="subscript"/>
        </w:rPr>
        <w:t>2.5</w:t>
      </w:r>
      <w:r w:rsidRPr="00813B78">
        <w:rPr>
          <w:sz w:val="24"/>
        </w:rPr>
        <w:t xml:space="preserve"> is created equal toxicologically; and</w:t>
      </w:r>
    </w:p>
    <w:p w14:paraId="4AA83B84" w14:textId="77777777" w:rsidR="009A32CE" w:rsidRPr="00813B78" w:rsidRDefault="009A32CE" w:rsidP="009A32CE">
      <w:pPr>
        <w:pStyle w:val="BodyText"/>
        <w:numPr>
          <w:ilvl w:val="0"/>
          <w:numId w:val="38"/>
        </w:numPr>
        <w:spacing w:after="0"/>
        <w:rPr>
          <w:sz w:val="24"/>
        </w:rPr>
      </w:pPr>
      <w:r w:rsidRPr="00813B78">
        <w:rPr>
          <w:sz w:val="24"/>
        </w:rPr>
        <w:t>A one-size fits all NAAQS for all areas of the country (and over all seasons) is not adequately scientifically supported.</w:t>
      </w:r>
    </w:p>
    <w:p w14:paraId="3300063A" w14:textId="77777777" w:rsidR="009A32CE" w:rsidRDefault="009A32CE" w:rsidP="00B6077C">
      <w:pPr>
        <w:pStyle w:val="BodyText"/>
        <w:spacing w:before="240" w:after="0"/>
        <w:rPr>
          <w:sz w:val="24"/>
        </w:rPr>
      </w:pPr>
      <w:r w:rsidRPr="00504605">
        <w:rPr>
          <w:sz w:val="24"/>
        </w:rPr>
        <w:t xml:space="preserve">Accordingly, </w:t>
      </w:r>
      <w:r w:rsidRPr="003F2BB7">
        <w:rPr>
          <w:i/>
          <w:sz w:val="24"/>
        </w:rPr>
        <w:t>simply retaining the current annual PM</w:t>
      </w:r>
      <w:r w:rsidRPr="003F2BB7">
        <w:rPr>
          <w:i/>
          <w:sz w:val="24"/>
          <w:vertAlign w:val="subscript"/>
        </w:rPr>
        <w:t xml:space="preserve">2.5 </w:t>
      </w:r>
      <w:r w:rsidRPr="003F2BB7">
        <w:rPr>
          <w:i/>
          <w:sz w:val="24"/>
        </w:rPr>
        <w:t xml:space="preserve">standard should be added as an alternative to Section 3.4.2.4.1 of the </w:t>
      </w:r>
      <w:r>
        <w:rPr>
          <w:i/>
          <w:sz w:val="24"/>
        </w:rPr>
        <w:t>EPA</w:t>
      </w:r>
      <w:r w:rsidRPr="003F2BB7">
        <w:rPr>
          <w:i/>
          <w:sz w:val="24"/>
        </w:rPr>
        <w:t xml:space="preserve"> PA (2019),</w:t>
      </w:r>
      <w:r w:rsidRPr="00504605">
        <w:rPr>
          <w:sz w:val="24"/>
        </w:rPr>
        <w:t xml:space="preserve"> supported by these and other </w:t>
      </w:r>
      <w:r>
        <w:rPr>
          <w:sz w:val="24"/>
        </w:rPr>
        <w:t xml:space="preserve">relevant </w:t>
      </w:r>
      <w:r w:rsidRPr="00504605">
        <w:rPr>
          <w:sz w:val="24"/>
        </w:rPr>
        <w:t>considerations (e.g., multiple significant uncertainties relevant to scientific defensibility such as study limitations, lack of data adequate to support biological plausibility at relevant concentrations, ever-present exposure estima</w:t>
      </w:r>
      <w:r>
        <w:rPr>
          <w:sz w:val="24"/>
        </w:rPr>
        <w:t>tion</w:t>
      </w:r>
      <w:r w:rsidRPr="00504605">
        <w:rPr>
          <w:sz w:val="24"/>
        </w:rPr>
        <w:t xml:space="preserve"> error that linearizes the dose-response</w:t>
      </w:r>
      <w:r>
        <w:rPr>
          <w:sz w:val="24"/>
        </w:rPr>
        <w:t xml:space="preserve">). For example, </w:t>
      </w:r>
      <w:r w:rsidRPr="003F2BB7">
        <w:rPr>
          <w:i/>
          <w:sz w:val="24"/>
        </w:rPr>
        <w:t xml:space="preserve">CASAC (2019) indicates that </w:t>
      </w:r>
      <w:r>
        <w:rPr>
          <w:i/>
          <w:sz w:val="24"/>
        </w:rPr>
        <w:t>EPA</w:t>
      </w:r>
      <w:r w:rsidRPr="003F2BB7">
        <w:rPr>
          <w:i/>
          <w:sz w:val="24"/>
        </w:rPr>
        <w:t xml:space="preserve"> (2018) has still not adequately addressed</w:t>
      </w:r>
      <w:r>
        <w:rPr>
          <w:sz w:val="24"/>
        </w:rPr>
        <w:t xml:space="preserve"> </w:t>
      </w:r>
      <w:r w:rsidRPr="004170EC">
        <w:rPr>
          <w:i/>
          <w:sz w:val="24"/>
        </w:rPr>
        <w:t>biological plausibility</w:t>
      </w:r>
      <w:r>
        <w:rPr>
          <w:sz w:val="24"/>
        </w:rPr>
        <w:t>, “</w:t>
      </w:r>
      <w:r w:rsidRPr="003D1CA7">
        <w:rPr>
          <w:sz w:val="24"/>
        </w:rPr>
        <w:t>specifically how ambient concentrations of</w:t>
      </w:r>
      <w:r>
        <w:rPr>
          <w:sz w:val="24"/>
        </w:rPr>
        <w:t xml:space="preserve"> </w:t>
      </w:r>
      <w:r w:rsidRPr="003D1CA7">
        <w:rPr>
          <w:sz w:val="24"/>
        </w:rPr>
        <w:t>PM</w:t>
      </w:r>
      <w:r w:rsidRPr="006E59AE">
        <w:rPr>
          <w:sz w:val="24"/>
          <w:vertAlign w:val="subscript"/>
        </w:rPr>
        <w:t>2.5</w:t>
      </w:r>
      <w:r w:rsidRPr="003D1CA7">
        <w:rPr>
          <w:sz w:val="24"/>
        </w:rPr>
        <w:t xml:space="preserve"> can move into and through the biological systems in the body to activate a cascade of</w:t>
      </w:r>
      <w:r>
        <w:rPr>
          <w:sz w:val="24"/>
        </w:rPr>
        <w:t xml:space="preserve"> </w:t>
      </w:r>
      <w:r w:rsidRPr="003D1CA7">
        <w:rPr>
          <w:sz w:val="24"/>
        </w:rPr>
        <w:t>effects that ultimately lead to a person’s death</w:t>
      </w:r>
      <w:r>
        <w:rPr>
          <w:sz w:val="24"/>
        </w:rPr>
        <w:t>” (see p. 1 of CASAC 2019).</w:t>
      </w:r>
    </w:p>
    <w:p w14:paraId="22FBBFA8" w14:textId="4BDCB5DC" w:rsidR="009A32CE" w:rsidRDefault="009A32CE" w:rsidP="00B6077C">
      <w:pPr>
        <w:pStyle w:val="BodyText"/>
        <w:spacing w:before="240" w:after="0"/>
        <w:rPr>
          <w:sz w:val="24"/>
        </w:rPr>
      </w:pPr>
      <w:r w:rsidRPr="00A705B9">
        <w:t xml:space="preserve">In conjunction with other considerations (e.g., lack of statistical confidence that lowering the standard </w:t>
      </w:r>
      <w:r w:rsidR="008F7867" w:rsidRPr="00A705B9">
        <w:t xml:space="preserve">will </w:t>
      </w:r>
      <w:proofErr w:type="gramStart"/>
      <w:r w:rsidRPr="00A705B9">
        <w:t>actually reduce</w:t>
      </w:r>
      <w:proofErr w:type="gramEnd"/>
      <w:r w:rsidRPr="00A705B9">
        <w:t xml:space="preserve"> risk), significant regional and seasonal differences in PM-associated risk obviously call into question the scientific defensibility and basis of any policy decision to further lower a national annual (i.e., year-round) standard.</w:t>
      </w:r>
      <w:r>
        <w:rPr>
          <w:sz w:val="24"/>
        </w:rPr>
        <w:t xml:space="preserve"> </w:t>
      </w:r>
      <w:r w:rsidRPr="0069262D">
        <w:rPr>
          <w:sz w:val="24"/>
        </w:rPr>
        <w:t xml:space="preserve">This issue was highlighted numerous times by </w:t>
      </w:r>
      <w:r w:rsidRPr="00800FF3">
        <w:rPr>
          <w:i/>
          <w:sz w:val="24"/>
        </w:rPr>
        <w:t>CASAC (2019),</w:t>
      </w:r>
      <w:r w:rsidRPr="007B01B5">
        <w:rPr>
          <w:i/>
          <w:sz w:val="24"/>
        </w:rPr>
        <w:t xml:space="preserve"> who did not reach consensus on the causality determination of mortality from PM</w:t>
      </w:r>
      <w:r w:rsidRPr="007B01B5">
        <w:rPr>
          <w:i/>
          <w:sz w:val="24"/>
          <w:vertAlign w:val="subscript"/>
        </w:rPr>
        <w:t xml:space="preserve">2.5 </w:t>
      </w:r>
      <w:r w:rsidRPr="007B01B5">
        <w:rPr>
          <w:i/>
          <w:sz w:val="24"/>
        </w:rPr>
        <w:t>exposure</w:t>
      </w:r>
      <w:r w:rsidRPr="007B01B5">
        <w:rPr>
          <w:sz w:val="24"/>
        </w:rPr>
        <w:t xml:space="preserve">. </w:t>
      </w:r>
      <w:r>
        <w:rPr>
          <w:sz w:val="24"/>
        </w:rPr>
        <w:t>Just as three examples from CASAC (2019) [</w:t>
      </w:r>
      <w:r w:rsidRPr="00F03C0E">
        <w:rPr>
          <w:i/>
          <w:sz w:val="24"/>
        </w:rPr>
        <w:t>emphasis added</w:t>
      </w:r>
      <w:r>
        <w:rPr>
          <w:sz w:val="24"/>
        </w:rPr>
        <w:t>]:</w:t>
      </w:r>
    </w:p>
    <w:p w14:paraId="2EF448AE" w14:textId="77777777" w:rsidR="009A32CE" w:rsidRPr="00107BA1" w:rsidRDefault="009A32CE" w:rsidP="009A32CE">
      <w:pPr>
        <w:pStyle w:val="BodyText"/>
        <w:numPr>
          <w:ilvl w:val="0"/>
          <w:numId w:val="36"/>
        </w:numPr>
        <w:spacing w:after="0"/>
        <w:ind w:right="720"/>
        <w:rPr>
          <w:sz w:val="24"/>
        </w:rPr>
      </w:pPr>
      <w:r w:rsidRPr="00F03C0E">
        <w:rPr>
          <w:sz w:val="24"/>
          <w:u w:val="single"/>
        </w:rPr>
        <w:t>Heterogeneity</w:t>
      </w:r>
      <w:r w:rsidRPr="00F03C0E">
        <w:rPr>
          <w:sz w:val="24"/>
        </w:rPr>
        <w:t xml:space="preserve">. </w:t>
      </w:r>
      <w:r w:rsidRPr="00F03C0E">
        <w:rPr>
          <w:i/>
          <w:sz w:val="24"/>
        </w:rPr>
        <w:t>The EPA should also address the substantial unexplained geographic heterogeneity in effect estimates between PM</w:t>
      </w:r>
      <w:r w:rsidRPr="00F03C0E">
        <w:rPr>
          <w:i/>
          <w:sz w:val="24"/>
          <w:vertAlign w:val="subscript"/>
        </w:rPr>
        <w:t xml:space="preserve">2.5 </w:t>
      </w:r>
      <w:r w:rsidRPr="00F03C0E">
        <w:rPr>
          <w:i/>
          <w:sz w:val="24"/>
        </w:rPr>
        <w:t>exposure and mortality</w:t>
      </w:r>
      <w:r w:rsidRPr="00F03C0E">
        <w:rPr>
          <w:sz w:val="24"/>
        </w:rPr>
        <w:t xml:space="preserve"> (e.g. </w:t>
      </w:r>
      <w:proofErr w:type="spellStart"/>
      <w:r w:rsidRPr="00F03C0E">
        <w:rPr>
          <w:sz w:val="24"/>
        </w:rPr>
        <w:t>Eftim</w:t>
      </w:r>
      <w:proofErr w:type="spellEnd"/>
      <w:r w:rsidRPr="00F03C0E">
        <w:rPr>
          <w:sz w:val="24"/>
        </w:rPr>
        <w:t xml:space="preserve"> et al., 2008,</w:t>
      </w:r>
      <w:r>
        <w:rPr>
          <w:sz w:val="24"/>
        </w:rPr>
        <w:t xml:space="preserve"> </w:t>
      </w:r>
      <w:r w:rsidRPr="00F03C0E">
        <w:rPr>
          <w:sz w:val="24"/>
        </w:rPr>
        <w:t>Baxter et al., 2017, and many others). In the previous PM NAAQS review, the EPA noted that</w:t>
      </w:r>
      <w:r>
        <w:rPr>
          <w:sz w:val="24"/>
        </w:rPr>
        <w:t xml:space="preserve"> </w:t>
      </w:r>
      <w:r w:rsidRPr="00F03C0E">
        <w:rPr>
          <w:sz w:val="24"/>
        </w:rPr>
        <w:t>uncertainty remained in the form of unexplained within- and between-city heterogeneity in</w:t>
      </w:r>
      <w:r>
        <w:rPr>
          <w:sz w:val="24"/>
        </w:rPr>
        <w:t xml:space="preserve"> </w:t>
      </w:r>
      <w:r w:rsidRPr="00F03C0E">
        <w:rPr>
          <w:sz w:val="24"/>
        </w:rPr>
        <w:t xml:space="preserve">responses to PM. The EPA also asked </w:t>
      </w:r>
      <w:r w:rsidRPr="0041318A">
        <w:rPr>
          <w:sz w:val="24"/>
        </w:rPr>
        <w:t>several policy-relevant questions related to geographical heterogeneity</w:t>
      </w:r>
      <w:r w:rsidRPr="00F03C0E">
        <w:rPr>
          <w:sz w:val="24"/>
        </w:rPr>
        <w:t xml:space="preserve"> in the Integrated Review Plan for this current PM NAAQS review. Given the</w:t>
      </w:r>
      <w:r>
        <w:rPr>
          <w:sz w:val="24"/>
        </w:rPr>
        <w:t xml:space="preserve"> </w:t>
      </w:r>
      <w:r w:rsidRPr="00F03C0E">
        <w:rPr>
          <w:sz w:val="24"/>
        </w:rPr>
        <w:t>emphasis that the EPA has placed on this topic, they should include more discussion of</w:t>
      </w:r>
      <w:r>
        <w:rPr>
          <w:sz w:val="24"/>
        </w:rPr>
        <w:t xml:space="preserve"> </w:t>
      </w:r>
      <w:r w:rsidRPr="00F03C0E">
        <w:rPr>
          <w:sz w:val="24"/>
        </w:rPr>
        <w:t>geographic and other types of heterogeneity in this ISA. The implications of unexplained</w:t>
      </w:r>
      <w:r>
        <w:rPr>
          <w:sz w:val="24"/>
        </w:rPr>
        <w:t xml:space="preserve"> </w:t>
      </w:r>
      <w:r w:rsidRPr="00F03C0E">
        <w:rPr>
          <w:sz w:val="24"/>
        </w:rPr>
        <w:t>heterogeneity need to be discussed for those endpoints where many potential explanations have</w:t>
      </w:r>
      <w:r>
        <w:rPr>
          <w:sz w:val="24"/>
        </w:rPr>
        <w:t xml:space="preserve"> </w:t>
      </w:r>
      <w:r w:rsidRPr="00F03C0E">
        <w:rPr>
          <w:sz w:val="24"/>
        </w:rPr>
        <w:t>been tested, but none has been able to explain the observed heterogeneity (e.g. short-term PM</w:t>
      </w:r>
      <w:r w:rsidRPr="005F6D5A">
        <w:rPr>
          <w:sz w:val="24"/>
          <w:vertAlign w:val="subscript"/>
        </w:rPr>
        <w:t>2.5</w:t>
      </w:r>
      <w:r>
        <w:rPr>
          <w:sz w:val="24"/>
        </w:rPr>
        <w:t xml:space="preserve"> </w:t>
      </w:r>
      <w:r w:rsidRPr="00F03C0E">
        <w:rPr>
          <w:sz w:val="24"/>
        </w:rPr>
        <w:t xml:space="preserve">exposure and total mortality). </w:t>
      </w:r>
      <w:r w:rsidRPr="00107BA1">
        <w:rPr>
          <w:i/>
          <w:sz w:val="24"/>
        </w:rPr>
        <w:t>At what point does heterogeneity move from being an uncertainty, to impacting the causality conclusion or other policy-relevant issues such as the use of a single effect estimate for the whole nation?</w:t>
      </w:r>
    </w:p>
    <w:p w14:paraId="6C94FAF9" w14:textId="77777777" w:rsidR="009A32CE" w:rsidRDefault="009A32CE" w:rsidP="009A32CE">
      <w:pPr>
        <w:pStyle w:val="BodyText"/>
        <w:numPr>
          <w:ilvl w:val="0"/>
          <w:numId w:val="36"/>
        </w:numPr>
        <w:spacing w:after="0"/>
        <w:ind w:right="720"/>
        <w:rPr>
          <w:sz w:val="24"/>
        </w:rPr>
      </w:pPr>
      <w:r w:rsidRPr="0060557E">
        <w:rPr>
          <w:sz w:val="24"/>
        </w:rPr>
        <w:t>This section demonstrates that despite numerous attempts by</w:t>
      </w:r>
      <w:r>
        <w:rPr>
          <w:sz w:val="24"/>
        </w:rPr>
        <w:t xml:space="preserve"> </w:t>
      </w:r>
      <w:r w:rsidRPr="0060557E">
        <w:rPr>
          <w:sz w:val="24"/>
        </w:rPr>
        <w:t xml:space="preserve">researchers, </w:t>
      </w:r>
      <w:r w:rsidRPr="0060557E">
        <w:rPr>
          <w:i/>
          <w:sz w:val="24"/>
        </w:rPr>
        <w:t>there is still substantial unexplained heterogeneity in the effect estimates between PM</w:t>
      </w:r>
      <w:r w:rsidRPr="0060557E">
        <w:rPr>
          <w:i/>
          <w:sz w:val="24"/>
          <w:vertAlign w:val="subscript"/>
        </w:rPr>
        <w:t xml:space="preserve">2.5 </w:t>
      </w:r>
      <w:r w:rsidRPr="0060557E">
        <w:rPr>
          <w:i/>
          <w:sz w:val="24"/>
        </w:rPr>
        <w:t>and mortality that need to be considered when assessing the causal connection between the two</w:t>
      </w:r>
      <w:r w:rsidRPr="0060557E">
        <w:rPr>
          <w:sz w:val="24"/>
        </w:rPr>
        <w:t>.</w:t>
      </w:r>
    </w:p>
    <w:p w14:paraId="2A6D1267" w14:textId="77777777" w:rsidR="009A32CE" w:rsidRPr="00353D50" w:rsidRDefault="009A32CE" w:rsidP="009A32CE">
      <w:pPr>
        <w:pStyle w:val="BodyText"/>
        <w:numPr>
          <w:ilvl w:val="0"/>
          <w:numId w:val="36"/>
        </w:numPr>
        <w:spacing w:after="0"/>
        <w:ind w:right="720"/>
        <w:rPr>
          <w:sz w:val="24"/>
        </w:rPr>
      </w:pPr>
      <w:r w:rsidRPr="004A326C">
        <w:rPr>
          <w:i/>
          <w:sz w:val="24"/>
        </w:rPr>
        <w:t>While</w:t>
      </w:r>
      <w:r w:rsidRPr="00714DE9">
        <w:rPr>
          <w:sz w:val="24"/>
        </w:rPr>
        <w:t xml:space="preserve"> </w:t>
      </w:r>
      <w:r w:rsidRPr="00714DE9">
        <w:rPr>
          <w:i/>
          <w:sz w:val="24"/>
        </w:rPr>
        <w:t>more studies have been conducted</w:t>
      </w:r>
      <w:r w:rsidRPr="00714DE9">
        <w:rPr>
          <w:sz w:val="24"/>
        </w:rPr>
        <w:t xml:space="preserve"> since the last ISA that consider uncertainties like </w:t>
      </w:r>
      <w:proofErr w:type="spellStart"/>
      <w:r w:rsidRPr="00714DE9">
        <w:rPr>
          <w:sz w:val="24"/>
        </w:rPr>
        <w:t>copollutants</w:t>
      </w:r>
      <w:proofErr w:type="spellEnd"/>
      <w:r w:rsidRPr="00714DE9">
        <w:rPr>
          <w:sz w:val="24"/>
        </w:rPr>
        <w:t>, C-R functions, regional heterogeneity, and PM</w:t>
      </w:r>
      <w:r w:rsidRPr="005F6D5A">
        <w:rPr>
          <w:sz w:val="24"/>
          <w:vertAlign w:val="subscript"/>
        </w:rPr>
        <w:t>2.5</w:t>
      </w:r>
      <w:r w:rsidRPr="00714DE9">
        <w:rPr>
          <w:sz w:val="24"/>
        </w:rPr>
        <w:t xml:space="preserve"> components and sources, </w:t>
      </w:r>
      <w:r w:rsidRPr="00714DE9">
        <w:rPr>
          <w:i/>
          <w:sz w:val="24"/>
        </w:rPr>
        <w:t>none of them really clarifies any of the underlying uncertainty</w:t>
      </w:r>
      <w:r w:rsidRPr="00714DE9">
        <w:rPr>
          <w:sz w:val="24"/>
        </w:rPr>
        <w:t xml:space="preserve">. There are still unknowns with </w:t>
      </w:r>
      <w:proofErr w:type="spellStart"/>
      <w:r w:rsidRPr="00714DE9">
        <w:rPr>
          <w:sz w:val="24"/>
        </w:rPr>
        <w:t>copollutants</w:t>
      </w:r>
      <w:proofErr w:type="spellEnd"/>
      <w:r w:rsidRPr="00714DE9">
        <w:rPr>
          <w:sz w:val="24"/>
        </w:rPr>
        <w:t xml:space="preserve">, </w:t>
      </w:r>
      <w:r w:rsidRPr="004A326C">
        <w:rPr>
          <w:i/>
          <w:sz w:val="24"/>
        </w:rPr>
        <w:t>C-R functions are still</w:t>
      </w:r>
      <w:r w:rsidRPr="00714DE9">
        <w:rPr>
          <w:sz w:val="24"/>
        </w:rPr>
        <w:t xml:space="preserve"> </w:t>
      </w:r>
      <w:r w:rsidRPr="00714DE9">
        <w:rPr>
          <w:i/>
          <w:sz w:val="24"/>
        </w:rPr>
        <w:t>plagued by problems with innate variability</w:t>
      </w:r>
      <w:r w:rsidRPr="00714DE9">
        <w:rPr>
          <w:sz w:val="24"/>
        </w:rPr>
        <w:t xml:space="preserve"> that makes them difficult to interpret, there are studies showing </w:t>
      </w:r>
      <w:r w:rsidRPr="00714DE9">
        <w:rPr>
          <w:i/>
          <w:sz w:val="24"/>
        </w:rPr>
        <w:t>completely inconsistent temperature relationships</w:t>
      </w:r>
      <w:r w:rsidRPr="00714DE9">
        <w:rPr>
          <w:sz w:val="24"/>
        </w:rPr>
        <w:t xml:space="preserve">, </w:t>
      </w:r>
      <w:r w:rsidRPr="00714DE9">
        <w:rPr>
          <w:i/>
          <w:sz w:val="24"/>
        </w:rPr>
        <w:t>none of the studies on regional heterogeneity adequately explained the reasons for the city-specific heterogeneity</w:t>
      </w:r>
      <w:r w:rsidRPr="00714DE9">
        <w:rPr>
          <w:sz w:val="24"/>
        </w:rPr>
        <w:t xml:space="preserve">, and it is not clear what components or sources are causing the observed effects. </w:t>
      </w:r>
      <w:r w:rsidRPr="00353D50">
        <w:rPr>
          <w:i/>
          <w:sz w:val="24"/>
        </w:rPr>
        <w:t>At what point do you go back to your underlying assumptions (i.e., that short-term exposure to PM</w:t>
      </w:r>
      <w:r w:rsidRPr="00353D50">
        <w:rPr>
          <w:i/>
          <w:sz w:val="24"/>
          <w:vertAlign w:val="subscript"/>
        </w:rPr>
        <w:t xml:space="preserve">2.5 </w:t>
      </w:r>
      <w:r w:rsidRPr="00353D50">
        <w:rPr>
          <w:i/>
          <w:sz w:val="24"/>
        </w:rPr>
        <w:t>causes mortality) and ask whether they are valid?</w:t>
      </w:r>
    </w:p>
    <w:p w14:paraId="3567BB48" w14:textId="77777777" w:rsidR="009A32CE" w:rsidRPr="00504605" w:rsidRDefault="009A32CE" w:rsidP="004378B1">
      <w:pPr>
        <w:pStyle w:val="BodyText"/>
        <w:spacing w:before="240" w:after="0"/>
        <w:rPr>
          <w:sz w:val="24"/>
        </w:rPr>
      </w:pPr>
      <w:r>
        <w:rPr>
          <w:sz w:val="24"/>
        </w:rPr>
        <w:t>CASAC (2019) discusses this critical issue in many places (pp. 2, 3, 21, A-30, A-41, A-104, A-105, A-111, A-115, A-116, A-137, A-138, and A-139 to name a few). Below, heterogeneity in mortality and morbidity findings is briefly discussed by the TCEQ.</w:t>
      </w:r>
    </w:p>
    <w:p w14:paraId="67888608" w14:textId="77777777" w:rsidR="009A32CE" w:rsidRPr="00A40B03" w:rsidRDefault="009A32CE" w:rsidP="00107BA1">
      <w:pPr>
        <w:pStyle w:val="BodyText"/>
        <w:spacing w:before="240" w:after="0"/>
        <w:rPr>
          <w:rStyle w:val="SubtleEmphasis"/>
        </w:rPr>
      </w:pPr>
      <w:r w:rsidRPr="00A40B03">
        <w:rPr>
          <w:rStyle w:val="SubtleEmphasis"/>
        </w:rPr>
        <w:t>Mortality Heterogeneity</w:t>
      </w:r>
    </w:p>
    <w:p w14:paraId="7B8AC8AE" w14:textId="6D398D5D" w:rsidR="009A32CE" w:rsidRPr="00CB4E16" w:rsidRDefault="009A32CE" w:rsidP="004378B1">
      <w:pPr>
        <w:pStyle w:val="BodyText"/>
        <w:spacing w:before="240" w:after="0"/>
        <w:rPr>
          <w:sz w:val="24"/>
        </w:rPr>
      </w:pPr>
      <w:r>
        <w:rPr>
          <w:sz w:val="24"/>
        </w:rPr>
        <w:t>The EPA PA (2019) indicates the relationship between short-/long-term exposure to PM</w:t>
      </w:r>
      <w:r w:rsidRPr="006A460A">
        <w:rPr>
          <w:sz w:val="24"/>
          <w:vertAlign w:val="subscript"/>
        </w:rPr>
        <w:t>2.5</w:t>
      </w:r>
      <w:r>
        <w:rPr>
          <w:sz w:val="24"/>
        </w:rPr>
        <w:t xml:space="preserve"> and mortality is “causal</w:t>
      </w:r>
      <w:r w:rsidR="008F7867">
        <w:rPr>
          <w:sz w:val="24"/>
        </w:rPr>
        <w:t>.</w:t>
      </w:r>
      <w:r>
        <w:rPr>
          <w:sz w:val="24"/>
        </w:rPr>
        <w:t>” If this over-simplification were the case, then consistent (and statistically significant) associations between PM</w:t>
      </w:r>
      <w:r w:rsidRPr="006A460A">
        <w:rPr>
          <w:sz w:val="24"/>
          <w:vertAlign w:val="subscript"/>
        </w:rPr>
        <w:t xml:space="preserve">2.5 </w:t>
      </w:r>
      <w:r>
        <w:rPr>
          <w:sz w:val="24"/>
        </w:rPr>
        <w:t xml:space="preserve">mass and mortality would be uniformly found across all regions of the country and across seasons (indeed, such associations would be consistent across the world and consistent across seasons). </w:t>
      </w:r>
      <w:r w:rsidRPr="00A705B9">
        <w:t>However, the EPA PA (2019) should acknowledge the significant heterogeneity in such associations, and its dire implications for simplistic causal proclamations and a one-size fits all NAAQS, since the most</w:t>
      </w:r>
      <w:r w:rsidRPr="001A4C51">
        <w:rPr>
          <w:i/>
          <w:sz w:val="24"/>
        </w:rPr>
        <w:t xml:space="preserve"> obvious consistency</w:t>
      </w:r>
      <w:r w:rsidRPr="00CB4E16">
        <w:rPr>
          <w:sz w:val="24"/>
        </w:rPr>
        <w:t xml:space="preserve"> in </w:t>
      </w:r>
      <w:r>
        <w:rPr>
          <w:sz w:val="24"/>
        </w:rPr>
        <w:t xml:space="preserve">mortality study </w:t>
      </w:r>
      <w:r w:rsidRPr="00CB4E16">
        <w:rPr>
          <w:sz w:val="24"/>
        </w:rPr>
        <w:t xml:space="preserve">results from the vast available epidemiological literature </w:t>
      </w:r>
      <w:r w:rsidRPr="001A4C51">
        <w:rPr>
          <w:i/>
          <w:sz w:val="24"/>
        </w:rPr>
        <w:t>is the inconsistency</w:t>
      </w:r>
      <w:r w:rsidRPr="00CB4E16">
        <w:rPr>
          <w:sz w:val="24"/>
        </w:rPr>
        <w:t xml:space="preserve"> </w:t>
      </w:r>
      <w:r w:rsidRPr="001A4C51">
        <w:rPr>
          <w:i/>
          <w:sz w:val="24"/>
        </w:rPr>
        <w:t>(i.e., incoherence) of those results</w:t>
      </w:r>
      <w:r w:rsidRPr="00CB4E16">
        <w:rPr>
          <w:sz w:val="24"/>
        </w:rPr>
        <w:t>.</w:t>
      </w:r>
      <w:r>
        <w:rPr>
          <w:sz w:val="24"/>
        </w:rPr>
        <w:t xml:space="preserve"> </w:t>
      </w:r>
      <w:r w:rsidRPr="00CB4E16">
        <w:rPr>
          <w:sz w:val="24"/>
        </w:rPr>
        <w:t>For example, while Turner et al. (2011) found that a 10 µg/m</w:t>
      </w:r>
      <w:r w:rsidRPr="00CE6599">
        <w:rPr>
          <w:sz w:val="24"/>
          <w:vertAlign w:val="superscript"/>
        </w:rPr>
        <w:t>3</w:t>
      </w:r>
      <w:r w:rsidRPr="00CB4E16">
        <w:rPr>
          <w:sz w:val="24"/>
        </w:rPr>
        <w:t xml:space="preserve"> increase in </w:t>
      </w:r>
      <w:r w:rsidRPr="000B1A91">
        <w:rPr>
          <w:sz w:val="24"/>
        </w:rPr>
        <w:t>PM</w:t>
      </w:r>
      <w:r w:rsidRPr="000B1A91">
        <w:rPr>
          <w:sz w:val="24"/>
          <w:vertAlign w:val="subscript"/>
        </w:rPr>
        <w:t>2.5</w:t>
      </w:r>
      <w:r w:rsidRPr="000B1A91">
        <w:rPr>
          <w:b/>
          <w:sz w:val="24"/>
        </w:rPr>
        <w:t xml:space="preserve"> </w:t>
      </w:r>
      <w:r w:rsidRPr="00CB4E16">
        <w:rPr>
          <w:sz w:val="24"/>
        </w:rPr>
        <w:t xml:space="preserve">concentration was associated with a statistically significant increase (15-27%) in lung-cancer mortality in never smokers, </w:t>
      </w:r>
      <w:proofErr w:type="spellStart"/>
      <w:r w:rsidRPr="00CB4E16">
        <w:rPr>
          <w:sz w:val="24"/>
        </w:rPr>
        <w:t>Lepeule</w:t>
      </w:r>
      <w:proofErr w:type="spellEnd"/>
      <w:r w:rsidRPr="00CB4E16">
        <w:rPr>
          <w:sz w:val="24"/>
        </w:rPr>
        <w:t xml:space="preserve"> et al. (2012) perplexingly found a statistically significant increase in former smokers but not in much larger groups of never or current smokers (Table 2 of the study). Results from the 2010 Risk and Exposure Assessment (</w:t>
      </w:r>
      <w:r>
        <w:rPr>
          <w:sz w:val="24"/>
        </w:rPr>
        <w:t>EPA</w:t>
      </w:r>
      <w:r w:rsidRPr="00CB4E16">
        <w:rPr>
          <w:sz w:val="24"/>
        </w:rPr>
        <w:t xml:space="preserve"> 2010) also demonstrated heterogeneity and indicated, for</w:t>
      </w:r>
      <w:r>
        <w:rPr>
          <w:sz w:val="24"/>
        </w:rPr>
        <w:t xml:space="preserve"> </w:t>
      </w:r>
      <w:r w:rsidRPr="00CB4E16">
        <w:rPr>
          <w:sz w:val="24"/>
        </w:rPr>
        <w:t>example, that while the current annual NAAQS (12 µg/m</w:t>
      </w:r>
      <w:r w:rsidRPr="00CE6599">
        <w:rPr>
          <w:sz w:val="24"/>
          <w:vertAlign w:val="superscript"/>
        </w:rPr>
        <w:t>3</w:t>
      </w:r>
      <w:r w:rsidRPr="00CB4E16">
        <w:rPr>
          <w:sz w:val="24"/>
        </w:rPr>
        <w:t>) and 24-hour NAAQS (35 µg/m</w:t>
      </w:r>
      <w:r w:rsidRPr="00CE6599">
        <w:rPr>
          <w:sz w:val="24"/>
          <w:vertAlign w:val="superscript"/>
        </w:rPr>
        <w:t>3</w:t>
      </w:r>
      <w:r w:rsidRPr="00CB4E16">
        <w:rPr>
          <w:sz w:val="24"/>
        </w:rPr>
        <w:t xml:space="preserve">) were not predicted to reduce </w:t>
      </w:r>
      <w:r w:rsidRPr="000B1A91">
        <w:rPr>
          <w:sz w:val="24"/>
        </w:rPr>
        <w:t>PM</w:t>
      </w:r>
      <w:r w:rsidRPr="000B1A91">
        <w:rPr>
          <w:sz w:val="24"/>
          <w:vertAlign w:val="subscript"/>
        </w:rPr>
        <w:t>2.5</w:t>
      </w:r>
      <w:r w:rsidRPr="00CB4E16">
        <w:rPr>
          <w:sz w:val="24"/>
        </w:rPr>
        <w:t xml:space="preserve">-associated lung cancer mortality by any margin (0% reduction) in Fresno, CA; Salt Lake City, UT; or Tacoma, WA; the NAAQS were predicted to reduce </w:t>
      </w:r>
      <w:r w:rsidRPr="000B1A91">
        <w:rPr>
          <w:sz w:val="24"/>
        </w:rPr>
        <w:t>PM</w:t>
      </w:r>
      <w:r w:rsidRPr="000B1A91">
        <w:rPr>
          <w:sz w:val="24"/>
          <w:vertAlign w:val="subscript"/>
        </w:rPr>
        <w:t>2.5</w:t>
      </w:r>
      <w:r w:rsidRPr="00CB4E16">
        <w:rPr>
          <w:sz w:val="24"/>
        </w:rPr>
        <w:t xml:space="preserve">-associated lung cancer mortality up to well over 30% in Houston, TX; Birmingham, AL; St. Louis, MO; Atlanta, GA; Baltimore, MD (Tables E-63 and E-72 of </w:t>
      </w:r>
      <w:r>
        <w:rPr>
          <w:sz w:val="24"/>
        </w:rPr>
        <w:t>EPA</w:t>
      </w:r>
      <w:r w:rsidRPr="00CB4E16">
        <w:rPr>
          <w:sz w:val="24"/>
        </w:rPr>
        <w:t xml:space="preserve"> 2010). </w:t>
      </w:r>
      <w:r w:rsidRPr="00A705B9">
        <w:t xml:space="preserve">If </w:t>
      </w:r>
      <w:r w:rsidRPr="00107BA1">
        <w:rPr>
          <w:sz w:val="24"/>
        </w:rPr>
        <w:t>PM mass were truly the toxicologically-relevant pollutant/metric, there would be no reason for the plethora of such risk disparities found in the scientific literature (i.e., the heterogeneity in risk),</w:t>
      </w:r>
      <w:r w:rsidRPr="00107BA1">
        <w:rPr>
          <w:i/>
          <w:sz w:val="24"/>
        </w:rPr>
        <w:t xml:space="preserve"> </w:t>
      </w:r>
      <w:r w:rsidRPr="00107BA1">
        <w:rPr>
          <w:sz w:val="24"/>
        </w:rPr>
        <w:t>just a few more of which are highlighted below</w:t>
      </w:r>
      <w:r w:rsidRPr="00972CC1">
        <w:rPr>
          <w:sz w:val="24"/>
        </w:rPr>
        <w:t>.</w:t>
      </w:r>
    </w:p>
    <w:p w14:paraId="1641AB02" w14:textId="77777777" w:rsidR="009A32CE" w:rsidRPr="00CB4E16" w:rsidRDefault="009A32CE" w:rsidP="004378B1">
      <w:pPr>
        <w:pStyle w:val="BodyText"/>
        <w:spacing w:before="240" w:after="0"/>
        <w:rPr>
          <w:sz w:val="24"/>
        </w:rPr>
      </w:pPr>
      <w:r w:rsidRPr="00CB4E16">
        <w:rPr>
          <w:sz w:val="24"/>
        </w:rPr>
        <w:t>More recently, Pun et al. (2017) observed regional heterogeneity in COPD-</w:t>
      </w:r>
      <w:r w:rsidR="0001301E">
        <w:rPr>
          <w:sz w:val="24"/>
        </w:rPr>
        <w:t xml:space="preserve"> </w:t>
      </w:r>
      <w:r w:rsidRPr="00CB4E16">
        <w:rPr>
          <w:sz w:val="24"/>
        </w:rPr>
        <w:t>and lung cancer</w:t>
      </w:r>
      <w:r>
        <w:rPr>
          <w:sz w:val="24"/>
        </w:rPr>
        <w:t>-</w:t>
      </w:r>
      <w:r w:rsidRPr="00CB4E16">
        <w:rPr>
          <w:sz w:val="24"/>
        </w:rPr>
        <w:t>associated mortality. They reported that a 10 µg/m</w:t>
      </w:r>
      <w:r w:rsidRPr="00CE6599">
        <w:rPr>
          <w:sz w:val="24"/>
          <w:vertAlign w:val="superscript"/>
        </w:rPr>
        <w:t>3</w:t>
      </w:r>
      <w:r w:rsidRPr="00CB4E16">
        <w:rPr>
          <w:sz w:val="24"/>
        </w:rPr>
        <w:t xml:space="preserve"> increase in longer-term </w:t>
      </w:r>
      <w:r w:rsidRPr="000B1A91">
        <w:rPr>
          <w:sz w:val="24"/>
        </w:rPr>
        <w:t>PM</w:t>
      </w:r>
      <w:r w:rsidRPr="000B1A91">
        <w:rPr>
          <w:sz w:val="24"/>
          <w:vertAlign w:val="subscript"/>
        </w:rPr>
        <w:t>2.5</w:t>
      </w:r>
      <w:r w:rsidRPr="000B1A91">
        <w:rPr>
          <w:b/>
          <w:sz w:val="24"/>
        </w:rPr>
        <w:t xml:space="preserve"> </w:t>
      </w:r>
      <w:r w:rsidRPr="00CB4E16">
        <w:rPr>
          <w:sz w:val="24"/>
        </w:rPr>
        <w:t xml:space="preserve">concentrations was associated with decreased COPD mortality risk in the South in the unadjusted-model, which became </w:t>
      </w:r>
      <w:r w:rsidRPr="003769DD">
        <w:rPr>
          <w:i/>
          <w:sz w:val="24"/>
        </w:rPr>
        <w:t>statistically significantly decreased</w:t>
      </w:r>
      <w:r w:rsidRPr="00CB4E16">
        <w:rPr>
          <w:sz w:val="24"/>
        </w:rPr>
        <w:t xml:space="preserve"> in the Behavioral Risk Factor Surveillance System (BRFSS)-adjusted model (adjusted for prevalence of nonwhites, current smokers, persons with diabetes and asthma, heavy alcohol drinkers, average median income, body mass index; Table 2 of Pun et al. 2017). Similarly, while statistically increased in other regions, a 10 µg/m</w:t>
      </w:r>
      <w:r w:rsidRPr="00CE6599">
        <w:rPr>
          <w:sz w:val="24"/>
          <w:vertAlign w:val="superscript"/>
        </w:rPr>
        <w:t>3</w:t>
      </w:r>
      <w:r w:rsidRPr="00CB4E16">
        <w:rPr>
          <w:sz w:val="24"/>
        </w:rPr>
        <w:t xml:space="preserve"> increase in </w:t>
      </w:r>
      <w:r w:rsidRPr="000B1A91">
        <w:rPr>
          <w:sz w:val="24"/>
        </w:rPr>
        <w:t>PM</w:t>
      </w:r>
      <w:r w:rsidRPr="000B1A91">
        <w:rPr>
          <w:sz w:val="24"/>
          <w:vertAlign w:val="subscript"/>
        </w:rPr>
        <w:t>2.5</w:t>
      </w:r>
      <w:r w:rsidRPr="000B1A91">
        <w:rPr>
          <w:b/>
          <w:sz w:val="24"/>
        </w:rPr>
        <w:t xml:space="preserve"> </w:t>
      </w:r>
      <w:r w:rsidRPr="00CB4E16">
        <w:rPr>
          <w:sz w:val="24"/>
        </w:rPr>
        <w:t xml:space="preserve">concentration was </w:t>
      </w:r>
      <w:r w:rsidRPr="003769DD">
        <w:rPr>
          <w:i/>
          <w:sz w:val="24"/>
        </w:rPr>
        <w:t>not associated with statistically increased lung cancer mortality risk in the Midwest</w:t>
      </w:r>
      <w:r w:rsidRPr="00CB4E16">
        <w:rPr>
          <w:sz w:val="24"/>
        </w:rPr>
        <w:t xml:space="preserve"> (Table 2 of the study). Moreover, spatiotemporal analysis in the unadjusted-model showed </w:t>
      </w:r>
      <w:r w:rsidRPr="003769DD">
        <w:rPr>
          <w:i/>
          <w:sz w:val="24"/>
        </w:rPr>
        <w:t>regional heterogeneity in mortality risk for all respiratory endpoints</w:t>
      </w:r>
      <w:r w:rsidRPr="00CB4E16">
        <w:rPr>
          <w:sz w:val="24"/>
        </w:rPr>
        <w:t xml:space="preserve"> (i.e., all respiratory, COPD, pneumonia, lung cancer) with two regions having </w:t>
      </w:r>
      <w:r w:rsidRPr="003769DD">
        <w:rPr>
          <w:i/>
          <w:sz w:val="24"/>
        </w:rPr>
        <w:t>negative associations</w:t>
      </w:r>
      <w:r w:rsidRPr="00CB4E16">
        <w:rPr>
          <w:sz w:val="24"/>
        </w:rPr>
        <w:t xml:space="preserve"> for three of the four mortality endpoints (Web Table 4 of Pun et al. 2017).</w:t>
      </w:r>
    </w:p>
    <w:p w14:paraId="704A1F80" w14:textId="77777777" w:rsidR="009A32CE" w:rsidRPr="00CB4E16" w:rsidRDefault="009A32CE" w:rsidP="004378B1">
      <w:pPr>
        <w:pStyle w:val="BodyText"/>
        <w:spacing w:before="240" w:after="0"/>
        <w:rPr>
          <w:sz w:val="24"/>
        </w:rPr>
      </w:pPr>
      <w:r w:rsidRPr="00CB4E16">
        <w:rPr>
          <w:sz w:val="24"/>
        </w:rPr>
        <w:t>Spatiotemporal analyses in the BRFSS-adjusted model reveal stark differences in supposed respiratory mortality risk associated with a 10 µg/m</w:t>
      </w:r>
      <w:r w:rsidRPr="00CE6599">
        <w:rPr>
          <w:sz w:val="24"/>
          <w:vertAlign w:val="superscript"/>
        </w:rPr>
        <w:t>3</w:t>
      </w:r>
      <w:r w:rsidRPr="00CB4E16">
        <w:rPr>
          <w:sz w:val="24"/>
        </w:rPr>
        <w:t xml:space="preserve"> increase in </w:t>
      </w:r>
      <w:r w:rsidRPr="000B1A91">
        <w:rPr>
          <w:sz w:val="24"/>
        </w:rPr>
        <w:t>PM</w:t>
      </w:r>
      <w:r w:rsidRPr="000B1A91">
        <w:rPr>
          <w:sz w:val="24"/>
          <w:vertAlign w:val="subscript"/>
        </w:rPr>
        <w:t>2.5</w:t>
      </w:r>
      <w:r w:rsidRPr="000B1A91">
        <w:rPr>
          <w:b/>
          <w:sz w:val="24"/>
        </w:rPr>
        <w:t xml:space="preserve"> </w:t>
      </w:r>
      <w:r w:rsidRPr="00CB4E16">
        <w:rPr>
          <w:sz w:val="24"/>
        </w:rPr>
        <w:t xml:space="preserve">concentration (i.e., all respiratory, COPD, lung cancer). For example, the spatiotemporal analyses indicate </w:t>
      </w:r>
      <w:r w:rsidRPr="003769DD">
        <w:rPr>
          <w:i/>
          <w:sz w:val="24"/>
        </w:rPr>
        <w:t xml:space="preserve">several negative correlations between increased </w:t>
      </w:r>
      <w:r w:rsidRPr="00CE6599">
        <w:rPr>
          <w:i/>
          <w:sz w:val="24"/>
        </w:rPr>
        <w:t>PM</w:t>
      </w:r>
      <w:r w:rsidRPr="00CE6599">
        <w:rPr>
          <w:i/>
          <w:sz w:val="24"/>
          <w:vertAlign w:val="subscript"/>
        </w:rPr>
        <w:t>2.5</w:t>
      </w:r>
      <w:r w:rsidRPr="000B1A91">
        <w:rPr>
          <w:b/>
          <w:sz w:val="24"/>
        </w:rPr>
        <w:t xml:space="preserve"> </w:t>
      </w:r>
      <w:r w:rsidRPr="003769DD">
        <w:rPr>
          <w:i/>
          <w:sz w:val="24"/>
        </w:rPr>
        <w:t xml:space="preserve">and mortality risk </w:t>
      </w:r>
      <w:r w:rsidRPr="003769DD">
        <w:rPr>
          <w:sz w:val="24"/>
        </w:rPr>
        <w:t>that even achieved</w:t>
      </w:r>
      <w:r w:rsidRPr="003769DD">
        <w:rPr>
          <w:i/>
          <w:sz w:val="24"/>
        </w:rPr>
        <w:t xml:space="preserve"> statistical significance</w:t>
      </w:r>
      <w:r w:rsidRPr="00CB4E16">
        <w:rPr>
          <w:sz w:val="24"/>
        </w:rPr>
        <w:t xml:space="preserve"> (i.e., BRFSS-adjusted model: all respiratory mortality in the Midwest, pneumonia mortality in the Midwest and US; unadjusted­ model: pneumonia mortality in the northeast; Web Table 4 of the study). Similarly, Pun et al. (2017) demonstrated </w:t>
      </w:r>
      <w:r w:rsidRPr="003769DD">
        <w:rPr>
          <w:i/>
          <w:sz w:val="24"/>
        </w:rPr>
        <w:t>obvious regional heterogeneity</w:t>
      </w:r>
      <w:r w:rsidRPr="00CB4E16">
        <w:rPr>
          <w:sz w:val="24"/>
        </w:rPr>
        <w:t xml:space="preserve"> in the spatiotemporal analyses of all cause, all cardiovascular, ischemic heart disease, and congestive heart failure mortality per 10 µg/m</w:t>
      </w:r>
      <w:r w:rsidRPr="00CE6599">
        <w:rPr>
          <w:sz w:val="24"/>
          <w:vertAlign w:val="superscript"/>
        </w:rPr>
        <w:t>3</w:t>
      </w:r>
      <w:r w:rsidRPr="00CB4E16">
        <w:rPr>
          <w:sz w:val="24"/>
        </w:rPr>
        <w:t xml:space="preserve"> increase in </w:t>
      </w:r>
      <w:r w:rsidRPr="000B1A91">
        <w:rPr>
          <w:sz w:val="24"/>
        </w:rPr>
        <w:t>PM</w:t>
      </w:r>
      <w:r w:rsidRPr="000B1A91">
        <w:rPr>
          <w:sz w:val="24"/>
          <w:vertAlign w:val="subscript"/>
        </w:rPr>
        <w:t>2.5</w:t>
      </w:r>
      <w:r w:rsidRPr="000B1A91">
        <w:rPr>
          <w:b/>
          <w:sz w:val="24"/>
        </w:rPr>
        <w:t xml:space="preserve"> </w:t>
      </w:r>
      <w:r w:rsidRPr="00CB4E16">
        <w:rPr>
          <w:sz w:val="24"/>
        </w:rPr>
        <w:t xml:space="preserve">concentration. There were </w:t>
      </w:r>
      <w:r w:rsidRPr="003769DD">
        <w:rPr>
          <w:i/>
          <w:sz w:val="24"/>
        </w:rPr>
        <w:t>negative associations</w:t>
      </w:r>
      <w:r w:rsidRPr="00CB4E16">
        <w:rPr>
          <w:sz w:val="24"/>
        </w:rPr>
        <w:t xml:space="preserve"> in either the unadjusted- or BRFSS-adjusted model for all</w:t>
      </w:r>
      <w:r>
        <w:rPr>
          <w:sz w:val="24"/>
        </w:rPr>
        <w:t>-</w:t>
      </w:r>
      <w:r w:rsidRPr="00CB4E16">
        <w:rPr>
          <w:sz w:val="24"/>
        </w:rPr>
        <w:t xml:space="preserve">cause and all cardiovascular mortality in the South, Northeast, and Midwest; ischemic heart disease mortality in the South and Northeast; and congestive heart failure mortality in the Northeast and Midwest (Web Table 4 of Pun et al. 2017). Moreover, the </w:t>
      </w:r>
      <w:r w:rsidRPr="003769DD">
        <w:rPr>
          <w:i/>
          <w:sz w:val="24"/>
        </w:rPr>
        <w:t>negative associations were statistically significant</w:t>
      </w:r>
      <w:r w:rsidRPr="00CB4E16">
        <w:rPr>
          <w:sz w:val="24"/>
        </w:rPr>
        <w:t xml:space="preserve"> for all cardiovascular and ischemic heart disease mortality in the Northeast in both the unadjusted- and BRFSS-adjusted models, ischemic heart disease mortality in the South in the BRFSS-adjusted model, and congestive heart failure in the West for both models (Web Table 4 of the study).</w:t>
      </w:r>
    </w:p>
    <w:p w14:paraId="66A75F0B" w14:textId="77777777" w:rsidR="009A32CE" w:rsidRPr="00CB4E16" w:rsidRDefault="009A32CE" w:rsidP="009A32CE">
      <w:pPr>
        <w:pStyle w:val="BodyText"/>
        <w:spacing w:after="0"/>
        <w:rPr>
          <w:sz w:val="24"/>
        </w:rPr>
      </w:pPr>
      <w:proofErr w:type="spellStart"/>
      <w:r w:rsidRPr="00CB4E16">
        <w:rPr>
          <w:sz w:val="24"/>
        </w:rPr>
        <w:t>Krewski</w:t>
      </w:r>
      <w:proofErr w:type="spellEnd"/>
      <w:r w:rsidRPr="00CB4E16">
        <w:rPr>
          <w:sz w:val="24"/>
        </w:rPr>
        <w:t xml:space="preserve"> et al. (2009), a key study for long-term </w:t>
      </w:r>
      <w:r w:rsidRPr="000B1A91">
        <w:rPr>
          <w:sz w:val="24"/>
        </w:rPr>
        <w:t>PM</w:t>
      </w:r>
      <w:r w:rsidRPr="000B1A91">
        <w:rPr>
          <w:sz w:val="24"/>
          <w:vertAlign w:val="subscript"/>
        </w:rPr>
        <w:t>2.5</w:t>
      </w:r>
      <w:r w:rsidRPr="000B1A91">
        <w:rPr>
          <w:b/>
          <w:sz w:val="24"/>
        </w:rPr>
        <w:t xml:space="preserve"> </w:t>
      </w:r>
      <w:r w:rsidRPr="00CB4E16">
        <w:rPr>
          <w:sz w:val="24"/>
        </w:rPr>
        <w:t>exposure and mortality in the 2009 ISA, also showed regional heterogeneity. For example, all</w:t>
      </w:r>
      <w:r>
        <w:rPr>
          <w:sz w:val="24"/>
        </w:rPr>
        <w:t>-</w:t>
      </w:r>
      <w:r w:rsidRPr="00CB4E16">
        <w:rPr>
          <w:sz w:val="24"/>
        </w:rPr>
        <w:t xml:space="preserve">cause, cardiopulmonary, and lung cancer mortality were </w:t>
      </w:r>
      <w:r w:rsidRPr="00107269">
        <w:rPr>
          <w:i/>
          <w:sz w:val="24"/>
        </w:rPr>
        <w:t>negatively associated</w:t>
      </w:r>
      <w:r w:rsidRPr="00CB4E16">
        <w:rPr>
          <w:sz w:val="24"/>
        </w:rPr>
        <w:t xml:space="preserve"> with a 10 µg/m</w:t>
      </w:r>
      <w:r w:rsidRPr="00CE6599">
        <w:rPr>
          <w:sz w:val="24"/>
          <w:vertAlign w:val="superscript"/>
        </w:rPr>
        <w:t>3</w:t>
      </w:r>
      <w:r w:rsidRPr="00CB4E16">
        <w:rPr>
          <w:sz w:val="24"/>
        </w:rPr>
        <w:t xml:space="preserve"> increase in </w:t>
      </w:r>
      <w:r w:rsidRPr="000B1A91">
        <w:rPr>
          <w:sz w:val="24"/>
        </w:rPr>
        <w:t>PM</w:t>
      </w:r>
      <w:r w:rsidRPr="000B1A91">
        <w:rPr>
          <w:sz w:val="24"/>
          <w:vertAlign w:val="subscript"/>
        </w:rPr>
        <w:t>2.5</w:t>
      </w:r>
      <w:r w:rsidRPr="000B1A91">
        <w:rPr>
          <w:b/>
          <w:sz w:val="24"/>
        </w:rPr>
        <w:t xml:space="preserve"> </w:t>
      </w:r>
      <w:r w:rsidRPr="00CB4E16">
        <w:rPr>
          <w:sz w:val="24"/>
        </w:rPr>
        <w:t xml:space="preserve">long-term (3-year) concentration </w:t>
      </w:r>
      <w:r w:rsidRPr="00107269">
        <w:rPr>
          <w:i/>
          <w:sz w:val="24"/>
        </w:rPr>
        <w:t>in New York City</w:t>
      </w:r>
      <w:r w:rsidRPr="00CB4E16">
        <w:rPr>
          <w:sz w:val="24"/>
        </w:rPr>
        <w:t xml:space="preserve">, which was </w:t>
      </w:r>
      <w:r w:rsidRPr="00107269">
        <w:rPr>
          <w:i/>
          <w:sz w:val="24"/>
        </w:rPr>
        <w:t xml:space="preserve">not the case for Los Angeles (or nationwide) </w:t>
      </w:r>
      <w:r w:rsidRPr="00CB4E16">
        <w:rPr>
          <w:sz w:val="24"/>
        </w:rPr>
        <w:t xml:space="preserve">(e.g., Commentary Table 3 and Commentary Figure 4 of </w:t>
      </w:r>
      <w:proofErr w:type="spellStart"/>
      <w:r w:rsidRPr="00CB4E16">
        <w:rPr>
          <w:sz w:val="24"/>
        </w:rPr>
        <w:t>Krewski</w:t>
      </w:r>
      <w:proofErr w:type="spellEnd"/>
      <w:r w:rsidRPr="00CB4E16">
        <w:rPr>
          <w:sz w:val="24"/>
        </w:rPr>
        <w:t xml:space="preserve"> et al. 2009, Table 7-9 of the 2009 ISA/</w:t>
      </w:r>
      <w:r>
        <w:rPr>
          <w:sz w:val="24"/>
        </w:rPr>
        <w:t>EPA</w:t>
      </w:r>
      <w:r w:rsidRPr="00CB4E16">
        <w:rPr>
          <w:sz w:val="24"/>
        </w:rPr>
        <w:t xml:space="preserve"> 2009). </w:t>
      </w:r>
      <w:r w:rsidRPr="002C36EB">
        <w:rPr>
          <w:i/>
          <w:sz w:val="24"/>
        </w:rPr>
        <w:t>Numerous other studies also show regional heterogeneity</w:t>
      </w:r>
      <w:r w:rsidRPr="00CB4E16">
        <w:rPr>
          <w:sz w:val="24"/>
        </w:rPr>
        <w:t xml:space="preserve"> in mortality results (e.g., Figure 4 of </w:t>
      </w:r>
      <w:proofErr w:type="spellStart"/>
      <w:r w:rsidRPr="00CB4E16">
        <w:rPr>
          <w:sz w:val="24"/>
        </w:rPr>
        <w:t>Cakmak</w:t>
      </w:r>
      <w:proofErr w:type="spellEnd"/>
      <w:r w:rsidRPr="00CB4E16">
        <w:rPr>
          <w:sz w:val="24"/>
        </w:rPr>
        <w:t xml:space="preserve"> et al. 2018, Table 2 and Figure 4 of </w:t>
      </w:r>
      <w:proofErr w:type="spellStart"/>
      <w:r w:rsidRPr="00CB4E16">
        <w:rPr>
          <w:sz w:val="24"/>
        </w:rPr>
        <w:t>Greven</w:t>
      </w:r>
      <w:proofErr w:type="spellEnd"/>
      <w:r w:rsidRPr="00CB4E16">
        <w:rPr>
          <w:sz w:val="24"/>
        </w:rPr>
        <w:t xml:space="preserve"> et al. 2011, Table 2 of Laden et al. 2006, Pun et al. 2017). </w:t>
      </w:r>
      <w:r w:rsidRPr="002C36EB">
        <w:rPr>
          <w:i/>
          <w:sz w:val="24"/>
        </w:rPr>
        <w:t>In general, there appears to be a lack of increased mortality per 10 µg/m</w:t>
      </w:r>
      <w:r w:rsidRPr="00CE6599">
        <w:rPr>
          <w:i/>
          <w:sz w:val="24"/>
          <w:vertAlign w:val="superscript"/>
        </w:rPr>
        <w:t>3</w:t>
      </w:r>
      <w:r w:rsidRPr="002C36EB">
        <w:rPr>
          <w:i/>
          <w:sz w:val="24"/>
        </w:rPr>
        <w:t xml:space="preserve"> increase in </w:t>
      </w:r>
      <w:r w:rsidRPr="00CE6599">
        <w:rPr>
          <w:i/>
          <w:sz w:val="24"/>
        </w:rPr>
        <w:t>PM</w:t>
      </w:r>
      <w:r w:rsidRPr="00CE6599">
        <w:rPr>
          <w:i/>
          <w:sz w:val="24"/>
          <w:vertAlign w:val="subscript"/>
        </w:rPr>
        <w:t>2.5</w:t>
      </w:r>
      <w:r w:rsidRPr="000B1A91">
        <w:rPr>
          <w:b/>
          <w:sz w:val="24"/>
        </w:rPr>
        <w:t xml:space="preserve"> </w:t>
      </w:r>
      <w:r w:rsidRPr="002C36EB">
        <w:rPr>
          <w:i/>
          <w:sz w:val="24"/>
        </w:rPr>
        <w:t>concentration in the western United States</w:t>
      </w:r>
      <w:r w:rsidRPr="00CB4E16">
        <w:rPr>
          <w:sz w:val="24"/>
        </w:rPr>
        <w:t xml:space="preserve"> (a relationship that sometimes becomes negative when adjusted for socio-economic status) </w:t>
      </w:r>
      <w:r w:rsidRPr="002C36EB">
        <w:rPr>
          <w:i/>
          <w:sz w:val="24"/>
        </w:rPr>
        <w:t>versus statistically significant increases for the eastern and central United States</w:t>
      </w:r>
      <w:r w:rsidRPr="00CB4E16">
        <w:rPr>
          <w:sz w:val="24"/>
        </w:rPr>
        <w:t xml:space="preserve"> in </w:t>
      </w:r>
      <w:proofErr w:type="spellStart"/>
      <w:r w:rsidRPr="00CB4E16">
        <w:rPr>
          <w:sz w:val="24"/>
        </w:rPr>
        <w:t>Zeger</w:t>
      </w:r>
      <w:proofErr w:type="spellEnd"/>
      <w:r w:rsidRPr="00CB4E16">
        <w:rPr>
          <w:sz w:val="24"/>
        </w:rPr>
        <w:t xml:space="preserve"> et al. (2008). Figure 21 from </w:t>
      </w:r>
      <w:proofErr w:type="spellStart"/>
      <w:r w:rsidRPr="00CB4E16">
        <w:rPr>
          <w:sz w:val="24"/>
        </w:rPr>
        <w:t>Krewski</w:t>
      </w:r>
      <w:proofErr w:type="spellEnd"/>
      <w:r w:rsidRPr="00CB4E16">
        <w:rPr>
          <w:sz w:val="24"/>
        </w:rPr>
        <w:t xml:space="preserve"> et al. (2000), provided below, is a particularly useful illustration of </w:t>
      </w:r>
      <w:r w:rsidRPr="00720D91">
        <w:rPr>
          <w:sz w:val="24"/>
        </w:rPr>
        <w:t>the significant regional heterogeneity</w:t>
      </w:r>
      <w:r w:rsidRPr="00CB4E16">
        <w:rPr>
          <w:sz w:val="24"/>
        </w:rPr>
        <w:t xml:space="preserve"> in mortality associations/risk.</w:t>
      </w:r>
    </w:p>
    <w:p w14:paraId="3DF6186A" w14:textId="47B1112A" w:rsidR="009A32CE" w:rsidRPr="00CB4E16" w:rsidRDefault="00F00F19" w:rsidP="009A32CE">
      <w:pPr>
        <w:pStyle w:val="BodyText"/>
        <w:spacing w:after="0"/>
        <w:jc w:val="center"/>
        <w:rPr>
          <w:sz w:val="24"/>
        </w:rPr>
      </w:pPr>
      <w:r w:rsidRPr="003C51E8">
        <w:rPr>
          <w:noProof/>
          <w:sz w:val="10"/>
        </w:rPr>
        <w:drawing>
          <wp:inline distT="0" distB="0" distL="0" distR="0" wp14:anchorId="019081C0" wp14:editId="4AA8C597">
            <wp:extent cx="5295265" cy="40151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5265" cy="4015105"/>
                    </a:xfrm>
                    <a:prstGeom prst="rect">
                      <a:avLst/>
                    </a:prstGeom>
                    <a:noFill/>
                    <a:ln>
                      <a:noFill/>
                    </a:ln>
                  </pic:spPr>
                </pic:pic>
              </a:graphicData>
            </a:graphic>
          </wp:inline>
        </w:drawing>
      </w:r>
    </w:p>
    <w:p w14:paraId="2513782C" w14:textId="53F11DD3" w:rsidR="009A32CE" w:rsidRPr="00CB4E16" w:rsidRDefault="009A32CE" w:rsidP="004378B1">
      <w:pPr>
        <w:pStyle w:val="BodyText"/>
        <w:spacing w:before="240" w:after="0"/>
        <w:rPr>
          <w:sz w:val="24"/>
        </w:rPr>
      </w:pPr>
      <w:r w:rsidRPr="00CB4E16">
        <w:rPr>
          <w:sz w:val="24"/>
        </w:rPr>
        <w:t xml:space="preserve">As an additional example, Enstrom (2017) reported </w:t>
      </w:r>
      <w:r w:rsidRPr="002C36EB">
        <w:rPr>
          <w:i/>
          <w:sz w:val="24"/>
        </w:rPr>
        <w:t>no significant relationships</w:t>
      </w:r>
      <w:r w:rsidRPr="00CB4E16">
        <w:rPr>
          <w:sz w:val="24"/>
        </w:rPr>
        <w:t xml:space="preserve"> between </w:t>
      </w:r>
      <w:r w:rsidR="0001301E" w:rsidRPr="00CB4E16">
        <w:rPr>
          <w:sz w:val="24"/>
        </w:rPr>
        <w:t>long-term</w:t>
      </w:r>
      <w:r w:rsidRPr="00CB4E16">
        <w:rPr>
          <w:sz w:val="24"/>
        </w:rPr>
        <w:t xml:space="preserve"> </w:t>
      </w:r>
      <w:r w:rsidRPr="000B1A91">
        <w:rPr>
          <w:sz w:val="24"/>
        </w:rPr>
        <w:t>PM</w:t>
      </w:r>
      <w:r w:rsidRPr="000B1A91">
        <w:rPr>
          <w:sz w:val="24"/>
          <w:vertAlign w:val="subscript"/>
        </w:rPr>
        <w:t>2.5</w:t>
      </w:r>
      <w:r w:rsidRPr="000B1A91">
        <w:rPr>
          <w:b/>
          <w:sz w:val="24"/>
        </w:rPr>
        <w:t xml:space="preserve"> </w:t>
      </w:r>
      <w:r w:rsidRPr="00CB4E16">
        <w:rPr>
          <w:sz w:val="24"/>
        </w:rPr>
        <w:t xml:space="preserve">and total mortality in the Cancer Prevention Study II cohort </w:t>
      </w:r>
      <w:r w:rsidRPr="002C36EB">
        <w:rPr>
          <w:i/>
          <w:sz w:val="24"/>
        </w:rPr>
        <w:t>when the best available PM</w:t>
      </w:r>
      <w:r w:rsidRPr="005F6D5A">
        <w:rPr>
          <w:i/>
          <w:sz w:val="24"/>
          <w:vertAlign w:val="subscript"/>
        </w:rPr>
        <w:t>2.5</w:t>
      </w:r>
      <w:r w:rsidRPr="002C36EB">
        <w:rPr>
          <w:i/>
          <w:sz w:val="24"/>
        </w:rPr>
        <w:t xml:space="preserve"> data were used for 85 counties across the US as well as for the Ohio Valley states</w:t>
      </w:r>
      <w:r w:rsidRPr="00CB4E16">
        <w:rPr>
          <w:sz w:val="24"/>
        </w:rPr>
        <w:t xml:space="preserve"> </w:t>
      </w:r>
      <w:r w:rsidRPr="002C36EB">
        <w:rPr>
          <w:i/>
          <w:sz w:val="24"/>
        </w:rPr>
        <w:t>(12-17 counties) and other states (38 -68 counties), including California</w:t>
      </w:r>
      <w:r w:rsidRPr="00CB4E16">
        <w:rPr>
          <w:sz w:val="24"/>
        </w:rPr>
        <w:t xml:space="preserve"> (see Tables 2, 3 and Appendix Table B-1 of the study). Additionally, You et al. (2018)</w:t>
      </w:r>
      <w:r>
        <w:rPr>
          <w:sz w:val="24"/>
        </w:rPr>
        <w:t xml:space="preserve"> </w:t>
      </w:r>
      <w:r w:rsidRPr="00CB4E16">
        <w:rPr>
          <w:sz w:val="24"/>
        </w:rPr>
        <w:t xml:space="preserve">showed </w:t>
      </w:r>
      <w:r w:rsidRPr="002C36EB">
        <w:rPr>
          <w:i/>
          <w:sz w:val="24"/>
        </w:rPr>
        <w:t>no statistically significant association</w:t>
      </w:r>
      <w:r w:rsidRPr="00CB4E16">
        <w:rPr>
          <w:sz w:val="24"/>
        </w:rPr>
        <w:t xml:space="preserve"> between either ozone or </w:t>
      </w:r>
      <w:r w:rsidRPr="000B1A91">
        <w:rPr>
          <w:sz w:val="24"/>
        </w:rPr>
        <w:t>PM</w:t>
      </w:r>
      <w:r w:rsidRPr="000B1A91">
        <w:rPr>
          <w:sz w:val="24"/>
          <w:vertAlign w:val="subscript"/>
        </w:rPr>
        <w:t>2.5</w:t>
      </w:r>
      <w:r w:rsidRPr="000B1A91">
        <w:rPr>
          <w:b/>
          <w:sz w:val="24"/>
        </w:rPr>
        <w:t xml:space="preserve"> </w:t>
      </w:r>
      <w:r w:rsidRPr="00CB4E16">
        <w:rPr>
          <w:sz w:val="24"/>
        </w:rPr>
        <w:t xml:space="preserve">and acute human mortality in California (see Tables 2-4 of the study) and conclude, "In the absence an association of air quality, as measured by ozone or </w:t>
      </w:r>
      <w:r w:rsidRPr="000B1A91">
        <w:rPr>
          <w:sz w:val="24"/>
        </w:rPr>
        <w:t>PM</w:t>
      </w:r>
      <w:r w:rsidRPr="000B1A91">
        <w:rPr>
          <w:sz w:val="24"/>
          <w:vertAlign w:val="subscript"/>
        </w:rPr>
        <w:t>2.5</w:t>
      </w:r>
      <w:r w:rsidRPr="00CB4E16">
        <w:rPr>
          <w:sz w:val="24"/>
        </w:rPr>
        <w:t xml:space="preserve">, with acute mortality (All Cause, Cardiovascular or Respiratory), </w:t>
      </w:r>
      <w:r w:rsidRPr="002C36EB">
        <w:rPr>
          <w:i/>
          <w:sz w:val="24"/>
        </w:rPr>
        <w:t>there is no evidence supporting current air quality being causal of acute deaths in California</w:t>
      </w:r>
      <w:r w:rsidRPr="00CB4E16">
        <w:rPr>
          <w:sz w:val="24"/>
        </w:rPr>
        <w:t xml:space="preserve">." At the same time, the </w:t>
      </w:r>
      <w:r>
        <w:rPr>
          <w:sz w:val="24"/>
        </w:rPr>
        <w:t>EPA</w:t>
      </w:r>
      <w:r w:rsidRPr="00CB4E16">
        <w:rPr>
          <w:sz w:val="24"/>
        </w:rPr>
        <w:t xml:space="preserve"> cites Pope et al. (2014) an</w:t>
      </w:r>
      <w:r>
        <w:rPr>
          <w:sz w:val="24"/>
        </w:rPr>
        <w:t xml:space="preserve">d </w:t>
      </w:r>
      <w:r w:rsidRPr="00CB4E16">
        <w:rPr>
          <w:sz w:val="24"/>
        </w:rPr>
        <w:t xml:space="preserve">Turner et al. (2016) in </w:t>
      </w:r>
      <w:r>
        <w:rPr>
          <w:sz w:val="24"/>
        </w:rPr>
        <w:t>the ISA</w:t>
      </w:r>
      <w:r w:rsidRPr="00CB4E16">
        <w:rPr>
          <w:sz w:val="24"/>
        </w:rPr>
        <w:t xml:space="preserve"> as examples of recent studies showing consistency with previous results, seemingly concentrating primarily on results that support previously drawn conclusions. Although subtle, when taken together, the </w:t>
      </w:r>
      <w:r>
        <w:rPr>
          <w:sz w:val="24"/>
        </w:rPr>
        <w:t>EPA</w:t>
      </w:r>
      <w:r w:rsidRPr="00CB4E16">
        <w:rPr>
          <w:sz w:val="24"/>
        </w:rPr>
        <w:t xml:space="preserve"> seems to be implying that: (1) negative studies based on certain geographical areas or regional analyses are less important and can be disregarded if inconsistent with available positive studies (even those like Pope et al.</w:t>
      </w:r>
      <w:r>
        <w:rPr>
          <w:sz w:val="24"/>
        </w:rPr>
        <w:t xml:space="preserve"> </w:t>
      </w:r>
      <w:r w:rsidRPr="00CB4E16">
        <w:rPr>
          <w:sz w:val="24"/>
        </w:rPr>
        <w:t>(2014) and Turner et al. (2016) that do not evaluate geographical heterogeneity); and (2)</w:t>
      </w:r>
      <w:r>
        <w:rPr>
          <w:sz w:val="24"/>
        </w:rPr>
        <w:t xml:space="preserve"> </w:t>
      </w:r>
      <w:r w:rsidRPr="00CB4E16">
        <w:rPr>
          <w:sz w:val="24"/>
        </w:rPr>
        <w:t xml:space="preserve">although the NAAQS will apply equally across regions, exposure/effect associations need not be robust geographically/regionally. </w:t>
      </w:r>
      <w:r w:rsidRPr="002C36EB">
        <w:rPr>
          <w:i/>
          <w:sz w:val="24"/>
        </w:rPr>
        <w:t xml:space="preserve">The TCEQ strongly disagrees with </w:t>
      </w:r>
      <w:proofErr w:type="gramStart"/>
      <w:r w:rsidRPr="002C36EB">
        <w:rPr>
          <w:i/>
          <w:sz w:val="24"/>
        </w:rPr>
        <w:t>both of</w:t>
      </w:r>
      <w:r>
        <w:rPr>
          <w:i/>
          <w:sz w:val="24"/>
        </w:rPr>
        <w:t xml:space="preserve"> </w:t>
      </w:r>
      <w:r w:rsidRPr="002C36EB">
        <w:rPr>
          <w:i/>
          <w:sz w:val="24"/>
        </w:rPr>
        <w:t>these</w:t>
      </w:r>
      <w:proofErr w:type="gramEnd"/>
      <w:r w:rsidRPr="002C36EB">
        <w:rPr>
          <w:i/>
          <w:sz w:val="24"/>
        </w:rPr>
        <w:t xml:space="preserve"> apparent implications</w:t>
      </w:r>
      <w:r w:rsidRPr="00CB4E16">
        <w:rPr>
          <w:sz w:val="24"/>
        </w:rPr>
        <w:t>.</w:t>
      </w:r>
    </w:p>
    <w:p w14:paraId="76F5E568" w14:textId="77777777" w:rsidR="009A32CE" w:rsidRPr="00720D91" w:rsidRDefault="009A32CE" w:rsidP="004378B1">
      <w:pPr>
        <w:pStyle w:val="BodyText"/>
        <w:spacing w:before="240" w:after="0"/>
        <w:rPr>
          <w:sz w:val="24"/>
        </w:rPr>
      </w:pPr>
      <w:r w:rsidRPr="00720D91">
        <w:rPr>
          <w:sz w:val="24"/>
        </w:rPr>
        <w:t>In terms of key short-term PM</w:t>
      </w:r>
      <w:r w:rsidRPr="00720D91">
        <w:rPr>
          <w:sz w:val="24"/>
          <w:vertAlign w:val="subscript"/>
        </w:rPr>
        <w:t>2.5</w:t>
      </w:r>
      <w:r w:rsidRPr="00720D91">
        <w:rPr>
          <w:b/>
          <w:sz w:val="24"/>
        </w:rPr>
        <w:t xml:space="preserve"> </w:t>
      </w:r>
      <w:r w:rsidRPr="00720D91">
        <w:rPr>
          <w:sz w:val="24"/>
        </w:rPr>
        <w:t xml:space="preserve">exposure studies, </w:t>
      </w:r>
      <w:proofErr w:type="spellStart"/>
      <w:r w:rsidRPr="00720D91">
        <w:rPr>
          <w:sz w:val="24"/>
        </w:rPr>
        <w:t>Zanobetti</w:t>
      </w:r>
      <w:proofErr w:type="spellEnd"/>
      <w:r w:rsidRPr="00720D91">
        <w:rPr>
          <w:sz w:val="24"/>
        </w:rPr>
        <w:t xml:space="preserve"> and Schwartz (2009) results showed regional heterogeneity with an average of 73% of the regional analyses (regions determined by climate type) not having statistically increased mortality for a 10 µg/m</w:t>
      </w:r>
      <w:r w:rsidRPr="00720D91">
        <w:rPr>
          <w:sz w:val="24"/>
          <w:vertAlign w:val="superscript"/>
        </w:rPr>
        <w:t>3</w:t>
      </w:r>
      <w:r w:rsidRPr="00720D91">
        <w:rPr>
          <w:sz w:val="24"/>
        </w:rPr>
        <w:t xml:space="preserve"> increase in PM</w:t>
      </w:r>
      <w:r w:rsidRPr="00720D91">
        <w:rPr>
          <w:sz w:val="24"/>
          <w:vertAlign w:val="subscript"/>
        </w:rPr>
        <w:t>2.5</w:t>
      </w:r>
      <w:r w:rsidRPr="00720D91">
        <w:rPr>
          <w:b/>
          <w:sz w:val="24"/>
        </w:rPr>
        <w:t xml:space="preserve"> </w:t>
      </w:r>
      <w:r w:rsidRPr="00720D91">
        <w:rPr>
          <w:sz w:val="24"/>
        </w:rPr>
        <w:t xml:space="preserve">for all-cause, cardiovascular disease, myocardial infarction, stroke, and respiratory mortality (Table 4 of study). </w:t>
      </w:r>
      <w:proofErr w:type="spellStart"/>
      <w:r w:rsidRPr="00720D91">
        <w:rPr>
          <w:sz w:val="24"/>
        </w:rPr>
        <w:t>Zanobetti</w:t>
      </w:r>
      <w:proofErr w:type="spellEnd"/>
      <w:r w:rsidRPr="00720D91">
        <w:rPr>
          <w:sz w:val="24"/>
        </w:rPr>
        <w:t xml:space="preserve"> and Schwartz (2009) also showed seasonal heterogeneity with 1-4 seasons not having statistically increased mortality for all-cause, cardiovascular disease, myocardial infarction, stroke, or respiratory mortality. In fact, there was a negative summertime association between a 10 µg/m</w:t>
      </w:r>
      <w:r w:rsidRPr="00720D91">
        <w:rPr>
          <w:sz w:val="24"/>
          <w:vertAlign w:val="superscript"/>
        </w:rPr>
        <w:t>3</w:t>
      </w:r>
      <w:r w:rsidRPr="00720D91">
        <w:rPr>
          <w:sz w:val="24"/>
        </w:rPr>
        <w:t xml:space="preserve"> increase in PM</w:t>
      </w:r>
      <w:r w:rsidRPr="00720D91">
        <w:rPr>
          <w:sz w:val="24"/>
          <w:vertAlign w:val="subscript"/>
        </w:rPr>
        <w:t>2.5</w:t>
      </w:r>
      <w:r w:rsidRPr="00720D91">
        <w:rPr>
          <w:b/>
          <w:sz w:val="24"/>
        </w:rPr>
        <w:t xml:space="preserve"> </w:t>
      </w:r>
      <w:r w:rsidRPr="00720D91">
        <w:rPr>
          <w:sz w:val="24"/>
        </w:rPr>
        <w:t>and both cardiovascular disease and myocardial infarction mortality across 112 cities (Table 1 of study).</w:t>
      </w:r>
    </w:p>
    <w:p w14:paraId="526EB42D" w14:textId="203DA28E" w:rsidR="009A32CE" w:rsidRPr="00CB4E16" w:rsidRDefault="009A32CE" w:rsidP="004378B1">
      <w:pPr>
        <w:pStyle w:val="BodyText"/>
        <w:spacing w:before="240" w:after="0"/>
        <w:rPr>
          <w:sz w:val="24"/>
        </w:rPr>
      </w:pPr>
      <w:r w:rsidRPr="00CB4E16">
        <w:rPr>
          <w:sz w:val="24"/>
        </w:rPr>
        <w:t xml:space="preserve">The results of </w:t>
      </w:r>
      <w:proofErr w:type="spellStart"/>
      <w:r w:rsidRPr="00CB4E16">
        <w:rPr>
          <w:sz w:val="24"/>
        </w:rPr>
        <w:t>Moolgavkar</w:t>
      </w:r>
      <w:proofErr w:type="spellEnd"/>
      <w:r w:rsidRPr="00CB4E16">
        <w:rPr>
          <w:sz w:val="24"/>
        </w:rPr>
        <w:t xml:space="preserve"> (2003) corroborate this </w:t>
      </w:r>
      <w:r w:rsidRPr="002C36EB">
        <w:rPr>
          <w:i/>
          <w:sz w:val="24"/>
        </w:rPr>
        <w:t>substantial heterogeneity</w:t>
      </w:r>
      <w:r w:rsidRPr="00CB4E16">
        <w:rPr>
          <w:sz w:val="24"/>
        </w:rPr>
        <w:t xml:space="preserve"> in their evaluations of associations between components of air pollution (e.g., PM</w:t>
      </w:r>
      <w:r w:rsidRPr="00A87FD8">
        <w:rPr>
          <w:sz w:val="24"/>
          <w:vertAlign w:val="subscript"/>
        </w:rPr>
        <w:t>10</w:t>
      </w:r>
      <w:r w:rsidRPr="00CB4E16">
        <w:rPr>
          <w:sz w:val="24"/>
        </w:rPr>
        <w:t>, CO, S</w:t>
      </w:r>
      <w:r w:rsidR="0001301E">
        <w:rPr>
          <w:sz w:val="24"/>
        </w:rPr>
        <w:t>O</w:t>
      </w:r>
      <w:r w:rsidRPr="00A87FD8">
        <w:rPr>
          <w:sz w:val="24"/>
          <w:vertAlign w:val="subscript"/>
        </w:rPr>
        <w:t>2</w:t>
      </w:r>
      <w:r w:rsidRPr="00CB4E16">
        <w:rPr>
          <w:sz w:val="24"/>
        </w:rPr>
        <w:t xml:space="preserve">) and nonaccidental and vascular disease mortality </w:t>
      </w:r>
      <w:r w:rsidRPr="002C36EB">
        <w:rPr>
          <w:i/>
          <w:sz w:val="24"/>
        </w:rPr>
        <w:t>in different locations and from season to season</w:t>
      </w:r>
      <w:r w:rsidRPr="00CB4E16">
        <w:rPr>
          <w:sz w:val="24"/>
        </w:rPr>
        <w:t>, with "only weak and inconsistent" associations of mortality with PM</w:t>
      </w:r>
      <w:r w:rsidRPr="00A87FD8">
        <w:rPr>
          <w:sz w:val="24"/>
          <w:vertAlign w:val="subscript"/>
        </w:rPr>
        <w:t>10</w:t>
      </w:r>
      <w:r w:rsidRPr="00CB4E16">
        <w:rPr>
          <w:sz w:val="24"/>
        </w:rPr>
        <w:t xml:space="preserve"> in Los Angeles County and CO and S</w:t>
      </w:r>
      <w:r w:rsidR="0001301E">
        <w:rPr>
          <w:sz w:val="24"/>
        </w:rPr>
        <w:t>O</w:t>
      </w:r>
      <w:r w:rsidRPr="00A87FD8">
        <w:rPr>
          <w:sz w:val="24"/>
          <w:vertAlign w:val="subscript"/>
        </w:rPr>
        <w:t>2</w:t>
      </w:r>
      <w:r w:rsidRPr="00CB4E16">
        <w:rPr>
          <w:sz w:val="24"/>
        </w:rPr>
        <w:t xml:space="preserve"> being more strongly associated. As with Los Angeles County, Cook County results for cardiovascular mortality showed </w:t>
      </w:r>
      <w:r w:rsidRPr="002C36EB">
        <w:rPr>
          <w:i/>
          <w:sz w:val="24"/>
        </w:rPr>
        <w:t>substantial heterogeneity</w:t>
      </w:r>
      <w:r w:rsidRPr="00CB4E16">
        <w:rPr>
          <w:sz w:val="24"/>
        </w:rPr>
        <w:t>, with zero to no more than one statistically significant association for PM</w:t>
      </w:r>
      <w:r w:rsidRPr="00A87FD8">
        <w:rPr>
          <w:sz w:val="24"/>
          <w:vertAlign w:val="subscript"/>
        </w:rPr>
        <w:t>10</w:t>
      </w:r>
      <w:r w:rsidRPr="00CB4E16">
        <w:rPr>
          <w:sz w:val="24"/>
        </w:rPr>
        <w:t xml:space="preserve"> </w:t>
      </w:r>
      <w:r w:rsidRPr="002C36EB">
        <w:rPr>
          <w:i/>
          <w:sz w:val="24"/>
        </w:rPr>
        <w:t>across seasons</w:t>
      </w:r>
      <w:r w:rsidRPr="00CB4E16">
        <w:rPr>
          <w:sz w:val="24"/>
        </w:rPr>
        <w:t xml:space="preserve"> for any given lag (0-5 day lag for four seasons = 5 comparisons per season and 20 comparisons total) and a total of only three statistically significant associations for the 20 comparisons made (Tables 12 and 13 of the study).</w:t>
      </w:r>
      <w:r>
        <w:rPr>
          <w:sz w:val="24"/>
        </w:rPr>
        <w:t xml:space="preserve"> </w:t>
      </w:r>
      <w:r w:rsidRPr="00CB4E16">
        <w:rPr>
          <w:sz w:val="24"/>
        </w:rPr>
        <w:t>Furthermore</w:t>
      </w:r>
      <w:r w:rsidRPr="00AE3A47">
        <w:rPr>
          <w:i/>
          <w:sz w:val="24"/>
        </w:rPr>
        <w:t>, associations</w:t>
      </w:r>
      <w:r w:rsidRPr="00CB4E16">
        <w:rPr>
          <w:sz w:val="24"/>
        </w:rPr>
        <w:t xml:space="preserve"> for both Cook County and Los Angeles County </w:t>
      </w:r>
      <w:r w:rsidRPr="00AE3A47">
        <w:rPr>
          <w:i/>
          <w:sz w:val="24"/>
        </w:rPr>
        <w:t>paradoxically flip between positive and negative between lags for every season</w:t>
      </w:r>
      <w:r w:rsidRPr="00CB4E16">
        <w:rPr>
          <w:sz w:val="24"/>
        </w:rPr>
        <w:t xml:space="preserve"> (e.g., positive in the winter for lag 4 but negative for lag 5 for both counties), with the </w:t>
      </w:r>
      <w:r w:rsidRPr="00AE3A47">
        <w:rPr>
          <w:i/>
          <w:sz w:val="24"/>
        </w:rPr>
        <w:t>negative association</w:t>
      </w:r>
      <w:r w:rsidRPr="00CB4E16">
        <w:rPr>
          <w:sz w:val="24"/>
        </w:rPr>
        <w:t xml:space="preserve"> between PM</w:t>
      </w:r>
      <w:r w:rsidRPr="00A87FD8">
        <w:rPr>
          <w:sz w:val="24"/>
          <w:vertAlign w:val="subscript"/>
        </w:rPr>
        <w:t>10</w:t>
      </w:r>
      <w:r w:rsidRPr="00CB4E16">
        <w:rPr>
          <w:sz w:val="24"/>
        </w:rPr>
        <w:t xml:space="preserve"> and mortality </w:t>
      </w:r>
      <w:r w:rsidRPr="00AE3A47">
        <w:rPr>
          <w:i/>
          <w:sz w:val="24"/>
        </w:rPr>
        <w:t>in the fall being</w:t>
      </w:r>
      <w:r w:rsidRPr="00CB4E16">
        <w:rPr>
          <w:sz w:val="24"/>
        </w:rPr>
        <w:t xml:space="preserve"> </w:t>
      </w:r>
      <w:r w:rsidRPr="00AE3A47">
        <w:rPr>
          <w:i/>
          <w:sz w:val="24"/>
        </w:rPr>
        <w:t>statistically significant</w:t>
      </w:r>
      <w:r w:rsidRPr="00CB4E16">
        <w:rPr>
          <w:sz w:val="24"/>
        </w:rPr>
        <w:t xml:space="preserve"> for Cook County and the </w:t>
      </w:r>
      <w:r w:rsidRPr="00AE3A47">
        <w:rPr>
          <w:i/>
          <w:sz w:val="24"/>
        </w:rPr>
        <w:t>negative association in the winter being statistically significant</w:t>
      </w:r>
      <w:r w:rsidRPr="00CB4E16">
        <w:rPr>
          <w:sz w:val="24"/>
        </w:rPr>
        <w:t xml:space="preserve"> for Los Angeles County (Tables 12 and 13 of the study).</w:t>
      </w:r>
    </w:p>
    <w:p w14:paraId="7C0303AD" w14:textId="77777777" w:rsidR="009A32CE" w:rsidRDefault="009A32CE" w:rsidP="004378B1">
      <w:pPr>
        <w:pStyle w:val="BodyText"/>
        <w:spacing w:before="240" w:after="0"/>
        <w:rPr>
          <w:b/>
          <w:sz w:val="24"/>
        </w:rPr>
      </w:pPr>
      <w:r w:rsidRPr="00CB4E16">
        <w:rPr>
          <w:sz w:val="24"/>
        </w:rPr>
        <w:t xml:space="preserve">The heterogeneity demonstrated in these </w:t>
      </w:r>
      <w:r>
        <w:rPr>
          <w:sz w:val="24"/>
        </w:rPr>
        <w:t>examples</w:t>
      </w:r>
      <w:r w:rsidRPr="00CB4E16">
        <w:rPr>
          <w:sz w:val="24"/>
        </w:rPr>
        <w:t xml:space="preserve"> is further supported by the more recent Baxter et al. (2018) study, which demonstrated </w:t>
      </w:r>
      <w:r w:rsidRPr="00AE3A47">
        <w:rPr>
          <w:i/>
          <w:sz w:val="24"/>
        </w:rPr>
        <w:t xml:space="preserve">significant heterogeneity (p&lt;0.0001) in </w:t>
      </w:r>
      <w:r w:rsidRPr="00A87FD8">
        <w:rPr>
          <w:i/>
          <w:sz w:val="24"/>
        </w:rPr>
        <w:t>PM</w:t>
      </w:r>
      <w:r w:rsidRPr="00A87FD8">
        <w:rPr>
          <w:i/>
          <w:sz w:val="24"/>
          <w:vertAlign w:val="subscript"/>
        </w:rPr>
        <w:t>2.5</w:t>
      </w:r>
      <w:r w:rsidRPr="00AE3A47">
        <w:rPr>
          <w:i/>
          <w:sz w:val="24"/>
        </w:rPr>
        <w:t>-associated mortality estimates across 312 core-based statistical areas around the country</w:t>
      </w:r>
      <w:r w:rsidRPr="00CB4E16">
        <w:rPr>
          <w:sz w:val="24"/>
        </w:rPr>
        <w:t xml:space="preserve"> (see Figure 1 of the study). Moreover, multivariate regression showed statistically significant negative associations of mortality with various factors, such as natural gas for heating (as opposed to a significantly positive association for heating oil) and increased cooling degree days (as opposed to a significantly positive association for heating degree days). Differences in heating fuel has been offered as a potential reason for </w:t>
      </w:r>
      <w:r w:rsidRPr="00EB6983">
        <w:rPr>
          <w:i/>
          <w:sz w:val="24"/>
        </w:rPr>
        <w:t xml:space="preserve">regional heterogeneity of </w:t>
      </w:r>
      <w:r w:rsidRPr="00A87FD8">
        <w:rPr>
          <w:i/>
          <w:sz w:val="24"/>
        </w:rPr>
        <w:t>PM</w:t>
      </w:r>
      <w:r w:rsidRPr="00A87FD8">
        <w:rPr>
          <w:i/>
          <w:sz w:val="24"/>
          <w:vertAlign w:val="subscript"/>
        </w:rPr>
        <w:t>2.5</w:t>
      </w:r>
      <w:r w:rsidRPr="00EB6983">
        <w:rPr>
          <w:i/>
          <w:sz w:val="24"/>
        </w:rPr>
        <w:t>-associated mortality estimates</w:t>
      </w:r>
      <w:r w:rsidRPr="00CB4E16">
        <w:rPr>
          <w:sz w:val="24"/>
        </w:rPr>
        <w:t xml:space="preserve"> in numerous studies. </w:t>
      </w:r>
      <w:r w:rsidRPr="00A705B9">
        <w:t>These data add to the considerable database demonstrating significant heterogeneity in PM-associated mortality risk both regionally and seasonally.</w:t>
      </w:r>
      <w:r>
        <w:rPr>
          <w:b/>
          <w:sz w:val="24"/>
        </w:rPr>
        <w:t xml:space="preserve"> </w:t>
      </w:r>
      <w:r w:rsidRPr="00255A39">
        <w:rPr>
          <w:sz w:val="24"/>
        </w:rPr>
        <w:t>Similarly, significant heterogeneity in morbidity findings is briefly discussed below.</w:t>
      </w:r>
    </w:p>
    <w:p w14:paraId="1AB1022E" w14:textId="77777777" w:rsidR="009A32CE" w:rsidRPr="00865B96" w:rsidRDefault="009A32CE" w:rsidP="00865B96">
      <w:pPr>
        <w:pStyle w:val="BodyText"/>
        <w:spacing w:before="240" w:after="0"/>
        <w:rPr>
          <w:rStyle w:val="SubtleEmphasis"/>
        </w:rPr>
      </w:pPr>
      <w:r w:rsidRPr="00865B96">
        <w:rPr>
          <w:rStyle w:val="SubtleEmphasis"/>
        </w:rPr>
        <w:t>Morbidity Heterogeneity</w:t>
      </w:r>
    </w:p>
    <w:p w14:paraId="13AD5BC8" w14:textId="7791D61C" w:rsidR="009A32CE" w:rsidRPr="00A65BF4" w:rsidRDefault="009A32CE" w:rsidP="00353D50">
      <w:pPr>
        <w:pStyle w:val="BodyText"/>
        <w:spacing w:before="240" w:after="0"/>
        <w:rPr>
          <w:sz w:val="24"/>
        </w:rPr>
      </w:pPr>
      <w:r>
        <w:rPr>
          <w:sz w:val="24"/>
        </w:rPr>
        <w:t>The EPA PA (2019) indicates the relationship between short-/long-term exposure to PM</w:t>
      </w:r>
      <w:r w:rsidRPr="006A460A">
        <w:rPr>
          <w:sz w:val="24"/>
          <w:vertAlign w:val="subscript"/>
        </w:rPr>
        <w:t>2.5</w:t>
      </w:r>
      <w:r>
        <w:rPr>
          <w:sz w:val="24"/>
        </w:rPr>
        <w:t xml:space="preserve"> and cardiovascular and respiratory morbidity is “causal” and “likely to be causal</w:t>
      </w:r>
      <w:r w:rsidR="0001301E">
        <w:rPr>
          <w:sz w:val="24"/>
        </w:rPr>
        <w:t>,</w:t>
      </w:r>
      <w:r>
        <w:rPr>
          <w:sz w:val="24"/>
        </w:rPr>
        <w:t>” respectively (e.g., in Table 3-1). If this over-simplification were the case, then consistent (and statistically significant) associations between PM</w:t>
      </w:r>
      <w:r w:rsidRPr="006A460A">
        <w:rPr>
          <w:sz w:val="24"/>
          <w:vertAlign w:val="subscript"/>
        </w:rPr>
        <w:t xml:space="preserve">2.5 </w:t>
      </w:r>
      <w:r>
        <w:rPr>
          <w:sz w:val="24"/>
        </w:rPr>
        <w:t xml:space="preserve">mass and these morbidity endpoints would be uniformly found across all regions of the country and across seasons (indeed, such associations would be consistent across the world and consistent across seasons). However, </w:t>
      </w:r>
      <w:r w:rsidRPr="00A705B9">
        <w:t>the EPA PA (2019) should acknowledge the significant heterogeneity in such associations, and its dire implications for simplistic causal proclamations and a one-size fits all NAAQS.</w:t>
      </w:r>
      <w:r>
        <w:rPr>
          <w:sz w:val="24"/>
        </w:rPr>
        <w:t xml:space="preserve"> T</w:t>
      </w:r>
      <w:r w:rsidRPr="00A65BF4">
        <w:rPr>
          <w:sz w:val="24"/>
        </w:rPr>
        <w:t xml:space="preserve">here is extreme heterogeneity with respect to morbidity effects. </w:t>
      </w:r>
      <w:r>
        <w:rPr>
          <w:sz w:val="24"/>
        </w:rPr>
        <w:t xml:space="preserve">For example, </w:t>
      </w:r>
      <w:r w:rsidRPr="00A65BF4">
        <w:rPr>
          <w:sz w:val="24"/>
        </w:rPr>
        <w:t xml:space="preserve">Ito et al. (2007) examined the temporal relationships among air pollution and weather variables in the context of air pollution health effects models and showed that pollutant-pollutant and pollutant-weather interactions vary by season. Further, the authors found that </w:t>
      </w:r>
      <w:proofErr w:type="spellStart"/>
      <w:r w:rsidRPr="00A65BF4">
        <w:rPr>
          <w:sz w:val="24"/>
        </w:rPr>
        <w:t>concurvity</w:t>
      </w:r>
      <w:proofErr w:type="spellEnd"/>
      <w:r w:rsidRPr="00A65BF4">
        <w:rPr>
          <w:sz w:val="24"/>
        </w:rPr>
        <w:t xml:space="preserve"> problems were reduced by separately analyzing the seasons, </w:t>
      </w:r>
      <w:r w:rsidRPr="009E7525">
        <w:rPr>
          <w:i/>
          <w:sz w:val="24"/>
        </w:rPr>
        <w:t xml:space="preserve">indicating the need for </w:t>
      </w:r>
      <w:proofErr w:type="spellStart"/>
      <w:r w:rsidRPr="009E7525">
        <w:rPr>
          <w:i/>
          <w:sz w:val="24"/>
        </w:rPr>
        <w:t>season­specific</w:t>
      </w:r>
      <w:proofErr w:type="spellEnd"/>
      <w:r w:rsidRPr="009E7525">
        <w:rPr>
          <w:i/>
          <w:sz w:val="24"/>
        </w:rPr>
        <w:t xml:space="preserve"> analyses of health effects</w:t>
      </w:r>
      <w:r w:rsidRPr="00A65BF4">
        <w:rPr>
          <w:sz w:val="24"/>
        </w:rPr>
        <w:t>.</w:t>
      </w:r>
    </w:p>
    <w:p w14:paraId="6ED31614" w14:textId="77777777" w:rsidR="00865B96" w:rsidRDefault="00865B96" w:rsidP="009A32CE">
      <w:pPr>
        <w:pStyle w:val="BodyText"/>
        <w:spacing w:after="0"/>
        <w:rPr>
          <w:sz w:val="24"/>
        </w:rPr>
      </w:pPr>
    </w:p>
    <w:p w14:paraId="7CA6BC8D" w14:textId="6AC3A663" w:rsidR="009A32CE" w:rsidRPr="00A65BF4" w:rsidRDefault="009A32CE" w:rsidP="009A32CE">
      <w:pPr>
        <w:pStyle w:val="BodyText"/>
        <w:spacing w:after="0"/>
        <w:rPr>
          <w:sz w:val="24"/>
        </w:rPr>
      </w:pPr>
      <w:r w:rsidRPr="00A65BF4">
        <w:rPr>
          <w:sz w:val="24"/>
        </w:rPr>
        <w:t xml:space="preserve">Bell et al. (2008) also noted that </w:t>
      </w:r>
      <w:r w:rsidRPr="009E7525">
        <w:rPr>
          <w:i/>
          <w:sz w:val="24"/>
        </w:rPr>
        <w:t>respiratory hospital admissions in the winter (o-day lag) were only statistically increased in the Northeast</w:t>
      </w:r>
      <w:r w:rsidRPr="00A65BF4">
        <w:rPr>
          <w:sz w:val="24"/>
        </w:rPr>
        <w:t xml:space="preserve">, and </w:t>
      </w:r>
      <w:r w:rsidRPr="009E7525">
        <w:rPr>
          <w:i/>
          <w:sz w:val="24"/>
        </w:rPr>
        <w:t>on a yearly basis (2-day lag) only statistically increased in the southwest</w:t>
      </w:r>
      <w:r w:rsidRPr="00A65BF4">
        <w:rPr>
          <w:sz w:val="24"/>
        </w:rPr>
        <w:t xml:space="preserve"> (Table 2 of Bell et al. 2008). Study authors concluded that heterogeneity of PM</w:t>
      </w:r>
      <w:r w:rsidRPr="009E7525">
        <w:rPr>
          <w:sz w:val="24"/>
          <w:vertAlign w:val="subscript"/>
        </w:rPr>
        <w:t xml:space="preserve">2.5 </w:t>
      </w:r>
      <w:r w:rsidRPr="00A65BF4">
        <w:rPr>
          <w:sz w:val="24"/>
        </w:rPr>
        <w:t xml:space="preserve">effects on hospital admissions (respiratory and/or cardiovascular) may reflect </w:t>
      </w:r>
      <w:r w:rsidRPr="009E7525">
        <w:rPr>
          <w:i/>
          <w:sz w:val="24"/>
        </w:rPr>
        <w:t>seasonal and regional differences in emissions and chemical constituents</w:t>
      </w:r>
      <w:r w:rsidRPr="00A65BF4">
        <w:rPr>
          <w:sz w:val="24"/>
        </w:rPr>
        <w:t xml:space="preserve"> (e.g., see</w:t>
      </w:r>
      <w:r>
        <w:rPr>
          <w:sz w:val="24"/>
        </w:rPr>
        <w:t xml:space="preserve"> </w:t>
      </w:r>
      <w:r w:rsidRPr="00A65BF4">
        <w:rPr>
          <w:sz w:val="24"/>
        </w:rPr>
        <w:t xml:space="preserve">Figures 3A and 3B of the study) or differences in exposure patterns by region/season, susceptible subpopulations, composition by region/season, or a varying confounder such as ozone. Further contributing to the heterogeneity within and between epidemiology studies, </w:t>
      </w:r>
      <w:r w:rsidRPr="00E85BBA">
        <w:rPr>
          <w:i/>
          <w:sz w:val="24"/>
        </w:rPr>
        <w:t>other studies show no statistically significant relationships between various short-term PM</w:t>
      </w:r>
      <w:r w:rsidRPr="00E85BBA">
        <w:rPr>
          <w:i/>
          <w:sz w:val="24"/>
          <w:vertAlign w:val="subscript"/>
        </w:rPr>
        <w:t xml:space="preserve">2.5 </w:t>
      </w:r>
      <w:r w:rsidRPr="00E85BBA">
        <w:rPr>
          <w:i/>
          <w:sz w:val="24"/>
        </w:rPr>
        <w:t>exposure metrics and emergency department visits for respiratory effects</w:t>
      </w:r>
      <w:r w:rsidRPr="00A65BF4">
        <w:rPr>
          <w:sz w:val="24"/>
        </w:rPr>
        <w:t xml:space="preserve"> (e.g., Table 4 of Tolbert et al. 2007, Table 4 of </w:t>
      </w:r>
      <w:proofErr w:type="spellStart"/>
      <w:r w:rsidRPr="00A65BF4">
        <w:rPr>
          <w:sz w:val="24"/>
        </w:rPr>
        <w:t>Salimi</w:t>
      </w:r>
      <w:proofErr w:type="spellEnd"/>
      <w:r w:rsidRPr="00A65BF4">
        <w:rPr>
          <w:sz w:val="24"/>
        </w:rPr>
        <w:t xml:space="preserve"> et al. 2018).</w:t>
      </w:r>
    </w:p>
    <w:p w14:paraId="239C7691" w14:textId="3302EF9B" w:rsidR="009A32CE" w:rsidRPr="00A705B9" w:rsidRDefault="009A32CE" w:rsidP="00865B96">
      <w:pPr>
        <w:pStyle w:val="BodyText"/>
        <w:spacing w:before="240" w:after="0"/>
        <w:rPr>
          <w:sz w:val="24"/>
        </w:rPr>
      </w:pPr>
      <w:r>
        <w:rPr>
          <w:sz w:val="24"/>
        </w:rPr>
        <w:t>In conclusion, s</w:t>
      </w:r>
      <w:r w:rsidRPr="00E017AC">
        <w:rPr>
          <w:sz w:val="24"/>
        </w:rPr>
        <w:t>ignificant heterogeneity in PM</w:t>
      </w:r>
      <w:r w:rsidRPr="00E017AC">
        <w:rPr>
          <w:sz w:val="24"/>
          <w:vertAlign w:val="subscript"/>
        </w:rPr>
        <w:t>2.5</w:t>
      </w:r>
      <w:r w:rsidRPr="00E017AC">
        <w:rPr>
          <w:sz w:val="24"/>
        </w:rPr>
        <w:t xml:space="preserve"> mortality and morbidity study findings </w:t>
      </w:r>
      <w:proofErr w:type="gramStart"/>
      <w:r w:rsidRPr="00E017AC">
        <w:rPr>
          <w:sz w:val="24"/>
        </w:rPr>
        <w:t>is</w:t>
      </w:r>
      <w:proofErr w:type="gramEnd"/>
      <w:r w:rsidRPr="00E017AC">
        <w:rPr>
          <w:sz w:val="24"/>
        </w:rPr>
        <w:t xml:space="preserve"> readily apparent in the scientific literature (as highlighted by examples in the sections above).</w:t>
      </w:r>
      <w:r>
        <w:rPr>
          <w:b/>
          <w:sz w:val="24"/>
        </w:rPr>
        <w:t xml:space="preserve"> </w:t>
      </w:r>
      <w:r w:rsidRPr="00A705B9">
        <w:rPr>
          <w:sz w:val="24"/>
        </w:rPr>
        <w:t>This significant regional and seasonal heterogeneity:</w:t>
      </w:r>
    </w:p>
    <w:p w14:paraId="447D7091" w14:textId="77777777" w:rsidR="009A32CE" w:rsidRPr="0022485B" w:rsidRDefault="009A32CE" w:rsidP="009A32CE">
      <w:pPr>
        <w:pStyle w:val="BodyText"/>
        <w:numPr>
          <w:ilvl w:val="0"/>
          <w:numId w:val="35"/>
        </w:numPr>
        <w:spacing w:after="0"/>
        <w:rPr>
          <w:sz w:val="24"/>
        </w:rPr>
      </w:pPr>
      <w:r w:rsidRPr="00A705B9">
        <w:rPr>
          <w:sz w:val="24"/>
        </w:rPr>
        <w:t>Demonstrates that a one-size fits all NAAQS for all areas of the country over all seasons cannot be sufficiently scientifically supported since it is known that a single concentration-response function cannot reasonably be expected to reliably predict mortality or morbidity risk across regions and seasons; and</w:t>
      </w:r>
    </w:p>
    <w:p w14:paraId="1B5446FD" w14:textId="77777777" w:rsidR="009A32CE" w:rsidRPr="0022485B" w:rsidRDefault="009A32CE" w:rsidP="009A32CE">
      <w:pPr>
        <w:pStyle w:val="BodyText"/>
        <w:numPr>
          <w:ilvl w:val="0"/>
          <w:numId w:val="35"/>
        </w:numPr>
        <w:spacing w:after="0"/>
        <w:rPr>
          <w:sz w:val="24"/>
        </w:rPr>
      </w:pPr>
      <w:r w:rsidRPr="00A705B9">
        <w:rPr>
          <w:sz w:val="24"/>
        </w:rPr>
        <w:t>Similarly, shows the scientific folly of over-simplistic, unconditional causal proclamations by EPA for generic PM mass (e.g., without regard to PM</w:t>
      </w:r>
      <w:r w:rsidRPr="00A705B9">
        <w:rPr>
          <w:sz w:val="24"/>
          <w:vertAlign w:val="subscript"/>
        </w:rPr>
        <w:t>2.5</w:t>
      </w:r>
      <w:r w:rsidRPr="00A705B9">
        <w:rPr>
          <w:sz w:val="24"/>
        </w:rPr>
        <w:t xml:space="preserve"> source or composition).</w:t>
      </w:r>
    </w:p>
    <w:p w14:paraId="0B34295C" w14:textId="77777777" w:rsidR="009A32CE" w:rsidRDefault="009A32CE" w:rsidP="00865B96">
      <w:pPr>
        <w:pStyle w:val="BodyText"/>
        <w:spacing w:before="240" w:after="0"/>
        <w:rPr>
          <w:sz w:val="24"/>
        </w:rPr>
      </w:pPr>
      <w:r w:rsidRPr="00720D91">
        <w:rPr>
          <w:sz w:val="24"/>
        </w:rPr>
        <w:t>More specifically, EPA’s causal/likely to be causal determinations for generic PM</w:t>
      </w:r>
      <w:r w:rsidRPr="00720D91">
        <w:rPr>
          <w:sz w:val="24"/>
          <w:vertAlign w:val="subscript"/>
        </w:rPr>
        <w:t>2.5</w:t>
      </w:r>
      <w:r w:rsidRPr="00720D91">
        <w:rPr>
          <w:sz w:val="24"/>
        </w:rPr>
        <w:t xml:space="preserve"> mass and mortality/cardiovascular and respiratory morbidity cannot reliably be applied across regions and seasons as it is readily apparent from an extensive scientific database that not all PM</w:t>
      </w:r>
      <w:r w:rsidRPr="00720D91">
        <w:rPr>
          <w:sz w:val="24"/>
          <w:vertAlign w:val="subscript"/>
        </w:rPr>
        <w:t>2.5</w:t>
      </w:r>
      <w:r w:rsidRPr="00720D91">
        <w:rPr>
          <w:sz w:val="24"/>
        </w:rPr>
        <w:t xml:space="preserve"> is created equal toxicologically, either in terms of the toxicity of PM components or the presence/absence of associations with increased mortality or morbidity risk. As a</w:t>
      </w:r>
      <w:r w:rsidR="0001301E" w:rsidRPr="00720D91">
        <w:rPr>
          <w:sz w:val="24"/>
        </w:rPr>
        <w:t>n</w:t>
      </w:r>
      <w:r w:rsidRPr="00720D91">
        <w:rPr>
          <w:sz w:val="24"/>
        </w:rPr>
        <w:t xml:space="preserve"> EP</w:t>
      </w:r>
      <w:r>
        <w:rPr>
          <w:sz w:val="24"/>
        </w:rPr>
        <w:t>A PA-specific example, although lung cancer mortality associated with long-term PM</w:t>
      </w:r>
      <w:r w:rsidRPr="00741754">
        <w:rPr>
          <w:sz w:val="24"/>
          <w:vertAlign w:val="subscript"/>
        </w:rPr>
        <w:t>2.5</w:t>
      </w:r>
      <w:r>
        <w:rPr>
          <w:sz w:val="24"/>
        </w:rPr>
        <w:t xml:space="preserve"> exposure is evaluated in Table 3-5 and 3-7 (provided above), Figure 3-3 below (from p. 3-56 of the EPA PA 2019) shows that most recent studies have HR CIs that contain 1, which is consistent with no excess risk. For all-cause mortality</w:t>
      </w:r>
      <w:r w:rsidRPr="00741754">
        <w:rPr>
          <w:sz w:val="24"/>
        </w:rPr>
        <w:t xml:space="preserve"> </w:t>
      </w:r>
      <w:r>
        <w:rPr>
          <w:sz w:val="24"/>
        </w:rPr>
        <w:t>associated with long-term exposure, several recent studies have CIs that contain 1</w:t>
      </w:r>
      <w:r w:rsidR="00DD4AB3">
        <w:rPr>
          <w:sz w:val="24"/>
        </w:rPr>
        <w:t xml:space="preserve"> </w:t>
      </w:r>
      <w:r>
        <w:rPr>
          <w:sz w:val="24"/>
        </w:rPr>
        <w:t xml:space="preserve">(see Figure 3-3 on p. 3-54 of the EPA PA 2019), and </w:t>
      </w:r>
      <w:r w:rsidRPr="00B52491">
        <w:rPr>
          <w:i/>
          <w:sz w:val="24"/>
        </w:rPr>
        <w:t>three studies have HR central estimates less than 1</w:t>
      </w:r>
      <w:r>
        <w:rPr>
          <w:sz w:val="24"/>
        </w:rPr>
        <w:t xml:space="preserve"> for at least one region of the US (i.e., </w:t>
      </w:r>
      <w:proofErr w:type="spellStart"/>
      <w:r>
        <w:rPr>
          <w:sz w:val="24"/>
        </w:rPr>
        <w:t>Puett</w:t>
      </w:r>
      <w:proofErr w:type="spellEnd"/>
      <w:r>
        <w:rPr>
          <w:sz w:val="24"/>
        </w:rPr>
        <w:t xml:space="preserve"> et al. 2011, </w:t>
      </w:r>
      <w:proofErr w:type="spellStart"/>
      <w:r>
        <w:rPr>
          <w:sz w:val="24"/>
        </w:rPr>
        <w:t>Weichenthal</w:t>
      </w:r>
      <w:proofErr w:type="spellEnd"/>
      <w:r>
        <w:rPr>
          <w:sz w:val="24"/>
        </w:rPr>
        <w:t xml:space="preserve"> et al. 2014, </w:t>
      </w:r>
      <w:proofErr w:type="spellStart"/>
      <w:r>
        <w:rPr>
          <w:sz w:val="24"/>
        </w:rPr>
        <w:t>Zeger</w:t>
      </w:r>
      <w:proofErr w:type="spellEnd"/>
      <w:r>
        <w:rPr>
          <w:sz w:val="24"/>
        </w:rPr>
        <w:t xml:space="preserve"> et al. 2008).</w:t>
      </w:r>
    </w:p>
    <w:p w14:paraId="6B2372E7" w14:textId="75F7918D" w:rsidR="009A32CE" w:rsidRDefault="00F00F19" w:rsidP="004378B1">
      <w:pPr>
        <w:pStyle w:val="BodyText"/>
        <w:spacing w:before="240" w:after="0"/>
        <w:rPr>
          <w:sz w:val="24"/>
        </w:rPr>
      </w:pPr>
      <w:r w:rsidRPr="001509B0">
        <w:rPr>
          <w:noProof/>
        </w:rPr>
        <w:drawing>
          <wp:inline distT="0" distB="0" distL="0" distR="0" wp14:anchorId="1FCE50E8" wp14:editId="3C2F19A5">
            <wp:extent cx="5939790" cy="42462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4246245"/>
                    </a:xfrm>
                    <a:prstGeom prst="rect">
                      <a:avLst/>
                    </a:prstGeom>
                    <a:noFill/>
                    <a:ln>
                      <a:noFill/>
                    </a:ln>
                  </pic:spPr>
                </pic:pic>
              </a:graphicData>
            </a:graphic>
          </wp:inline>
        </w:drawing>
      </w:r>
    </w:p>
    <w:p w14:paraId="49FC08DF" w14:textId="77777777" w:rsidR="009A32CE" w:rsidRPr="00A705B9" w:rsidRDefault="009A32CE" w:rsidP="00353D50">
      <w:pPr>
        <w:pStyle w:val="BodyText"/>
        <w:spacing w:before="240"/>
      </w:pPr>
      <w:r w:rsidRPr="00A705B9">
        <w:t xml:space="preserve">In conjunction with other considerations (e.g., lack of statistical confidence that lowering the standard with actually reduce mortality risk, relative inaccuracy of EPA’s modeling), significant regional and seasonal differences in PM-associated risk raise serious questions about the scientific defensibility and basis of over-simplistic, unconditional causal proclamations by EPA for generic PM mass and any policy decision to further lower a national annual (i.e., year-round) standard, a concern shared by CASAC (e.g., see p. 2 of CASAC 2019). Accordingly, </w:t>
      </w:r>
      <w:bookmarkStart w:id="3" w:name="_Hlk21002050"/>
      <w:r w:rsidRPr="00A705B9">
        <w:t>retaining the current annual PM</w:t>
      </w:r>
      <w:r w:rsidRPr="00F33057">
        <w:rPr>
          <w:sz w:val="24"/>
          <w:vertAlign w:val="subscript"/>
        </w:rPr>
        <w:t>2.5</w:t>
      </w:r>
      <w:r w:rsidRPr="00A705B9">
        <w:t xml:space="preserve"> standard should be added as an alternative </w:t>
      </w:r>
      <w:bookmarkEnd w:id="3"/>
      <w:r w:rsidRPr="00A705B9">
        <w:t>to Section 3.4.2.4.1 of the EPA PA (2019).</w:t>
      </w:r>
    </w:p>
    <w:p w14:paraId="64ED1DB7" w14:textId="77777777" w:rsidR="009A32CE" w:rsidRDefault="009A32CE" w:rsidP="00865B96">
      <w:pPr>
        <w:pStyle w:val="BodyText"/>
        <w:spacing w:before="240" w:after="0"/>
        <w:rPr>
          <w:sz w:val="24"/>
        </w:rPr>
      </w:pPr>
      <w:r>
        <w:rPr>
          <w:sz w:val="24"/>
        </w:rPr>
        <w:t>Dr. D. Warner North responses to CASAC concur with these TCEQ comments (</w:t>
      </w:r>
      <w:hyperlink r:id="rId13" w:history="1">
        <w:r>
          <w:rPr>
            <w:rStyle w:val="Hyperlink"/>
          </w:rPr>
          <w:t>https://yosemite.epa.gov/sab/sabproduct.nsf/681D8D5ABE7AE4818525848100769D92/$File/North+Preliminary+Response+to+Questions+9-26-2019.pdf</w:t>
        </w:r>
      </w:hyperlink>
      <w:r>
        <w:rPr>
          <w:sz w:val="24"/>
        </w:rPr>
        <w:t>). For example [</w:t>
      </w:r>
      <w:r w:rsidRPr="000A6014">
        <w:rPr>
          <w:i/>
          <w:sz w:val="24"/>
        </w:rPr>
        <w:t>emphasis added</w:t>
      </w:r>
      <w:r>
        <w:rPr>
          <w:sz w:val="24"/>
        </w:rPr>
        <w:t xml:space="preserve">]: </w:t>
      </w:r>
    </w:p>
    <w:p w14:paraId="7799D2FD" w14:textId="77777777" w:rsidR="009A32CE" w:rsidRDefault="009A32CE" w:rsidP="009A32CE">
      <w:pPr>
        <w:pStyle w:val="BodyText"/>
        <w:spacing w:after="0"/>
        <w:ind w:left="720" w:right="720"/>
        <w:rPr>
          <w:sz w:val="24"/>
        </w:rPr>
      </w:pPr>
      <w:r w:rsidRPr="00F740F9">
        <w:rPr>
          <w:sz w:val="24"/>
        </w:rPr>
        <w:t xml:space="preserve">I believe </w:t>
      </w:r>
      <w:r w:rsidRPr="00F740F9">
        <w:rPr>
          <w:i/>
          <w:sz w:val="24"/>
        </w:rPr>
        <w:t>the level of uncertainty</w:t>
      </w:r>
      <w:r w:rsidRPr="00F740F9">
        <w:rPr>
          <w:sz w:val="24"/>
        </w:rPr>
        <w:t xml:space="preserve"> on mortality and other health effects from PM addressed in the PA from exposures </w:t>
      </w:r>
      <w:r w:rsidRPr="00F740F9">
        <w:rPr>
          <w:i/>
          <w:sz w:val="24"/>
        </w:rPr>
        <w:t>at, below, or slightly above the current NAAQS is high</w:t>
      </w:r>
      <w:r>
        <w:rPr>
          <w:i/>
          <w:sz w:val="24"/>
        </w:rPr>
        <w:t>…</w:t>
      </w:r>
      <w:r w:rsidRPr="00583483">
        <w:rPr>
          <w:i/>
          <w:sz w:val="24"/>
        </w:rPr>
        <w:t>Particulate matter is</w:t>
      </w:r>
      <w:r w:rsidRPr="000A6014">
        <w:rPr>
          <w:sz w:val="24"/>
        </w:rPr>
        <w:t xml:space="preserve"> not one substance, but </w:t>
      </w:r>
      <w:r w:rsidRPr="00583483">
        <w:rPr>
          <w:i/>
          <w:sz w:val="24"/>
        </w:rPr>
        <w:t>a mixture</w:t>
      </w:r>
      <w:r w:rsidRPr="000A6014">
        <w:rPr>
          <w:sz w:val="24"/>
        </w:rPr>
        <w:t>. It should be expected that since</w:t>
      </w:r>
      <w:r>
        <w:rPr>
          <w:sz w:val="24"/>
        </w:rPr>
        <w:t xml:space="preserve"> </w:t>
      </w:r>
      <w:r w:rsidRPr="000A6014">
        <w:rPr>
          <w:sz w:val="24"/>
        </w:rPr>
        <w:t xml:space="preserve">sources differ, </w:t>
      </w:r>
      <w:r w:rsidRPr="00620AEA">
        <w:rPr>
          <w:sz w:val="24"/>
        </w:rPr>
        <w:t>the concentration-response (C-R) relationship may therefore differ from place to place. Further</w:t>
      </w:r>
      <w:r w:rsidRPr="000A6014">
        <w:rPr>
          <w:sz w:val="24"/>
        </w:rPr>
        <w:t xml:space="preserve">, </w:t>
      </w:r>
      <w:r w:rsidRPr="00620AEA">
        <w:rPr>
          <w:i/>
          <w:sz w:val="24"/>
        </w:rPr>
        <w:t>there is important uncertainty in the shape of the C-R relationships, which may differ from place to place</w:t>
      </w:r>
      <w:r w:rsidRPr="000A6014">
        <w:rPr>
          <w:sz w:val="24"/>
        </w:rPr>
        <w:t xml:space="preserve"> because of differences in sources, weather, atmospheric</w:t>
      </w:r>
      <w:r>
        <w:rPr>
          <w:sz w:val="24"/>
        </w:rPr>
        <w:t xml:space="preserve"> </w:t>
      </w:r>
      <w:r w:rsidRPr="000A6014">
        <w:rPr>
          <w:sz w:val="24"/>
        </w:rPr>
        <w:t xml:space="preserve">chemistry, and the exposed populations. </w:t>
      </w:r>
      <w:r w:rsidRPr="00620AEA">
        <w:rPr>
          <w:i/>
          <w:sz w:val="24"/>
        </w:rPr>
        <w:t>Using the Cox proportional hazard model with national averaged data is essentially equivalent to assuming a single, linear-through-zero relationship, and it suppresses uncertainty and variability</w:t>
      </w:r>
      <w:r w:rsidRPr="000A6014">
        <w:rPr>
          <w:sz w:val="24"/>
        </w:rPr>
        <w:t xml:space="preserve">. The uncertainty </w:t>
      </w:r>
      <w:r>
        <w:rPr>
          <w:sz w:val="24"/>
        </w:rPr>
        <w:t>s</w:t>
      </w:r>
      <w:r w:rsidRPr="000A6014">
        <w:rPr>
          <w:sz w:val="24"/>
        </w:rPr>
        <w:t>hould be made</w:t>
      </w:r>
      <w:r>
        <w:rPr>
          <w:sz w:val="24"/>
        </w:rPr>
        <w:t xml:space="preserve"> </w:t>
      </w:r>
      <w:r w:rsidRPr="000A6014">
        <w:rPr>
          <w:sz w:val="24"/>
        </w:rPr>
        <w:t>explicit. Epidemiological and other data addressing place-to-place variability should be</w:t>
      </w:r>
      <w:r>
        <w:rPr>
          <w:sz w:val="24"/>
        </w:rPr>
        <w:t xml:space="preserve"> </w:t>
      </w:r>
      <w:r w:rsidRPr="000A6014">
        <w:rPr>
          <w:sz w:val="24"/>
        </w:rPr>
        <w:t xml:space="preserve">sought </w:t>
      </w:r>
      <w:r w:rsidRPr="00620AEA">
        <w:rPr>
          <w:i/>
          <w:sz w:val="24"/>
        </w:rPr>
        <w:t>and used</w:t>
      </w:r>
      <w:r>
        <w:rPr>
          <w:sz w:val="24"/>
        </w:rPr>
        <w:t>…</w:t>
      </w:r>
      <w:r w:rsidRPr="004178EE">
        <w:rPr>
          <w:sz w:val="24"/>
        </w:rPr>
        <w:t>What EPA has</w:t>
      </w:r>
      <w:r>
        <w:rPr>
          <w:sz w:val="24"/>
        </w:rPr>
        <w:t xml:space="preserve"> </w:t>
      </w:r>
      <w:r w:rsidRPr="004178EE">
        <w:rPr>
          <w:sz w:val="24"/>
        </w:rPr>
        <w:t xml:space="preserve">done in Chapter 3 and Appendix C of the draft PA seems to me </w:t>
      </w:r>
      <w:r w:rsidRPr="00341B55">
        <w:rPr>
          <w:i/>
          <w:sz w:val="24"/>
        </w:rPr>
        <w:t>extremely simplistic, and</w:t>
      </w:r>
      <w:r>
        <w:rPr>
          <w:sz w:val="24"/>
        </w:rPr>
        <w:t xml:space="preserve"> </w:t>
      </w:r>
      <w:r w:rsidRPr="004178EE">
        <w:rPr>
          <w:i/>
          <w:sz w:val="24"/>
        </w:rPr>
        <w:t>potentially misleading on the extent of lives and disease that would be avoided by more stringent standards</w:t>
      </w:r>
      <w:r>
        <w:rPr>
          <w:sz w:val="24"/>
        </w:rPr>
        <w:t>…M</w:t>
      </w:r>
      <w:r w:rsidRPr="002F2401">
        <w:rPr>
          <w:sz w:val="24"/>
        </w:rPr>
        <w:t>ethods and applications for spatial disaggregation</w:t>
      </w:r>
      <w:r>
        <w:rPr>
          <w:sz w:val="24"/>
        </w:rPr>
        <w:t xml:space="preserve"> </w:t>
      </w:r>
      <w:r w:rsidRPr="002F2401">
        <w:rPr>
          <w:sz w:val="24"/>
        </w:rPr>
        <w:t>should be included in the ISA and the PA.</w:t>
      </w:r>
    </w:p>
    <w:p w14:paraId="6340281F" w14:textId="77777777" w:rsidR="009A32CE" w:rsidRPr="00CB5DDC" w:rsidRDefault="009A32CE" w:rsidP="004378B1">
      <w:pPr>
        <w:pStyle w:val="BodyText"/>
        <w:spacing w:before="240" w:after="0"/>
        <w:rPr>
          <w:sz w:val="24"/>
        </w:rPr>
      </w:pPr>
      <w:r>
        <w:rPr>
          <w:sz w:val="24"/>
        </w:rPr>
        <w:t>In regard to causality, Dr. North writes that as to the</w:t>
      </w:r>
      <w:r w:rsidRPr="005B7268">
        <w:rPr>
          <w:sz w:val="24"/>
        </w:rPr>
        <w:t xml:space="preserve"> “causal” relation to both short-term and long-term mortality</w:t>
      </w:r>
      <w:r>
        <w:rPr>
          <w:sz w:val="24"/>
        </w:rPr>
        <w:t xml:space="preserve">, </w:t>
      </w:r>
      <w:r>
        <w:rPr>
          <w:i/>
          <w:sz w:val="24"/>
        </w:rPr>
        <w:t>EPA</w:t>
      </w:r>
      <w:r w:rsidRPr="007235B9">
        <w:rPr>
          <w:i/>
          <w:sz w:val="24"/>
        </w:rPr>
        <w:t xml:space="preserve"> has not yet satisfied the condition that “confounding and other biases can be ruled out”</w:t>
      </w:r>
      <w:r>
        <w:rPr>
          <w:sz w:val="24"/>
        </w:rPr>
        <w:t>,</w:t>
      </w:r>
      <w:r w:rsidRPr="005B7268">
        <w:rPr>
          <w:sz w:val="24"/>
        </w:rPr>
        <w:t xml:space="preserve"> </w:t>
      </w:r>
      <w:r>
        <w:rPr>
          <w:sz w:val="24"/>
        </w:rPr>
        <w:t>“</w:t>
      </w:r>
      <w:r w:rsidRPr="005B7268">
        <w:rPr>
          <w:sz w:val="24"/>
        </w:rPr>
        <w:t xml:space="preserve">a </w:t>
      </w:r>
      <w:r w:rsidRPr="007235B9">
        <w:rPr>
          <w:i/>
          <w:sz w:val="24"/>
        </w:rPr>
        <w:t>very serious flaw</w:t>
      </w:r>
      <w:r w:rsidRPr="005B7268">
        <w:rPr>
          <w:sz w:val="24"/>
        </w:rPr>
        <w:t xml:space="preserve"> in the draft PA</w:t>
      </w:r>
      <w:r>
        <w:rPr>
          <w:sz w:val="24"/>
        </w:rPr>
        <w:t xml:space="preserve">”, “I </w:t>
      </w:r>
      <w:r w:rsidRPr="00CE7013">
        <w:rPr>
          <w:sz w:val="24"/>
        </w:rPr>
        <w:t>do not accept the claim dating back to EPA’s 2009-11 documents that a “causal relationship” is clearly demonstrated at and below the level of PM</w:t>
      </w:r>
      <w:r w:rsidRPr="005F6D5A">
        <w:rPr>
          <w:sz w:val="24"/>
          <w:vertAlign w:val="subscript"/>
        </w:rPr>
        <w:t>2.5</w:t>
      </w:r>
      <w:r w:rsidRPr="00CE7013">
        <w:rPr>
          <w:sz w:val="24"/>
        </w:rPr>
        <w:t xml:space="preserve"> in the</w:t>
      </w:r>
      <w:r>
        <w:rPr>
          <w:sz w:val="24"/>
        </w:rPr>
        <w:t xml:space="preserve"> </w:t>
      </w:r>
      <w:r w:rsidRPr="00CE7013">
        <w:rPr>
          <w:sz w:val="24"/>
        </w:rPr>
        <w:t>present NAAQS.</w:t>
      </w:r>
      <w:r>
        <w:rPr>
          <w:sz w:val="24"/>
        </w:rPr>
        <w:t xml:space="preserve">” Furthermore, while Dr. North acknowledges that there is </w:t>
      </w:r>
      <w:proofErr w:type="spellStart"/>
      <w:r>
        <w:rPr>
          <w:sz w:val="24"/>
        </w:rPr>
        <w:t>not</w:t>
      </w:r>
      <w:proofErr w:type="spellEnd"/>
      <w:r>
        <w:rPr>
          <w:sz w:val="24"/>
        </w:rPr>
        <w:t xml:space="preserve"> evidence for a threshold, importantly he points out, “</w:t>
      </w:r>
      <w:r w:rsidRPr="00753EB6">
        <w:rPr>
          <w:sz w:val="24"/>
        </w:rPr>
        <w:t>NEITHER is there clear evidence for linearity at very low concentrations</w:t>
      </w:r>
      <w:r>
        <w:rPr>
          <w:sz w:val="24"/>
        </w:rPr>
        <w:t>.” Dr. North goes on to write, “</w:t>
      </w:r>
      <w:r w:rsidRPr="00046662">
        <w:rPr>
          <w:i/>
          <w:sz w:val="24"/>
        </w:rPr>
        <w:t>Model uncertainty</w:t>
      </w:r>
      <w:r w:rsidRPr="00046662">
        <w:rPr>
          <w:sz w:val="24"/>
        </w:rPr>
        <w:t xml:space="preserve"> on the C-R relationship was </w:t>
      </w:r>
      <w:r w:rsidRPr="00046662">
        <w:rPr>
          <w:i/>
          <w:sz w:val="24"/>
        </w:rPr>
        <w:t>not adequately discussed or included</w:t>
      </w:r>
      <w:r>
        <w:rPr>
          <w:sz w:val="24"/>
        </w:rPr>
        <w:t>…T</w:t>
      </w:r>
      <w:r w:rsidRPr="00046662">
        <w:rPr>
          <w:sz w:val="24"/>
        </w:rPr>
        <w:t xml:space="preserve">he discussion of </w:t>
      </w:r>
      <w:r w:rsidRPr="00046662">
        <w:rPr>
          <w:i/>
          <w:sz w:val="24"/>
        </w:rPr>
        <w:t>exposure estimation uncertainties and estimation errors was</w:t>
      </w:r>
      <w:r w:rsidRPr="00046662">
        <w:rPr>
          <w:sz w:val="24"/>
        </w:rPr>
        <w:t xml:space="preserve"> </w:t>
      </w:r>
      <w:r w:rsidRPr="00046662">
        <w:rPr>
          <w:i/>
          <w:sz w:val="24"/>
        </w:rPr>
        <w:t>also inadequate</w:t>
      </w:r>
      <w:r>
        <w:rPr>
          <w:sz w:val="24"/>
        </w:rPr>
        <w:t>…</w:t>
      </w:r>
      <w:r w:rsidRPr="009C36B3">
        <w:rPr>
          <w:sz w:val="24"/>
        </w:rPr>
        <w:t>I think the Administrator may be given relatively little useful</w:t>
      </w:r>
      <w:r>
        <w:rPr>
          <w:sz w:val="24"/>
        </w:rPr>
        <w:t xml:space="preserve"> </w:t>
      </w:r>
      <w:r w:rsidRPr="009C36B3">
        <w:rPr>
          <w:sz w:val="24"/>
        </w:rPr>
        <w:t>new information on the impact of changing the Primary PM standards</w:t>
      </w:r>
      <w:r>
        <w:rPr>
          <w:sz w:val="24"/>
        </w:rPr>
        <w:t>…</w:t>
      </w:r>
      <w:r w:rsidRPr="009C36B3">
        <w:rPr>
          <w:i/>
          <w:sz w:val="24"/>
        </w:rPr>
        <w:t>I am not persuaded that a case has yet been made for stricter national standards</w:t>
      </w:r>
      <w:r>
        <w:rPr>
          <w:sz w:val="24"/>
        </w:rPr>
        <w:t xml:space="preserve">.” </w:t>
      </w:r>
      <w:r w:rsidRPr="00CB5DDC">
        <w:rPr>
          <w:sz w:val="24"/>
        </w:rPr>
        <w:t>Lastly, TCEQ’s assertion that retaining the current annual PM</w:t>
      </w:r>
      <w:r w:rsidRPr="00CB5DDC">
        <w:rPr>
          <w:sz w:val="24"/>
          <w:vertAlign w:val="subscript"/>
        </w:rPr>
        <w:t xml:space="preserve">2.5 </w:t>
      </w:r>
      <w:r w:rsidRPr="00CB5DDC">
        <w:rPr>
          <w:sz w:val="24"/>
        </w:rPr>
        <w:t>standard should be added as an alternative is strongly supported by Dr. North’s answer to the following question:</w:t>
      </w:r>
    </w:p>
    <w:p w14:paraId="2F5022FA" w14:textId="77777777" w:rsidR="009A32CE" w:rsidRDefault="009A32CE" w:rsidP="009A32CE">
      <w:pPr>
        <w:pStyle w:val="BodyText"/>
        <w:spacing w:after="0"/>
      </w:pPr>
      <w:r>
        <w:rPr>
          <w:sz w:val="24"/>
        </w:rPr>
        <w:t>Dr. Cox:</w:t>
      </w:r>
    </w:p>
    <w:p w14:paraId="305A9202" w14:textId="77777777" w:rsidR="009A32CE" w:rsidRPr="00720D91" w:rsidRDefault="009A32CE" w:rsidP="009A32CE">
      <w:pPr>
        <w:pStyle w:val="BodyText"/>
        <w:spacing w:after="0"/>
        <w:rPr>
          <w:sz w:val="24"/>
        </w:rPr>
      </w:pPr>
      <w:r w:rsidRPr="00720D91">
        <w:rPr>
          <w:sz w:val="24"/>
        </w:rPr>
        <w:t xml:space="preserve">Overall, does the PA and its underlying documents (e.g., the </w:t>
      </w:r>
      <w:proofErr w:type="spellStart"/>
      <w:r w:rsidRPr="00720D91">
        <w:rPr>
          <w:sz w:val="24"/>
        </w:rPr>
        <w:t>BenMAP</w:t>
      </w:r>
      <w:proofErr w:type="spellEnd"/>
      <w:r w:rsidRPr="00720D91">
        <w:rPr>
          <w:sz w:val="24"/>
        </w:rPr>
        <w:t>-CE documentation) make a convincing technical case that its simulated health impacts of reductions in PM</w:t>
      </w:r>
      <w:r w:rsidRPr="00720D91">
        <w:rPr>
          <w:sz w:val="24"/>
          <w:vertAlign w:val="subscript"/>
        </w:rPr>
        <w:t>2.5</w:t>
      </w:r>
      <w:r w:rsidRPr="00720D91">
        <w:rPr>
          <w:sz w:val="24"/>
        </w:rPr>
        <w:t xml:space="preserve"> are trustworthy and usefully accurate?</w:t>
      </w:r>
    </w:p>
    <w:p w14:paraId="259C3A8A" w14:textId="02A058F9" w:rsidR="009A32CE" w:rsidRPr="00720D91" w:rsidRDefault="009A32CE" w:rsidP="009A32CE">
      <w:pPr>
        <w:pStyle w:val="BodyText"/>
        <w:spacing w:after="0"/>
        <w:rPr>
          <w:sz w:val="24"/>
        </w:rPr>
      </w:pPr>
      <w:r w:rsidRPr="00720D91">
        <w:rPr>
          <w:sz w:val="24"/>
        </w:rPr>
        <w:t>Dr. North:</w:t>
      </w:r>
      <w:r w:rsidR="00DD4AB3" w:rsidRPr="00720D91">
        <w:rPr>
          <w:sz w:val="24"/>
        </w:rPr>
        <w:t xml:space="preserve"> </w:t>
      </w:r>
      <w:r w:rsidRPr="00720D91">
        <w:rPr>
          <w:sz w:val="24"/>
        </w:rPr>
        <w:t>My response is a strong NO.</w:t>
      </w:r>
    </w:p>
    <w:p w14:paraId="11EED946" w14:textId="77777777" w:rsidR="00652F6D" w:rsidRPr="00865B96" w:rsidRDefault="00652F6D" w:rsidP="00865B96">
      <w:pPr>
        <w:pStyle w:val="Heading2"/>
        <w:spacing w:before="240"/>
      </w:pPr>
      <w:r w:rsidRPr="00865B96">
        <w:t>U</w:t>
      </w:r>
      <w:r w:rsidR="009826C1" w:rsidRPr="00865B96">
        <w:t xml:space="preserve">ncertainty </w:t>
      </w:r>
      <w:r w:rsidRPr="00865B96">
        <w:t>A</w:t>
      </w:r>
      <w:r w:rsidR="009826C1" w:rsidRPr="00865B96">
        <w:t xml:space="preserve">nalysis </w:t>
      </w:r>
    </w:p>
    <w:p w14:paraId="13121365" w14:textId="77777777" w:rsidR="009826C1" w:rsidRPr="00720D91" w:rsidRDefault="00F34BFA" w:rsidP="00A705B9">
      <w:pPr>
        <w:pStyle w:val="BodyText"/>
        <w:rPr>
          <w:sz w:val="24"/>
        </w:rPr>
      </w:pPr>
      <w:r w:rsidRPr="00720D91">
        <w:rPr>
          <w:sz w:val="24"/>
        </w:rPr>
        <w:t xml:space="preserve">The uncertainty analysis in </w:t>
      </w:r>
      <w:r w:rsidR="009826C1" w:rsidRPr="00720D91">
        <w:rPr>
          <w:sz w:val="24"/>
        </w:rPr>
        <w:t xml:space="preserve">Section 3.3 acknowledges that while a full probabilistic uncertainty analysis is warranted for the PM NAAQS under the World Health Organization (2008) framework, one cannot be conducted because EPA does not know enough about the uncertainties associated with key elements of concentration-response functions they are using to be able conduct the full probabilistic uncertainty analysis they acknowledge is warranted (p. C-74 lines 25-30). Moreover, </w:t>
      </w:r>
      <w:r w:rsidR="00C42206" w:rsidRPr="00720D91">
        <w:rPr>
          <w:sz w:val="24"/>
        </w:rPr>
        <w:t>EPA</w:t>
      </w:r>
      <w:r w:rsidR="009826C1" w:rsidRPr="00720D91">
        <w:rPr>
          <w:sz w:val="24"/>
        </w:rPr>
        <w:t xml:space="preserve"> admits that not even expert elicitation was undertaken since it is too resource- and time-intensive for </w:t>
      </w:r>
      <w:r w:rsidR="00C42206" w:rsidRPr="00720D91">
        <w:rPr>
          <w:sz w:val="24"/>
        </w:rPr>
        <w:t>EPA</w:t>
      </w:r>
      <w:r w:rsidR="009826C1" w:rsidRPr="00720D91">
        <w:rPr>
          <w:sz w:val="24"/>
        </w:rPr>
        <w:t xml:space="preserve"> despite the far-reaching serious implications of the PM NAAQS (p. C-74 lines 30-33). So instead of the type on uncertainty analysis warranted and needed for any new policy decisions, </w:t>
      </w:r>
      <w:r w:rsidR="00C42206" w:rsidRPr="00720D91">
        <w:rPr>
          <w:sz w:val="24"/>
        </w:rPr>
        <w:t>EPA</w:t>
      </w:r>
      <w:r w:rsidR="009826C1" w:rsidRPr="00720D91">
        <w:rPr>
          <w:sz w:val="24"/>
        </w:rPr>
        <w:t xml:space="preserve"> included lower tier uncertainty analyses. This is only consistent with the use of best available science from the perspective that if you do not conduct the best science, then it is not available for use. Since the </w:t>
      </w:r>
      <w:r w:rsidR="00C42206" w:rsidRPr="00720D91">
        <w:rPr>
          <w:sz w:val="24"/>
        </w:rPr>
        <w:t>EPA</w:t>
      </w:r>
      <w:r w:rsidR="009826C1" w:rsidRPr="00720D91">
        <w:rPr>
          <w:sz w:val="24"/>
        </w:rPr>
        <w:t xml:space="preserve"> uncertainty analysis admittedly falls seriously short of the analyses warranted, a decision about adopting new policy (e.g., a new NAAQS) cannot be adequately supported and </w:t>
      </w:r>
      <w:r w:rsidR="00C42206" w:rsidRPr="00720D91">
        <w:rPr>
          <w:sz w:val="24"/>
        </w:rPr>
        <w:t>EPA</w:t>
      </w:r>
      <w:r w:rsidR="009826C1" w:rsidRPr="00720D91">
        <w:rPr>
          <w:sz w:val="24"/>
        </w:rPr>
        <w:t xml:space="preserve"> should retain the current NAAQS.</w:t>
      </w:r>
    </w:p>
    <w:p w14:paraId="377ECFAD" w14:textId="77777777" w:rsidR="009826C1" w:rsidRDefault="009826C1" w:rsidP="009826C1">
      <w:pPr>
        <w:pStyle w:val="BodyText"/>
        <w:spacing w:after="0"/>
        <w:rPr>
          <w:sz w:val="24"/>
        </w:rPr>
      </w:pPr>
      <w:r>
        <w:rPr>
          <w:sz w:val="24"/>
        </w:rPr>
        <w:t>Additionally, while the EPA PA (2019) indicates that use of concentration-response functions from multiple epidemiological studies and their CIs helps address variability and uncertainty (see Section C.3):</w:t>
      </w:r>
    </w:p>
    <w:p w14:paraId="16F1EC5A" w14:textId="77777777" w:rsidR="009826C1" w:rsidRPr="00720D91" w:rsidRDefault="00C42206" w:rsidP="009826C1">
      <w:pPr>
        <w:pStyle w:val="BodyText"/>
        <w:numPr>
          <w:ilvl w:val="0"/>
          <w:numId w:val="33"/>
        </w:numPr>
        <w:spacing w:after="0"/>
        <w:rPr>
          <w:sz w:val="24"/>
        </w:rPr>
      </w:pPr>
      <w:r w:rsidRPr="00720D91">
        <w:rPr>
          <w:sz w:val="24"/>
        </w:rPr>
        <w:t>EPA</w:t>
      </w:r>
      <w:r w:rsidR="009826C1" w:rsidRPr="00720D91">
        <w:rPr>
          <w:sz w:val="24"/>
        </w:rPr>
        <w:t xml:space="preserve"> has not demonstrated that any of the concentration-response functions used in the 2019 PA are able to relatively accurately predict any risk reductions that may result from reducing PM</w:t>
      </w:r>
      <w:r w:rsidR="009826C1" w:rsidRPr="00720D91">
        <w:rPr>
          <w:sz w:val="24"/>
          <w:vertAlign w:val="subscript"/>
        </w:rPr>
        <w:t>2.5</w:t>
      </w:r>
      <w:r w:rsidR="009826C1" w:rsidRPr="00720D91">
        <w:rPr>
          <w:sz w:val="24"/>
        </w:rPr>
        <w:t xml:space="preserve"> exposure outside the study-specific area and time-frame or what assumptions/conditions may have to be true to even expect such reductions; and</w:t>
      </w:r>
    </w:p>
    <w:p w14:paraId="5A04FDA1" w14:textId="77777777" w:rsidR="009826C1" w:rsidRPr="00720D91" w:rsidRDefault="00C42206" w:rsidP="009826C1">
      <w:pPr>
        <w:pStyle w:val="BodyText"/>
        <w:numPr>
          <w:ilvl w:val="0"/>
          <w:numId w:val="33"/>
        </w:numPr>
        <w:spacing w:after="0"/>
        <w:rPr>
          <w:sz w:val="24"/>
        </w:rPr>
      </w:pPr>
      <w:r w:rsidRPr="00720D91">
        <w:rPr>
          <w:sz w:val="24"/>
        </w:rPr>
        <w:t>EPA</w:t>
      </w:r>
      <w:r w:rsidR="009826C1" w:rsidRPr="00720D91">
        <w:rPr>
          <w:sz w:val="24"/>
        </w:rPr>
        <w:t xml:space="preserve"> has failed to concede that use of multiple </w:t>
      </w:r>
      <w:bookmarkStart w:id="4" w:name="_Hlk19788888"/>
      <w:r w:rsidR="009826C1" w:rsidRPr="00720D91">
        <w:rPr>
          <w:sz w:val="24"/>
        </w:rPr>
        <w:t xml:space="preserve">concentration-response functions </w:t>
      </w:r>
      <w:bookmarkEnd w:id="4"/>
      <w:r w:rsidR="009826C1" w:rsidRPr="00720D91">
        <w:rPr>
          <w:sz w:val="24"/>
        </w:rPr>
        <w:t>does relatively little to address the great uncertainty present that cannot be quantitatively characterized since the uncertainty associated with many significant simultaneous contributors to uncertainty is simply not captured across concentration-response functions (e.g., residual confounding by both confounders included and excluded from the analyses, ever-present exposure estimation error, model specification error, etc.).</w:t>
      </w:r>
    </w:p>
    <w:p w14:paraId="0C82E787" w14:textId="77777777" w:rsidR="009826C1" w:rsidRPr="00C30403" w:rsidRDefault="009826C1" w:rsidP="00865B96">
      <w:pPr>
        <w:pStyle w:val="BodyText"/>
        <w:spacing w:before="240" w:after="0"/>
        <w:rPr>
          <w:sz w:val="24"/>
        </w:rPr>
      </w:pPr>
      <w:r w:rsidRPr="007872D4">
        <w:rPr>
          <w:sz w:val="24"/>
        </w:rPr>
        <w:t xml:space="preserve">Lastly, it is noted that while </w:t>
      </w:r>
      <w:r w:rsidR="00C42206">
        <w:rPr>
          <w:sz w:val="24"/>
        </w:rPr>
        <w:t>EPA</w:t>
      </w:r>
      <w:r w:rsidRPr="007872D4">
        <w:rPr>
          <w:sz w:val="24"/>
        </w:rPr>
        <w:t xml:space="preserve"> qualitatively identifies </w:t>
      </w:r>
      <w:r w:rsidRPr="007872D4">
        <w:rPr>
          <w:i/>
          <w:sz w:val="24"/>
        </w:rPr>
        <w:t>multiple sources of uncertainty</w:t>
      </w:r>
      <w:r w:rsidRPr="007872D4">
        <w:rPr>
          <w:sz w:val="24"/>
        </w:rPr>
        <w:t xml:space="preserve"> in Table C-31, the agency </w:t>
      </w:r>
      <w:r>
        <w:rPr>
          <w:sz w:val="24"/>
        </w:rPr>
        <w:t>does not</w:t>
      </w:r>
      <w:r w:rsidRPr="007872D4">
        <w:rPr>
          <w:sz w:val="24"/>
        </w:rPr>
        <w:t xml:space="preserve"> qualitatively evaluate the effect </w:t>
      </w:r>
      <w:r>
        <w:rPr>
          <w:sz w:val="24"/>
        </w:rPr>
        <w:t xml:space="preserve">of these multiple uncertainties </w:t>
      </w:r>
      <w:r w:rsidRPr="007872D4">
        <w:rPr>
          <w:sz w:val="24"/>
        </w:rPr>
        <w:t xml:space="preserve">on risk estimates. </w:t>
      </w:r>
      <w:r>
        <w:rPr>
          <w:sz w:val="24"/>
        </w:rPr>
        <w:t>This is particular</w:t>
      </w:r>
      <w:r w:rsidR="00D47D18">
        <w:rPr>
          <w:sz w:val="24"/>
        </w:rPr>
        <w:t>ly</w:t>
      </w:r>
      <w:r>
        <w:rPr>
          <w:sz w:val="24"/>
        </w:rPr>
        <w:t xml:space="preserve"> concerning given that overall, while the magnitude of effect is “medium</w:t>
      </w:r>
      <w:r w:rsidR="00D47D18">
        <w:rPr>
          <w:sz w:val="24"/>
        </w:rPr>
        <w:t>,</w:t>
      </w:r>
      <w:r>
        <w:rPr>
          <w:sz w:val="24"/>
        </w:rPr>
        <w:t xml:space="preserve">” </w:t>
      </w:r>
      <w:r w:rsidRPr="007872D4">
        <w:rPr>
          <w:i/>
          <w:sz w:val="24"/>
        </w:rPr>
        <w:t>many of these acknowledged uncertainties occur simultaneously so would compound each other and result in high uncertainty overall</w:t>
      </w:r>
      <w:r>
        <w:rPr>
          <w:i/>
          <w:sz w:val="24"/>
        </w:rPr>
        <w:t xml:space="preserve">. </w:t>
      </w:r>
      <w:r w:rsidRPr="00C30403">
        <w:rPr>
          <w:sz w:val="24"/>
        </w:rPr>
        <w:t>For example,</w:t>
      </w:r>
      <w:r>
        <w:rPr>
          <w:i/>
          <w:sz w:val="24"/>
        </w:rPr>
        <w:t xml:space="preserve"> </w:t>
      </w:r>
      <w:r w:rsidRPr="00C30403">
        <w:rPr>
          <w:i/>
          <w:sz w:val="24"/>
        </w:rPr>
        <w:t>medium</w:t>
      </w:r>
      <w:r w:rsidRPr="00C30403">
        <w:rPr>
          <w:sz w:val="24"/>
        </w:rPr>
        <w:t xml:space="preserve"> simulation method uncertainty </w:t>
      </w:r>
      <w:r w:rsidRPr="00C30403">
        <w:rPr>
          <w:i/>
          <w:sz w:val="24"/>
        </w:rPr>
        <w:t>× medium/medium-high</w:t>
      </w:r>
      <w:r w:rsidRPr="00C30403">
        <w:rPr>
          <w:sz w:val="24"/>
        </w:rPr>
        <w:t xml:space="preserve"> population-level exposure uncertainty </w:t>
      </w:r>
      <w:r w:rsidRPr="00C30403">
        <w:rPr>
          <w:i/>
          <w:sz w:val="24"/>
        </w:rPr>
        <w:t>× medium-high</w:t>
      </w:r>
      <w:r w:rsidRPr="00C30403">
        <w:rPr>
          <w:sz w:val="24"/>
        </w:rPr>
        <w:t xml:space="preserve"> concentration-response function uncertainty </w:t>
      </w:r>
      <w:r w:rsidRPr="00C30403">
        <w:rPr>
          <w:i/>
          <w:sz w:val="24"/>
        </w:rPr>
        <w:t>× low-medium</w:t>
      </w:r>
      <w:r w:rsidRPr="00C30403">
        <w:rPr>
          <w:sz w:val="24"/>
        </w:rPr>
        <w:t xml:space="preserve"> co-pollutant confounding </w:t>
      </w:r>
      <w:r w:rsidRPr="00C30403">
        <w:rPr>
          <w:i/>
          <w:sz w:val="24"/>
        </w:rPr>
        <w:t>× low</w:t>
      </w:r>
      <w:r w:rsidRPr="00C30403">
        <w:rPr>
          <w:sz w:val="24"/>
        </w:rPr>
        <w:t xml:space="preserve"> PM composition/source uncertainty = </w:t>
      </w:r>
      <w:r w:rsidRPr="00C30403">
        <w:rPr>
          <w:i/>
          <w:sz w:val="24"/>
        </w:rPr>
        <w:t>very high total uncertainty</w:t>
      </w:r>
      <w:r w:rsidRPr="00C30403">
        <w:rPr>
          <w:sz w:val="24"/>
        </w:rPr>
        <w:t>.</w:t>
      </w:r>
    </w:p>
    <w:p w14:paraId="14F8D7F3" w14:textId="77777777" w:rsidR="009826C1" w:rsidRPr="00A40B03" w:rsidRDefault="009826C1" w:rsidP="004378B1">
      <w:pPr>
        <w:pStyle w:val="BodyText"/>
        <w:spacing w:before="240" w:after="0"/>
        <w:rPr>
          <w:sz w:val="24"/>
        </w:rPr>
      </w:pPr>
      <w:r w:rsidRPr="00A40B03">
        <w:rPr>
          <w:sz w:val="24"/>
        </w:rPr>
        <w:t xml:space="preserve">The discussion above highlights how </w:t>
      </w:r>
      <w:r w:rsidR="00C42206" w:rsidRPr="00A40B03">
        <w:rPr>
          <w:sz w:val="24"/>
        </w:rPr>
        <w:t>EPA</w:t>
      </w:r>
      <w:r w:rsidRPr="00A40B03">
        <w:rPr>
          <w:sz w:val="24"/>
        </w:rPr>
        <w:t xml:space="preserve">’s uncertainty characterization is woefully inadequate to support adopting new policy, particularly considering the total uncertainty that results from the numerous areas of uncertainties that compound each other but whose overall effects are unquantified and unknown. As such, the </w:t>
      </w:r>
      <w:r w:rsidR="00C42206" w:rsidRPr="00A40B03">
        <w:rPr>
          <w:sz w:val="24"/>
        </w:rPr>
        <w:t>EPA</w:t>
      </w:r>
      <w:r w:rsidRPr="00A40B03">
        <w:rPr>
          <w:sz w:val="24"/>
        </w:rPr>
        <w:t xml:space="preserve"> should retain the current NAAQS.</w:t>
      </w:r>
    </w:p>
    <w:p w14:paraId="298137B5" w14:textId="77777777" w:rsidR="006A0B2B" w:rsidRPr="00865B96" w:rsidRDefault="006A0B2B" w:rsidP="00865B96">
      <w:pPr>
        <w:pStyle w:val="Heading5"/>
      </w:pPr>
      <w:r w:rsidRPr="00865B96">
        <w:t>EPA should address uncertainty in use of models, study design, and confounders controlled for in individual studies.</w:t>
      </w:r>
    </w:p>
    <w:p w14:paraId="5D42D798" w14:textId="77777777" w:rsidR="006A0B2B" w:rsidRDefault="006A0B2B" w:rsidP="006A0B2B">
      <w:pPr>
        <w:pStyle w:val="BodyText"/>
        <w:spacing w:after="0"/>
      </w:pPr>
      <w:r w:rsidRPr="00720D91">
        <w:rPr>
          <w:sz w:val="24"/>
        </w:rPr>
        <w:t>As stated elsewhere in these and previous comments to the EPA, there are numerous areas of uncertainty within scientific studies that should be better considered and, if possible, quantified prior to using them to inform such an important standard. Exposure concentrations, either monitored or modeled, are subject to inherent variability. Health effect classifications by health care providers are similarly subject to mis-classification error and variability as changes occur in personnel, hospital, and insurance coding procedures</w:t>
      </w:r>
      <w:r w:rsidRPr="00720D91">
        <w:rPr>
          <w:rStyle w:val="FootnoteReference"/>
          <w:sz w:val="24"/>
        </w:rPr>
        <w:footnoteReference w:id="1"/>
      </w:r>
      <w:r w:rsidRPr="00720D91">
        <w:rPr>
          <w:sz w:val="24"/>
        </w:rPr>
        <w:t xml:space="preserve">. These variables can lead to distortions in resulting concentration-response functions. The EPA should also consider important uncertainties that arise due to differences in study design and conduct. The strength of the study </w:t>
      </w:r>
      <w:r>
        <w:t xml:space="preserve">design and how well the authors controlled for extraneous variables have great impact on the confidence in the </w:t>
      </w:r>
      <w:proofErr w:type="gramStart"/>
      <w:r>
        <w:t>final results</w:t>
      </w:r>
      <w:proofErr w:type="gramEnd"/>
      <w:r>
        <w:t xml:space="preserve">. </w:t>
      </w:r>
    </w:p>
    <w:p w14:paraId="6855CEF0" w14:textId="77777777" w:rsidR="006A0B2B" w:rsidRPr="0044329F" w:rsidRDefault="006A0B2B" w:rsidP="004378B1">
      <w:pPr>
        <w:pStyle w:val="BodyText"/>
        <w:spacing w:before="240" w:after="0"/>
      </w:pPr>
      <w:r>
        <w:t xml:space="preserve">Further, the EPA should be more thorough when evaluating the potential for confounding in individual studies. The only evaluation of confounding in the ISA is for co-pollutant confounding in some individual studies. </w:t>
      </w:r>
      <w:r w:rsidRPr="00D47922">
        <w:t>However, confounding is a much broader issue than a single co-pollutant.</w:t>
      </w:r>
      <w:r>
        <w:t xml:space="preserve"> </w:t>
      </w:r>
    </w:p>
    <w:p w14:paraId="3EF0BC88" w14:textId="77777777" w:rsidR="00BB1C4F" w:rsidRPr="00865B96" w:rsidRDefault="008A489D" w:rsidP="00865B96">
      <w:pPr>
        <w:pStyle w:val="Heading2"/>
        <w:spacing w:before="240"/>
      </w:pPr>
      <w:r w:rsidRPr="00865B96">
        <w:t>Biological Plausibility</w:t>
      </w:r>
      <w:r w:rsidR="00883058" w:rsidRPr="00865B96">
        <w:t xml:space="preserve"> and Causality</w:t>
      </w:r>
    </w:p>
    <w:p w14:paraId="347D8419" w14:textId="77777777" w:rsidR="004065C8" w:rsidRPr="00F974E8" w:rsidRDefault="004065C8" w:rsidP="004065C8">
      <w:pPr>
        <w:pStyle w:val="Heading5"/>
        <w:spacing w:before="0" w:after="0"/>
      </w:pPr>
      <w:r w:rsidRPr="00F974E8">
        <w:t>Epidemiology studies are inappropriate for the basis of causal determinations.</w:t>
      </w:r>
    </w:p>
    <w:p w14:paraId="44B0E0EE" w14:textId="5A655B02" w:rsidR="004065C8" w:rsidRDefault="004065C8" w:rsidP="00865B96">
      <w:pPr>
        <w:pStyle w:val="BodyText"/>
        <w:spacing w:before="240" w:after="0"/>
      </w:pPr>
      <w:r w:rsidRPr="00095C6F">
        <w:t>PM is quickly becoming one of the most densely-studied pollutants. There are numerous controlled human exposure studies, which are superior to epidemiologic or animal toxicology studies</w:t>
      </w:r>
      <w:r w:rsidR="00D01410">
        <w:t xml:space="preserve"> </w:t>
      </w:r>
      <w:r w:rsidR="00D01410" w:rsidRPr="00095C6F">
        <w:t>due to their d</w:t>
      </w:r>
      <w:r w:rsidR="00D01410">
        <w:t>esign, ability to control</w:t>
      </w:r>
      <w:r w:rsidR="00D01410" w:rsidRPr="00095C6F">
        <w:t xml:space="preserve"> many potential variables within the study</w:t>
      </w:r>
      <w:r w:rsidR="00D01410">
        <w:t>, and</w:t>
      </w:r>
      <w:r w:rsidR="00D01410" w:rsidRPr="00095C6F">
        <w:t xml:space="preserve"> use of the most relevant species</w:t>
      </w:r>
      <w:r w:rsidRPr="00095C6F">
        <w:t xml:space="preserve">. </w:t>
      </w:r>
      <w:r w:rsidR="00A53ABF">
        <w:t>T</w:t>
      </w:r>
      <w:r w:rsidR="00973A30">
        <w:t>he EPA has acknowledged that not all evidence is suitable for risk assessment and</w:t>
      </w:r>
      <w:r w:rsidR="00A53ABF">
        <w:t>, for example,</w:t>
      </w:r>
      <w:r w:rsidR="00973A30">
        <w:t xml:space="preserve"> deferred to evidence from controlled human exposure studies in the Risk and Exposure Assessments for ozone, sulfur dioxide, and carbon monoxide</w:t>
      </w:r>
      <w:r w:rsidR="00A53ABF">
        <w:t xml:space="preserve"> (</w:t>
      </w:r>
      <w:r w:rsidR="00C42206">
        <w:t>EPA</w:t>
      </w:r>
      <w:r w:rsidR="0078402C">
        <w:t xml:space="preserve"> </w:t>
      </w:r>
      <w:r w:rsidR="00E739D4">
        <w:t>2010</w:t>
      </w:r>
      <w:r w:rsidR="00C93863">
        <w:t>a</w:t>
      </w:r>
      <w:r w:rsidR="00E739D4">
        <w:t xml:space="preserve">, </w:t>
      </w:r>
      <w:r w:rsidR="0078402C">
        <w:t xml:space="preserve">2014, </w:t>
      </w:r>
      <w:r w:rsidR="00E739D4">
        <w:t>2018</w:t>
      </w:r>
      <w:r w:rsidR="00A53ABF">
        <w:t>)</w:t>
      </w:r>
      <w:r w:rsidR="00973A30">
        <w:t>. Consistent with these assessments</w:t>
      </w:r>
      <w:r w:rsidRPr="00095C6F">
        <w:t xml:space="preserve">, it makes little sense for EPA to dismiss the evidence from controlled human exposure studies in favor of epidemiology study findings. </w:t>
      </w:r>
      <w:r>
        <w:t xml:space="preserve">Due to ambient PM characteristics (especially its regional heterogeneity) and known exposure measurement errors, epidemiology study designs are particularly prone to </w:t>
      </w:r>
      <w:r w:rsidRPr="00095C6F">
        <w:t xml:space="preserve">errors and biases. </w:t>
      </w:r>
      <w:r w:rsidR="00720D91">
        <w:t xml:space="preserve"> </w:t>
      </w:r>
      <w:r w:rsidRPr="00095C6F">
        <w:t xml:space="preserve">Therefore, whenever possible, the EPA should rely on the most relevant data available to it. Epidemiology studies are better suited for hypothesis generation than for determinations of biological plausibility or causality. </w:t>
      </w:r>
    </w:p>
    <w:p w14:paraId="4AE657CE" w14:textId="1178F510" w:rsidR="009D4E53" w:rsidRPr="00865B96" w:rsidRDefault="009D4E53" w:rsidP="00865B96">
      <w:pPr>
        <w:pStyle w:val="Heading5"/>
      </w:pPr>
      <w:r w:rsidRPr="00720D91">
        <w:t>Limitations of the studies included in the PM ISA</w:t>
      </w:r>
      <w:r w:rsidR="004378B1" w:rsidRPr="00720D91">
        <w:t xml:space="preserve"> and PA</w:t>
      </w:r>
      <w:r w:rsidRPr="00720D91">
        <w:t xml:space="preserve"> need to be explicitly stated.</w:t>
      </w:r>
      <w:r w:rsidRPr="00865B96">
        <w:t xml:space="preserve"> </w:t>
      </w:r>
    </w:p>
    <w:p w14:paraId="01C3478A" w14:textId="77777777" w:rsidR="009D4E53" w:rsidRPr="009D4E53" w:rsidRDefault="009D4E53" w:rsidP="009D4E53">
      <w:pPr>
        <w:pStyle w:val="BodyText"/>
        <w:spacing w:after="0"/>
      </w:pPr>
      <w:r>
        <w:t xml:space="preserve">The EPA should consider the inclusion of limitations stated by authors in the studies cited in the PM ISA. The inclusions can be made within the body of the study discussion and/or in the table of study summaries presented in the document. </w:t>
      </w:r>
      <w:r w:rsidR="00375749">
        <w:t>I</w:t>
      </w:r>
      <w:r w:rsidRPr="009D4E53">
        <w:t xml:space="preserve">t is important to highlight the limitations of the studies so that other scientists who wish to review the document or rely on their results are aware of these limitations and can exercise due caution. </w:t>
      </w:r>
    </w:p>
    <w:p w14:paraId="3B9C3A79" w14:textId="63E8DB5E" w:rsidR="009D4E53" w:rsidRDefault="00DD4AB3" w:rsidP="00865B96">
      <w:pPr>
        <w:pStyle w:val="BodyText"/>
        <w:spacing w:before="240" w:after="0"/>
      </w:pPr>
      <w:r>
        <w:t>S</w:t>
      </w:r>
      <w:r w:rsidR="00991369">
        <w:t xml:space="preserve">tudy design flaws common in epidemiology studies (e.g., </w:t>
      </w:r>
      <w:r w:rsidR="009D4E53" w:rsidRPr="009D4E53">
        <w:t>the use of fixed</w:t>
      </w:r>
      <w:r w:rsidR="00991369">
        <w:t>-site ambient air</w:t>
      </w:r>
      <w:r w:rsidR="009D4E53" w:rsidRPr="009D4E53">
        <w:t xml:space="preserve"> monitors</w:t>
      </w:r>
      <w:r w:rsidR="00991369">
        <w:t>;</w:t>
      </w:r>
      <w:r w:rsidR="009D4E53" w:rsidRPr="009D4E53">
        <w:t xml:space="preserve"> geocoded addresses of study </w:t>
      </w:r>
      <w:r w:rsidR="00991369">
        <w:t>participan</w:t>
      </w:r>
      <w:r w:rsidR="009D4E53" w:rsidRPr="009D4E53">
        <w:t>ts</w:t>
      </w:r>
      <w:r w:rsidR="00991369">
        <w:t>;</w:t>
      </w:r>
      <w:r w:rsidR="009D4E53" w:rsidRPr="009D4E53">
        <w:t xml:space="preserve"> spatial interpolation techniques </w:t>
      </w:r>
      <w:r w:rsidR="00991369">
        <w:t>used to estimate</w:t>
      </w:r>
      <w:r w:rsidR="009D4E53" w:rsidRPr="009D4E53">
        <w:t xml:space="preserve"> personal breathing space/exposure of participants</w:t>
      </w:r>
      <w:r w:rsidR="00991369">
        <w:t>;</w:t>
      </w:r>
      <w:r w:rsidR="00FE7E82">
        <w:t xml:space="preserve"> participant recruitment</w:t>
      </w:r>
      <w:r w:rsidR="00991369">
        <w:t>,</w:t>
      </w:r>
      <w:r w:rsidR="00FE7E82">
        <w:t xml:space="preserve"> selection</w:t>
      </w:r>
      <w:r w:rsidR="00991369">
        <w:t>, compliance with study protocols, and loss to follow-up)</w:t>
      </w:r>
      <w:r w:rsidR="009D4E53" w:rsidRPr="009D4E53">
        <w:t xml:space="preserve"> </w:t>
      </w:r>
      <w:r w:rsidR="00991369" w:rsidRPr="009D4E53">
        <w:t>can be a</w:t>
      </w:r>
      <w:r w:rsidR="00991369">
        <w:t>n important</w:t>
      </w:r>
      <w:r w:rsidR="00991369" w:rsidRPr="009D4E53">
        <w:t xml:space="preserve"> potential source of bias and must be acknowledged as a limitation w</w:t>
      </w:r>
      <w:r w:rsidR="00991369">
        <w:t>h</w:t>
      </w:r>
      <w:r w:rsidR="00991369" w:rsidRPr="009D4E53">
        <w:t>ere appropriate</w:t>
      </w:r>
      <w:r w:rsidR="00F706D6" w:rsidRPr="00F706D6">
        <w:t xml:space="preserve"> and accounted for by EPA in the weighing of evidence</w:t>
      </w:r>
      <w:r w:rsidR="009D4E53" w:rsidRPr="009D4E53">
        <w:t>. In addition, the lack of patient-specific data and/or information on comorbidities may prohibit the proper evaluation of certain patient characteristics such as genetics, obesity, and disease specifics in many studies</w:t>
      </w:r>
      <w:r w:rsidR="00991369">
        <w:t>.</w:t>
      </w:r>
      <w:r w:rsidR="009D4E53" w:rsidRPr="009D4E53">
        <w:t xml:space="preserve"> </w:t>
      </w:r>
      <w:r w:rsidR="00991369">
        <w:t>The TCEQ strongly encourages the EPA to better communicate study limitations in order to demonstrate a careful, transparent review of the scientific evidence, as well as to encourage future research in areas of the greatest need.</w:t>
      </w:r>
    </w:p>
    <w:p w14:paraId="606FA334" w14:textId="7F76AF3C" w:rsidR="003D4F85" w:rsidRPr="004378B1" w:rsidRDefault="003D4F85" w:rsidP="004378B1">
      <w:pPr>
        <w:pStyle w:val="Heading2"/>
        <w:spacing w:before="240"/>
      </w:pPr>
      <w:r w:rsidRPr="004378B1">
        <w:t>Technical Comments Related to Respiratory Effects</w:t>
      </w:r>
    </w:p>
    <w:p w14:paraId="35D4E04D" w14:textId="77777777" w:rsidR="003D4F85" w:rsidRDefault="003D4F85" w:rsidP="003D4F85">
      <w:pPr>
        <w:pStyle w:val="Heading5"/>
        <w:spacing w:before="0" w:after="0"/>
      </w:pPr>
      <w:r>
        <w:t>The relationship between short-term PM</w:t>
      </w:r>
      <w:r w:rsidRPr="00F33057">
        <w:rPr>
          <w:sz w:val="24"/>
          <w:vertAlign w:val="subscript"/>
        </w:rPr>
        <w:t>2.5</w:t>
      </w:r>
      <w:r>
        <w:t xml:space="preserve"> (particularly on a mass basis) to respiratory hospital admissions (HAs) and emergency department (ED) visits should not be deemed to be “likely causal” due to significant scientific uncertainties.</w:t>
      </w:r>
    </w:p>
    <w:p w14:paraId="42ADBEB7" w14:textId="0CA10067" w:rsidR="003D4F85" w:rsidRDefault="003D4F85" w:rsidP="00865B96">
      <w:pPr>
        <w:pStyle w:val="BodyText"/>
        <w:spacing w:before="240" w:after="0"/>
      </w:pPr>
      <w:r>
        <w:t>The evidence provided in the ISA</w:t>
      </w:r>
      <w:r w:rsidR="00B04AF5">
        <w:t xml:space="preserve"> and PA</w:t>
      </w:r>
      <w:r>
        <w:t xml:space="preserve"> and in the available scientific literature is not </w:t>
      </w:r>
      <w:proofErr w:type="gramStart"/>
      <w:r>
        <w:t>sufficient</w:t>
      </w:r>
      <w:proofErr w:type="gramEnd"/>
      <w:r>
        <w:t xml:space="preserve"> to determine that </w:t>
      </w:r>
      <w:r w:rsidR="003760C7">
        <w:t>PM</w:t>
      </w:r>
      <w:r w:rsidR="003760C7" w:rsidRPr="00F33057">
        <w:rPr>
          <w:sz w:val="24"/>
          <w:vertAlign w:val="subscript"/>
        </w:rPr>
        <w:t>2.5</w:t>
      </w:r>
      <w:r>
        <w:t xml:space="preserve"> likely causes respiratory HAs and ED visits. The EPA’s framework states that to reach this causal determination, the pollutant must be shown to “result in health effects in studies where results are not explained by chance, confounding, and other biases” (EPA 2015). According to the available evidence, however, confounding and bias </w:t>
      </w:r>
      <w:r w:rsidRPr="00C81292">
        <w:rPr>
          <w:rStyle w:val="Emphasis"/>
        </w:rPr>
        <w:t>cannot</w:t>
      </w:r>
      <w:r>
        <w:t xml:space="preserve"> be ruled out. The significant heterogeneity (e.g., region, season, lag) in these respiratory HA and ED visit results suggests that PM mass may not actually be the causative pollutant. As such, the relationship of </w:t>
      </w:r>
      <w:r w:rsidR="003760C7">
        <w:t>PM</w:t>
      </w:r>
      <w:r w:rsidR="003760C7" w:rsidRPr="00F33057">
        <w:rPr>
          <w:sz w:val="24"/>
          <w:vertAlign w:val="subscript"/>
        </w:rPr>
        <w:t>2.5</w:t>
      </w:r>
      <w:r>
        <w:t xml:space="preserve"> mass to these effects should not be deemed to be “likely causal.” </w:t>
      </w:r>
    </w:p>
    <w:p w14:paraId="1E7A5D08" w14:textId="77777777" w:rsidR="003D4F85" w:rsidRPr="00865B96" w:rsidRDefault="003D4F85" w:rsidP="00865B96">
      <w:pPr>
        <w:pStyle w:val="Heading5"/>
      </w:pPr>
      <w:r w:rsidRPr="00865B96">
        <w:t>The findings cited by EPA do not provide evidence for reasoned biological plausibility for an independent effect of short-term PM</w:t>
      </w:r>
      <w:r w:rsidRPr="00F33057">
        <w:rPr>
          <w:sz w:val="24"/>
          <w:vertAlign w:val="subscript"/>
        </w:rPr>
        <w:t>2.5</w:t>
      </w:r>
      <w:r w:rsidRPr="00865B96">
        <w:t xml:space="preserve"> exposure on the exacerbation of chronic obstructive pulmonary disease (COPD). </w:t>
      </w:r>
    </w:p>
    <w:p w14:paraId="28B740E0" w14:textId="4A054193" w:rsidR="003D4F85" w:rsidRDefault="003D4F85" w:rsidP="003D4F85">
      <w:pPr>
        <w:pStyle w:val="BodyText"/>
        <w:spacing w:after="0"/>
      </w:pPr>
      <w:r>
        <w:t xml:space="preserve">While </w:t>
      </w:r>
      <w:r w:rsidR="00D80B31">
        <w:t xml:space="preserve">the 2018 PM </w:t>
      </w:r>
      <w:r>
        <w:t xml:space="preserve">ISA </w:t>
      </w:r>
      <w:r w:rsidR="00D80B31">
        <w:t xml:space="preserve">and the PM PA </w:t>
      </w:r>
      <w:r>
        <w:t>indicate that recent studies generally support an association between short-term increases in PM</w:t>
      </w:r>
      <w:r w:rsidRPr="00F33057">
        <w:rPr>
          <w:sz w:val="24"/>
          <w:vertAlign w:val="subscript"/>
        </w:rPr>
        <w:t>2.5</w:t>
      </w:r>
      <w:r>
        <w:t xml:space="preserve"> concentration and exacerbation of </w:t>
      </w:r>
      <w:r w:rsidR="00D80B31">
        <w:t>chronic obstructive pulmonary disease (</w:t>
      </w:r>
      <w:r>
        <w:t>COPD</w:t>
      </w:r>
      <w:r w:rsidR="00D80B31">
        <w:t>)</w:t>
      </w:r>
      <w:r>
        <w:t>, the ISA fails to provide evidence that the effects were related to PM</w:t>
      </w:r>
      <w:r w:rsidRPr="00F33057">
        <w:rPr>
          <w:sz w:val="24"/>
          <w:vertAlign w:val="subscript"/>
        </w:rPr>
        <w:t>2.5</w:t>
      </w:r>
      <w:r>
        <w:t xml:space="preserve"> mass or to provide adequate justification for the extrapolation of effects from high exposure concentrations to environmentally-relevant concentrations. In Section 5.1.4.4</w:t>
      </w:r>
      <w:r w:rsidR="00D80B31">
        <w:t xml:space="preserve"> of the PM ISA (EPA 2018)</w:t>
      </w:r>
      <w:r>
        <w:t xml:space="preserve">, the EPA admits that </w:t>
      </w:r>
      <w:proofErr w:type="spellStart"/>
      <w:r>
        <w:t>copollutant</w:t>
      </w:r>
      <w:proofErr w:type="spellEnd"/>
      <w:r>
        <w:t xml:space="preserve"> confounding was not adequately examined overall, making it unclear the extent to which the results can be attributed specifically to </w:t>
      </w:r>
      <w:r w:rsidR="003760C7">
        <w:t>PM</w:t>
      </w:r>
      <w:r w:rsidR="003760C7" w:rsidRPr="00F33057">
        <w:rPr>
          <w:sz w:val="24"/>
          <w:vertAlign w:val="subscript"/>
        </w:rPr>
        <w:t>2.5</w:t>
      </w:r>
      <w:r>
        <w:t xml:space="preserve"> exposure as opposed to other ambient pollutants. The </w:t>
      </w:r>
      <w:r w:rsidR="00D80B31">
        <w:t xml:space="preserve">PM </w:t>
      </w:r>
      <w:r>
        <w:t>ISA</w:t>
      </w:r>
      <w:r w:rsidR="00D80B31">
        <w:t xml:space="preserve"> and PA </w:t>
      </w:r>
      <w:r>
        <w:t xml:space="preserve">also fail to acknowledge the uncertainty in extrapolating results from high exposures to environmentally-relevant concentrations. </w:t>
      </w:r>
      <w:r w:rsidR="00D80B31">
        <w:t>In discussing</w:t>
      </w:r>
      <w:r>
        <w:t xml:space="preserve"> high dose animal studies,</w:t>
      </w:r>
      <w:r w:rsidR="00D80B31">
        <w:t xml:space="preserve"> the PM ISA and PA do</w:t>
      </w:r>
      <w:r>
        <w:t xml:space="preserve"> not discuss the clear lack of dose-response concordance between epidemiology associations at low concentrations and high-dose toxicity study phenomena. </w:t>
      </w:r>
    </w:p>
    <w:p w14:paraId="603D36ED" w14:textId="77777777" w:rsidR="003D4F85" w:rsidRPr="00865B96" w:rsidRDefault="003D4F85" w:rsidP="00865B96">
      <w:pPr>
        <w:pStyle w:val="Heading5"/>
      </w:pPr>
      <w:r w:rsidRPr="00865B96">
        <w:t>The most relevant data to biological plausibility in the inarguably most relevant species and subpopulation (controlled human exposure study data in asthmatics) support the lack of biological plausibility for PM</w:t>
      </w:r>
      <w:r w:rsidRPr="00F33057">
        <w:rPr>
          <w:sz w:val="24"/>
          <w:vertAlign w:val="subscript"/>
        </w:rPr>
        <w:t>2.5</w:t>
      </w:r>
      <w:r w:rsidRPr="00865B96">
        <w:t>-induced lung function decrements in populations with asthma, especially at environmentally-relevant concentrations.</w:t>
      </w:r>
    </w:p>
    <w:p w14:paraId="27711D0F" w14:textId="77777777" w:rsidR="003D4F85" w:rsidRDefault="003D4F85" w:rsidP="003D4F85">
      <w:pPr>
        <w:pStyle w:val="BodyText"/>
        <w:spacing w:after="0"/>
      </w:pPr>
      <w:r>
        <w:t xml:space="preserve">The EPA </w:t>
      </w:r>
      <w:r w:rsidR="00D80B31">
        <w:t xml:space="preserve">states in the PM PA </w:t>
      </w:r>
      <w:r>
        <w:t xml:space="preserve">that </w:t>
      </w:r>
      <w:r w:rsidR="00D80B31">
        <w:t xml:space="preserve">the few controlled </w:t>
      </w:r>
      <w:r>
        <w:t>exposure studies in humans</w:t>
      </w:r>
      <w:r w:rsidR="00D80B31">
        <w:t xml:space="preserve"> with or without COPD or asthma</w:t>
      </w:r>
      <w:r>
        <w:t xml:space="preserve">, inarguably </w:t>
      </w:r>
      <w:r w:rsidRPr="003211B3">
        <w:rPr>
          <w:rStyle w:val="Emphasis"/>
        </w:rPr>
        <w:t>the</w:t>
      </w:r>
      <w:r>
        <w:t xml:space="preserve"> most relevant species for evaluating the biological plausibility of similar effects in the United States population, </w:t>
      </w:r>
      <w:r w:rsidR="00D80B31">
        <w:t>PM</w:t>
      </w:r>
      <w:r w:rsidR="00D80B31" w:rsidRPr="00F33057">
        <w:rPr>
          <w:sz w:val="24"/>
          <w:vertAlign w:val="subscript"/>
        </w:rPr>
        <w:t>2.5</w:t>
      </w:r>
      <w:r w:rsidR="00D80B31">
        <w:t xml:space="preserve"> exposure mostly had no effect on respiratory symptoms, lung function, or pulmonary inflammation. </w:t>
      </w:r>
      <w:r>
        <w:t>Human controlled exposure study data should provide much more weight in a weight-of-evidence of the plausibility of effects in humans than animal studies</w:t>
      </w:r>
      <w:r w:rsidR="00D80B31">
        <w:t xml:space="preserve">. </w:t>
      </w:r>
      <w:r>
        <w:t>The available controlled exposure study evidence in humans and asthmatics</w:t>
      </w:r>
      <w:r w:rsidR="00C65C94">
        <w:t>/those with COPD</w:t>
      </w:r>
      <w:r>
        <w:t xml:space="preserve"> does not support the proposed biological plausibility discussion (especially at environmentally-relevant concentrations</w:t>
      </w:r>
      <w:r w:rsidR="00C65C94">
        <w:t xml:space="preserve">) or </w:t>
      </w:r>
      <w:r>
        <w:t>the causality determination in the ISA</w:t>
      </w:r>
      <w:r w:rsidR="00C65C94">
        <w:t xml:space="preserve"> and PA</w:t>
      </w:r>
      <w:r>
        <w:t xml:space="preserve">. </w:t>
      </w:r>
    </w:p>
    <w:p w14:paraId="39747EB3" w14:textId="77777777" w:rsidR="003D4F85" w:rsidRPr="00865B96" w:rsidRDefault="003D4F85" w:rsidP="00865B96">
      <w:pPr>
        <w:pStyle w:val="Heading5"/>
      </w:pPr>
      <w:r w:rsidRPr="00865B96">
        <w:t xml:space="preserve">There is a lack of </w:t>
      </w:r>
      <w:proofErr w:type="gramStart"/>
      <w:r w:rsidRPr="00865B96">
        <w:t>sufficient</w:t>
      </w:r>
      <w:proofErr w:type="gramEnd"/>
      <w:r w:rsidRPr="00865B96">
        <w:t xml:space="preserve"> evidence and dubious biological plausibility evidence for short- and long-term PM</w:t>
      </w:r>
      <w:r w:rsidRPr="00F33057">
        <w:rPr>
          <w:sz w:val="24"/>
          <w:vertAlign w:val="subscript"/>
        </w:rPr>
        <w:t>2.5</w:t>
      </w:r>
      <w:r w:rsidRPr="00865B96">
        <w:t xml:space="preserve"> causing respiratory effects in healthy humans (or even in sensitive subpopulations).</w:t>
      </w:r>
    </w:p>
    <w:p w14:paraId="452D5FFC" w14:textId="77777777" w:rsidR="003D4F85" w:rsidRDefault="003D4F85" w:rsidP="003D4F85">
      <w:pPr>
        <w:pStyle w:val="BodyText"/>
        <w:spacing w:after="0"/>
      </w:pPr>
      <w:r>
        <w:t>The ISA</w:t>
      </w:r>
      <w:r w:rsidR="00C65C94">
        <w:t xml:space="preserve"> (EPA 2018)</w:t>
      </w:r>
      <w:r>
        <w:t xml:space="preserve"> indicates that short- and long-term </w:t>
      </w:r>
      <w:r w:rsidR="003760C7">
        <w:t>PM</w:t>
      </w:r>
      <w:r w:rsidR="003760C7" w:rsidRPr="00F33057">
        <w:rPr>
          <w:sz w:val="24"/>
          <w:vertAlign w:val="subscript"/>
        </w:rPr>
        <w:t>2.5</w:t>
      </w:r>
      <w:r>
        <w:t xml:space="preserve"> exposures are inconsistently related to respiratory effects in healthy adults, evidence is limited for any given endpoint, confounding by </w:t>
      </w:r>
      <w:proofErr w:type="spellStart"/>
      <w:r>
        <w:t>copollutants</w:t>
      </w:r>
      <w:proofErr w:type="spellEnd"/>
      <w:r>
        <w:t xml:space="preserve"> is inadequately examined where supporting evidence does exist, and uncertainties remain as to whether </w:t>
      </w:r>
      <w:r w:rsidR="003760C7">
        <w:t>PM</w:t>
      </w:r>
      <w:r w:rsidR="003760C7" w:rsidRPr="00F33057">
        <w:rPr>
          <w:sz w:val="24"/>
          <w:vertAlign w:val="subscript"/>
        </w:rPr>
        <w:t>2.5</w:t>
      </w:r>
      <w:r>
        <w:t xml:space="preserve"> leads to overt respiratory effects in healthy populations. That “uncertainty remains” appears to be a gross understatement given the lack of </w:t>
      </w:r>
      <w:proofErr w:type="gramStart"/>
      <w:r>
        <w:t>sufficient</w:t>
      </w:r>
      <w:proofErr w:type="gramEnd"/>
      <w:r>
        <w:t xml:space="preserve"> evidence and dubious biological plausibility even in sensitive subpopulations (i.e., asthma and COPD exacerbation and lung function effects in asthmatics. </w:t>
      </w:r>
      <w:r w:rsidR="00C65C94">
        <w:t>The</w:t>
      </w:r>
      <w:r>
        <w:t xml:space="preserve"> evidence from controlled exposure studies in humans ha</w:t>
      </w:r>
      <w:r w:rsidR="00C65C94">
        <w:t>s</w:t>
      </w:r>
      <w:r>
        <w:t xml:space="preserve"> failed to observe any sufficiently supporting results. </w:t>
      </w:r>
      <w:proofErr w:type="gramStart"/>
      <w:r w:rsidR="00796A2C" w:rsidRPr="00796A2C">
        <w:t>With the exception of</w:t>
      </w:r>
      <w:proofErr w:type="gramEnd"/>
      <w:r w:rsidR="00796A2C" w:rsidRPr="00796A2C">
        <w:t xml:space="preserve"> findings consistent with inflammation and consequent oxidative stress following exposure to high concentrations of PM</w:t>
      </w:r>
      <w:r w:rsidR="00796A2C" w:rsidRPr="00F33057">
        <w:rPr>
          <w:sz w:val="24"/>
          <w:vertAlign w:val="subscript"/>
        </w:rPr>
        <w:t>2.5</w:t>
      </w:r>
      <w:r w:rsidR="00796A2C" w:rsidRPr="00796A2C">
        <w:t xml:space="preserve">, the discussion of biological plausibility is weak, does not demonstrate coherence, and partially relies on statistically significant differences which are not biologically meaningful and/or clinically significant. </w:t>
      </w:r>
      <w:r>
        <w:t>These negative human controlled exposure study findings for sensitive effects in the most relevant species are telling as to the lack of biological plausibility of similar effects in the United States population, especially since the exposure concentrations are still several times higher than the level of the current short-term NAAQS.</w:t>
      </w:r>
    </w:p>
    <w:p w14:paraId="78C820E8" w14:textId="77777777" w:rsidR="003D4F85" w:rsidRDefault="003D4F85" w:rsidP="00353D50">
      <w:pPr>
        <w:pStyle w:val="BodyText"/>
        <w:spacing w:before="240" w:after="0"/>
      </w:pPr>
      <w:r>
        <w:t>Animal toxicology studies should not be misconstrued to outweigh reliable controlled human exposure data. First, animal studies are conducted in much less relevant, non-target laboratory animal species as opposed to the highly relevant human in controlled human exposure studies. Additionally, animal studies have reported mixed results (and many have been conducted at environmentally-irrelevant high concentrations</w:t>
      </w:r>
      <w:r w:rsidR="00796A2C">
        <w:t xml:space="preserve">). </w:t>
      </w:r>
    </w:p>
    <w:p w14:paraId="30A366BC" w14:textId="77777777" w:rsidR="003D4F85" w:rsidRPr="00865B96" w:rsidRDefault="003D4F85" w:rsidP="00865B96">
      <w:pPr>
        <w:pStyle w:val="Heading5"/>
      </w:pPr>
      <w:r w:rsidRPr="00865B96">
        <w:t>The relationship between short-term PM</w:t>
      </w:r>
      <w:r w:rsidRPr="00F33057">
        <w:rPr>
          <w:sz w:val="24"/>
          <w:vertAlign w:val="subscript"/>
        </w:rPr>
        <w:t>2.5</w:t>
      </w:r>
      <w:r w:rsidRPr="00865B96">
        <w:t xml:space="preserve"> (particularly on a mass basis) to respiratory and respiratory cause-specific mortality and long-term PM</w:t>
      </w:r>
      <w:r w:rsidRPr="00F33057">
        <w:rPr>
          <w:sz w:val="24"/>
          <w:vertAlign w:val="subscript"/>
        </w:rPr>
        <w:t>2.5</w:t>
      </w:r>
      <w:r w:rsidRPr="00865B96">
        <w:t xml:space="preserve"> exposure to respiratory effects should not be deemed to be “likely causal” due to significant scientific uncertainties.</w:t>
      </w:r>
    </w:p>
    <w:p w14:paraId="07A8F6EB" w14:textId="77777777" w:rsidR="003D4F85" w:rsidRDefault="003D4F85" w:rsidP="003D4F85">
      <w:pPr>
        <w:pStyle w:val="BodyText"/>
        <w:spacing w:after="0"/>
      </w:pPr>
      <w:r>
        <w:t xml:space="preserve">As </w:t>
      </w:r>
      <w:r w:rsidR="00CD1344">
        <w:t>discussed in the TCEQ comments on the PM ISA, t</w:t>
      </w:r>
      <w:r>
        <w:t>here is still “limited coherence across epidemiologic and controlled human exposure studies</w:t>
      </w:r>
      <w:r w:rsidR="00CD1344">
        <w:t>,</w:t>
      </w:r>
      <w:r>
        <w:t xml:space="preserve">” which complicates the interpretation of the associations observed for short-term </w:t>
      </w:r>
      <w:r w:rsidR="003760C7">
        <w:t>PM</w:t>
      </w:r>
      <w:r w:rsidR="003760C7" w:rsidRPr="00F33057">
        <w:rPr>
          <w:sz w:val="24"/>
          <w:vertAlign w:val="subscript"/>
        </w:rPr>
        <w:t>2.5</w:t>
      </w:r>
      <w:r>
        <w:t xml:space="preserve"> exposure and respiratory mortality. Substantial uncertainty remains in both short- and long-term exposure studies regarding regional heterogeneity, seasonal heterogeneity, and exposure and measurement error, as well as inconsistency between studies, all of which limits any ability to draw defensible conclusions. Additionally, t</w:t>
      </w:r>
      <w:r w:rsidRPr="007F2B8A">
        <w:t xml:space="preserve">he </w:t>
      </w:r>
      <w:r>
        <w:t xml:space="preserve">lack </w:t>
      </w:r>
      <w:r w:rsidRPr="007F2B8A">
        <w:t>of biological plausibility</w:t>
      </w:r>
      <w:r>
        <w:t xml:space="preserve"> and </w:t>
      </w:r>
      <w:r w:rsidRPr="007F2B8A">
        <w:t xml:space="preserve">dose-response concordance preclude a “likely to be causal” determination for long-term </w:t>
      </w:r>
      <w:r w:rsidR="003760C7">
        <w:t>PM</w:t>
      </w:r>
      <w:r w:rsidR="003760C7" w:rsidRPr="00F33057">
        <w:rPr>
          <w:sz w:val="24"/>
          <w:vertAlign w:val="subscript"/>
        </w:rPr>
        <w:t>2.5</w:t>
      </w:r>
      <w:r w:rsidRPr="007F2B8A">
        <w:t xml:space="preserve"> exposure on a national, mass basis (e.g., ignoring composition/source and regional/seasonal differences) and respiratory effects</w:t>
      </w:r>
      <w:r>
        <w:t xml:space="preserve"> as well as </w:t>
      </w:r>
      <w:r w:rsidRPr="007F2B8A">
        <w:t>a scientifically credible nationwide, one-size fits all NAA</w:t>
      </w:r>
      <w:r>
        <w:t>QS</w:t>
      </w:r>
      <w:r w:rsidRPr="007F2B8A">
        <w:t xml:space="preserve">. </w:t>
      </w:r>
      <w:r>
        <w:t xml:space="preserve">Even </w:t>
      </w:r>
      <w:proofErr w:type="gramStart"/>
      <w:r>
        <w:t>assuming that</w:t>
      </w:r>
      <w:proofErr w:type="gramEnd"/>
      <w:r>
        <w:t xml:space="preserve"> </w:t>
      </w:r>
      <w:r w:rsidR="003760C7">
        <w:t>PM</w:t>
      </w:r>
      <w:r w:rsidR="003760C7" w:rsidRPr="00F33057">
        <w:rPr>
          <w:sz w:val="24"/>
          <w:vertAlign w:val="subscript"/>
        </w:rPr>
        <w:t>2.5</w:t>
      </w:r>
      <w:r>
        <w:t xml:space="preserve"> from certain sources is capable of causing increased mortality at environmentally-relevant concentrations, the inability to identify the causative </w:t>
      </w:r>
      <w:r w:rsidR="003760C7">
        <w:t>PM</w:t>
      </w:r>
      <w:r w:rsidR="003760C7" w:rsidRPr="00F33057">
        <w:rPr>
          <w:sz w:val="24"/>
          <w:vertAlign w:val="subscript"/>
        </w:rPr>
        <w:t>2.5</w:t>
      </w:r>
      <w:r>
        <w:t xml:space="preserve"> constituent(s) for any particular endpoint precludes identifying </w:t>
      </w:r>
      <w:r w:rsidR="003760C7">
        <w:t>PM</w:t>
      </w:r>
      <w:r w:rsidR="003760C7" w:rsidRPr="00F33057">
        <w:rPr>
          <w:sz w:val="24"/>
          <w:vertAlign w:val="subscript"/>
        </w:rPr>
        <w:t>2.5</w:t>
      </w:r>
      <w:r>
        <w:t xml:space="preserve"> mass as “likely causally related” to these effects. As such, the relationship of </w:t>
      </w:r>
      <w:r w:rsidR="003760C7">
        <w:t>PM</w:t>
      </w:r>
      <w:r w:rsidR="003760C7" w:rsidRPr="00F33057">
        <w:rPr>
          <w:sz w:val="24"/>
          <w:vertAlign w:val="subscript"/>
        </w:rPr>
        <w:t>2.5</w:t>
      </w:r>
      <w:r>
        <w:t xml:space="preserve"> mass to these effects should not be deemed to be “likely causal.”</w:t>
      </w:r>
    </w:p>
    <w:p w14:paraId="634AE1FE" w14:textId="08B94B01" w:rsidR="00DD4AB3" w:rsidRPr="00DD4AB3" w:rsidRDefault="00DD4AB3" w:rsidP="00CB5DDC">
      <w:pPr>
        <w:pStyle w:val="Heading2"/>
        <w:spacing w:before="240"/>
      </w:pPr>
      <w:r w:rsidRPr="00DD4AB3">
        <w:t xml:space="preserve">Technical Comments Related to </w:t>
      </w:r>
      <w:r>
        <w:t xml:space="preserve">Cardiovascular </w:t>
      </w:r>
      <w:r w:rsidRPr="00DD4AB3">
        <w:t>Effects</w:t>
      </w:r>
    </w:p>
    <w:p w14:paraId="0BB7E630" w14:textId="77777777" w:rsidR="003D4F85" w:rsidRPr="00865B96" w:rsidRDefault="003D4F85" w:rsidP="00865B96">
      <w:pPr>
        <w:pStyle w:val="Heading5"/>
      </w:pPr>
      <w:r w:rsidRPr="00865B96">
        <w:t>The relationship between short-term PM</w:t>
      </w:r>
      <w:r w:rsidRPr="00F33057">
        <w:rPr>
          <w:sz w:val="24"/>
          <w:vertAlign w:val="subscript"/>
        </w:rPr>
        <w:t>2.5</w:t>
      </w:r>
      <w:r w:rsidRPr="00865B96">
        <w:t xml:space="preserve"> (particularly on a mass basis) and cardiovascular effects should not be deemed to be “causal.”</w:t>
      </w:r>
    </w:p>
    <w:p w14:paraId="290675C3" w14:textId="030AEE8E" w:rsidR="001C1A84" w:rsidRPr="00F76E63" w:rsidRDefault="001C1A84" w:rsidP="001C1A84">
      <w:pPr>
        <w:pStyle w:val="BodyText"/>
        <w:spacing w:after="0"/>
      </w:pPr>
      <w:r w:rsidRPr="00F76E63">
        <w:t>The policy assessment of the cardiovascular effects of short-term PM</w:t>
      </w:r>
      <w:r w:rsidRPr="00F33057">
        <w:rPr>
          <w:sz w:val="24"/>
          <w:vertAlign w:val="subscript"/>
        </w:rPr>
        <w:t>2.5</w:t>
      </w:r>
      <w:r w:rsidRPr="00F76E63">
        <w:t xml:space="preserve"> exposure was based on the premise that short-term PM</w:t>
      </w:r>
      <w:r w:rsidRPr="00F33057">
        <w:rPr>
          <w:sz w:val="24"/>
          <w:vertAlign w:val="subscript"/>
        </w:rPr>
        <w:t>2.5</w:t>
      </w:r>
      <w:r w:rsidRPr="00F76E63">
        <w:t xml:space="preserve"> exposure was determined to be “causal” for cardiovascular effects as evaluated in the 2018 PM ISA. In the 2018 PM ISA, short-term PM</w:t>
      </w:r>
      <w:r w:rsidRPr="00F33057">
        <w:rPr>
          <w:sz w:val="24"/>
          <w:vertAlign w:val="subscript"/>
        </w:rPr>
        <w:t>2.5</w:t>
      </w:r>
      <w:r w:rsidRPr="00F76E63">
        <w:t xml:space="preserve"> exposure-related cardiovascular effects were described in several controlled human exposure, animal toxicological</w:t>
      </w:r>
      <w:r w:rsidR="0090394F">
        <w:t>,</w:t>
      </w:r>
      <w:r w:rsidRPr="00F76E63">
        <w:t xml:space="preserve"> and epidemiologic studies. However, an assessment of these studies revealed several inconsistencies in findings. </w:t>
      </w:r>
    </w:p>
    <w:p w14:paraId="77E087C3" w14:textId="77777777" w:rsidR="00B2720E" w:rsidRDefault="0090394F" w:rsidP="00392066">
      <w:pPr>
        <w:pStyle w:val="BodyText"/>
        <w:spacing w:after="0"/>
        <w:rPr>
          <w:sz w:val="24"/>
        </w:rPr>
      </w:pPr>
      <w:r>
        <w:t>The</w:t>
      </w:r>
      <w:r w:rsidR="001C1A84" w:rsidRPr="00F76E63">
        <w:t xml:space="preserve"> potential for chance, confounding, or bias cannot be completely ruled-out in the face of the numerous studies that failed to support a causal relationship between short-term </w:t>
      </w:r>
      <w:r>
        <w:t xml:space="preserve">exposure to </w:t>
      </w:r>
      <w:r w:rsidR="001C1A84" w:rsidRPr="00F76E63">
        <w:t>PM</w:t>
      </w:r>
      <w:r w:rsidR="001C1A84" w:rsidRPr="00F33057">
        <w:rPr>
          <w:sz w:val="24"/>
          <w:vertAlign w:val="subscript"/>
        </w:rPr>
        <w:t>2.5</w:t>
      </w:r>
      <w:r w:rsidR="001C1A84" w:rsidRPr="00F76E63">
        <w:t xml:space="preserve"> and cardiovascular health effects. </w:t>
      </w:r>
      <w:r w:rsidR="00B2720E">
        <w:t xml:space="preserve">In the responses to CASAC,  </w:t>
      </w:r>
      <w:r w:rsidR="00392066">
        <w:rPr>
          <w:sz w:val="24"/>
        </w:rPr>
        <w:t>Dr. D. Warner North also raise</w:t>
      </w:r>
      <w:r w:rsidR="00B2720E">
        <w:rPr>
          <w:sz w:val="24"/>
        </w:rPr>
        <w:t>s</w:t>
      </w:r>
      <w:r w:rsidR="00392066">
        <w:rPr>
          <w:sz w:val="24"/>
        </w:rPr>
        <w:t xml:space="preserve"> socioeconomic status as a possible confounder for cardiovascular disease</w:t>
      </w:r>
      <w:r w:rsidR="00B2720E">
        <w:rPr>
          <w:sz w:val="24"/>
        </w:rPr>
        <w:t xml:space="preserve"> in his comments (</w:t>
      </w:r>
      <w:hyperlink r:id="rId14" w:history="1">
        <w:r w:rsidR="00392066">
          <w:rPr>
            <w:rStyle w:val="Hyperlink"/>
          </w:rPr>
          <w:t>https://yosemite.epa.gov/sab/sabproduct.nsf/681D8D5ABE7AE4818525848100769D92/$File/North+Preliminary+Response+to+Questions+9-26-2019.pdf</w:t>
        </w:r>
      </w:hyperlink>
      <w:r w:rsidR="00392066">
        <w:rPr>
          <w:sz w:val="24"/>
        </w:rPr>
        <w:t>). For example:</w:t>
      </w:r>
    </w:p>
    <w:p w14:paraId="7BC54071" w14:textId="77777777" w:rsidR="00392066" w:rsidRDefault="00B2720E" w:rsidP="00A40B03">
      <w:pPr>
        <w:pStyle w:val="BodyText"/>
        <w:spacing w:after="0"/>
        <w:ind w:left="720"/>
        <w:rPr>
          <w:sz w:val="24"/>
        </w:rPr>
      </w:pPr>
      <w:r w:rsidRPr="00B2720E">
        <w:rPr>
          <w:sz w:val="24"/>
        </w:rPr>
        <w:t>Let’s consider cardiovascular effects disease rather than mortality as the end point. This is listed as</w:t>
      </w:r>
      <w:r>
        <w:rPr>
          <w:sz w:val="24"/>
        </w:rPr>
        <w:t xml:space="preserve"> </w:t>
      </w:r>
      <w:r w:rsidRPr="00B2720E">
        <w:rPr>
          <w:sz w:val="24"/>
        </w:rPr>
        <w:t>causal for PM</w:t>
      </w:r>
      <w:r w:rsidRPr="005F6D5A">
        <w:rPr>
          <w:sz w:val="24"/>
          <w:vertAlign w:val="subscript"/>
        </w:rPr>
        <w:t>2.5</w:t>
      </w:r>
      <w:r w:rsidRPr="00B2720E">
        <w:rPr>
          <w:sz w:val="24"/>
        </w:rPr>
        <w:t xml:space="preserve"> in Table 3-1, Might there be confounding by socioeconomic status here as well? Again,</w:t>
      </w:r>
      <w:r>
        <w:rPr>
          <w:sz w:val="24"/>
        </w:rPr>
        <w:t xml:space="preserve"> </w:t>
      </w:r>
      <w:r w:rsidRPr="00B2720E">
        <w:rPr>
          <w:sz w:val="24"/>
        </w:rPr>
        <w:t>a Google search leads to a large literature, none of which I have found referenced in the draft PA</w:t>
      </w:r>
      <w:r>
        <w:rPr>
          <w:sz w:val="24"/>
        </w:rPr>
        <w:t>.</w:t>
      </w:r>
    </w:p>
    <w:p w14:paraId="594631F3" w14:textId="77777777" w:rsidR="0090394F" w:rsidRPr="00720D91" w:rsidRDefault="001C1A84" w:rsidP="00865B96">
      <w:pPr>
        <w:pStyle w:val="BodyText"/>
        <w:spacing w:before="240" w:after="0"/>
        <w:rPr>
          <w:sz w:val="24"/>
        </w:rPr>
      </w:pPr>
      <w:r w:rsidRPr="00720D91">
        <w:rPr>
          <w:sz w:val="24"/>
        </w:rPr>
        <w:t>Major uncertainties from the 2018 PM ISA (US EPA 2018) included inconsistent results across disciplines with respect to the relationship between short-term exposure to PM</w:t>
      </w:r>
      <w:r w:rsidRPr="00720D91">
        <w:rPr>
          <w:sz w:val="24"/>
          <w:vertAlign w:val="subscript"/>
        </w:rPr>
        <w:t>2.5</w:t>
      </w:r>
      <w:r w:rsidRPr="00720D91">
        <w:rPr>
          <w:sz w:val="24"/>
        </w:rPr>
        <w:t xml:space="preserve"> and changes in blood pressure, markers of blood coagulation and systemic inflammation, and other changes in numerous cardiovascular functions. </w:t>
      </w:r>
    </w:p>
    <w:p w14:paraId="74F71DB4" w14:textId="77777777" w:rsidR="001C1A84" w:rsidRPr="00720D91" w:rsidRDefault="001C1A84" w:rsidP="00865B96">
      <w:pPr>
        <w:pStyle w:val="BodyText"/>
        <w:spacing w:before="240" w:after="0"/>
        <w:rPr>
          <w:bCs/>
          <w:sz w:val="24"/>
        </w:rPr>
      </w:pPr>
      <w:r w:rsidRPr="00720D91">
        <w:rPr>
          <w:sz w:val="24"/>
        </w:rPr>
        <w:t xml:space="preserve">For instance, </w:t>
      </w:r>
      <w:r w:rsidRPr="00720D91">
        <w:rPr>
          <w:bCs/>
          <w:sz w:val="24"/>
        </w:rPr>
        <w:t>a study by Talbott et al. (2014) examined the relationship between short-term PM</w:t>
      </w:r>
      <w:r w:rsidRPr="00720D91">
        <w:rPr>
          <w:bCs/>
          <w:sz w:val="24"/>
          <w:vertAlign w:val="subscript"/>
        </w:rPr>
        <w:t>2.5</w:t>
      </w:r>
      <w:r w:rsidRPr="00720D91">
        <w:rPr>
          <w:bCs/>
          <w:sz w:val="24"/>
        </w:rPr>
        <w:t xml:space="preserve"> exposure and hospital admissions for ischemic heart disease (IHD) in seven U.S. states consisting of Florida, Massachusetts, New Hampshire, New Jersey, New Mexico, New York, and Washington. The investigators reported positive associations in New Jersey and New York, but not in the other five states. Similarly, an administrative database study conducted across England and Wales found a reduction in risk of hospitalizations for IHD corresponding to increasing PM</w:t>
      </w:r>
      <w:r w:rsidRPr="00720D91">
        <w:rPr>
          <w:bCs/>
          <w:sz w:val="24"/>
          <w:vertAlign w:val="subscript"/>
        </w:rPr>
        <w:t>2.5</w:t>
      </w:r>
      <w:r w:rsidRPr="00720D91">
        <w:rPr>
          <w:bCs/>
          <w:sz w:val="24"/>
        </w:rPr>
        <w:t xml:space="preserve"> concentrations averaged over the previous 5 days (RR: 0.986, 95% CI: 0.975, 0.996), and in sensitivity analyses at lag 0−1 (</w:t>
      </w:r>
      <w:proofErr w:type="spellStart"/>
      <w:r w:rsidRPr="00720D91">
        <w:rPr>
          <w:bCs/>
          <w:sz w:val="24"/>
        </w:rPr>
        <w:t>Milojevic</w:t>
      </w:r>
      <w:proofErr w:type="spellEnd"/>
      <w:r w:rsidRPr="00720D91">
        <w:rPr>
          <w:bCs/>
          <w:sz w:val="24"/>
        </w:rPr>
        <w:t xml:space="preserve"> et al., 2014). Other inconsistent observations were apparent in single-city studies of the relationship between PM</w:t>
      </w:r>
      <w:r w:rsidRPr="00720D91">
        <w:rPr>
          <w:bCs/>
          <w:sz w:val="24"/>
          <w:vertAlign w:val="subscript"/>
        </w:rPr>
        <w:t>2.5</w:t>
      </w:r>
      <w:r w:rsidRPr="00720D91">
        <w:rPr>
          <w:bCs/>
          <w:sz w:val="24"/>
        </w:rPr>
        <w:t xml:space="preserve"> concentrations and IHD; one study observed a positive association in Denver, CO (Kim et al., 2012) while the other observed a null association in St. Louis, MO (</w:t>
      </w:r>
      <w:proofErr w:type="spellStart"/>
      <w:r w:rsidRPr="00720D91">
        <w:rPr>
          <w:bCs/>
          <w:sz w:val="24"/>
        </w:rPr>
        <w:t>Sarnat</w:t>
      </w:r>
      <w:proofErr w:type="spellEnd"/>
      <w:r w:rsidRPr="00720D91">
        <w:rPr>
          <w:bCs/>
          <w:sz w:val="24"/>
        </w:rPr>
        <w:t xml:space="preserve"> et al., 2015).</w:t>
      </w:r>
    </w:p>
    <w:p w14:paraId="473B67D8" w14:textId="62A902D1" w:rsidR="001C1A84" w:rsidRPr="00720D91" w:rsidRDefault="001C1A84" w:rsidP="001C1A84">
      <w:pPr>
        <w:pStyle w:val="BodyText"/>
        <w:spacing w:after="0"/>
        <w:rPr>
          <w:bCs/>
          <w:sz w:val="24"/>
        </w:rPr>
      </w:pPr>
      <w:r w:rsidRPr="00720D91">
        <w:rPr>
          <w:bCs/>
          <w:sz w:val="24"/>
        </w:rPr>
        <w:t xml:space="preserve">Likewise, </w:t>
      </w:r>
      <w:r w:rsidRPr="00720D91">
        <w:rPr>
          <w:sz w:val="24"/>
        </w:rPr>
        <w:t>an assessment of the relationship between short-term PM</w:t>
      </w:r>
      <w:r w:rsidRPr="00720D91">
        <w:rPr>
          <w:sz w:val="24"/>
          <w:vertAlign w:val="subscript"/>
        </w:rPr>
        <w:t>2.5</w:t>
      </w:r>
      <w:r w:rsidRPr="00720D91">
        <w:rPr>
          <w:sz w:val="24"/>
        </w:rPr>
        <w:t xml:space="preserve"> exposures and blood pressure using well-defined cohorts such as the Multi-Ethnic Study of Atherosclerosis (MESA), the Normative Aging Study (NAS), the Detroit Exposure and Aerosol Research Study (DEARS), and the Detroit Healthy Environments Partnership (DHEP) study, reported inconsistent results, with Hicken et al. (2013), </w:t>
      </w:r>
      <w:proofErr w:type="spellStart"/>
      <w:r w:rsidRPr="00720D91">
        <w:rPr>
          <w:sz w:val="24"/>
        </w:rPr>
        <w:t>Mordukhovich</w:t>
      </w:r>
      <w:proofErr w:type="spellEnd"/>
      <w:r w:rsidRPr="00720D91">
        <w:rPr>
          <w:sz w:val="24"/>
        </w:rPr>
        <w:t xml:space="preserve"> et al. (2009), and </w:t>
      </w:r>
      <w:proofErr w:type="spellStart"/>
      <w:r w:rsidRPr="00720D91">
        <w:rPr>
          <w:sz w:val="24"/>
        </w:rPr>
        <w:t>Wilker</w:t>
      </w:r>
      <w:proofErr w:type="spellEnd"/>
      <w:r w:rsidRPr="00720D91">
        <w:rPr>
          <w:sz w:val="24"/>
        </w:rPr>
        <w:t xml:space="preserve"> et al. (2009) reporting a lack of association in participants from the MESA or NAS with 1-hour to 1-month concentrations of PM</w:t>
      </w:r>
      <w:r w:rsidRPr="00720D91">
        <w:rPr>
          <w:sz w:val="24"/>
          <w:vertAlign w:val="subscript"/>
        </w:rPr>
        <w:t>2.5</w:t>
      </w:r>
      <w:r w:rsidRPr="00720D91">
        <w:rPr>
          <w:sz w:val="24"/>
        </w:rPr>
        <w:t xml:space="preserve">; while </w:t>
      </w:r>
      <w:proofErr w:type="spellStart"/>
      <w:r w:rsidRPr="00720D91">
        <w:rPr>
          <w:sz w:val="24"/>
        </w:rPr>
        <w:t>Dvonch</w:t>
      </w:r>
      <w:proofErr w:type="spellEnd"/>
      <w:r w:rsidRPr="00720D91">
        <w:rPr>
          <w:sz w:val="24"/>
        </w:rPr>
        <w:t xml:space="preserve"> et al. (2009), Hicken et al. (2014), and Brook et al. (2011) found some evidence of a relationship in studies conducted in Detroit. Controlled human exposure study conducted by </w:t>
      </w:r>
      <w:proofErr w:type="spellStart"/>
      <w:r w:rsidRPr="00720D91">
        <w:rPr>
          <w:sz w:val="24"/>
        </w:rPr>
        <w:t>Sivagangabalan</w:t>
      </w:r>
      <w:proofErr w:type="spellEnd"/>
      <w:r w:rsidRPr="00720D91">
        <w:rPr>
          <w:sz w:val="24"/>
        </w:rPr>
        <w:t xml:space="preserve"> et al. (2011) and Brook et al. (2009) reported that exposure to PM</w:t>
      </w:r>
      <w:r w:rsidRPr="00720D91">
        <w:rPr>
          <w:sz w:val="24"/>
          <w:vertAlign w:val="subscript"/>
        </w:rPr>
        <w:t>2.5</w:t>
      </w:r>
      <w:r w:rsidRPr="00720D91">
        <w:rPr>
          <w:sz w:val="24"/>
        </w:rPr>
        <w:t xml:space="preserve"> CAP did not result in a significant difference in heart rate (HR) relative to filtered air. Similarly, the FILTER-HF (</w:t>
      </w:r>
      <w:r w:rsidRPr="00720D91">
        <w:rPr>
          <w:sz w:val="24"/>
          <w:lang w:val="en"/>
        </w:rPr>
        <w:t>Randomized, Prospective, Double-Blind, Controlled Study of Heart Failure)</w:t>
      </w:r>
      <w:r w:rsidRPr="00720D91">
        <w:rPr>
          <w:sz w:val="24"/>
        </w:rPr>
        <w:t xml:space="preserve"> study, which examined whether introducing a respiratory filter could attenuate the cardiovascular effects of acute DE-exposure in patients with heart failure, observed that HR was not significantly changed following exposure to diesel exhaust (DE) or filtered DE when compared to clean air exposure. However, when the FILTER-HF patients exercised for 6 minutes, HR increased, but there were no significant differences with air pollution exposure with or without filtration (Vieira et al., 2016</w:t>
      </w:r>
      <w:r w:rsidR="008457C4" w:rsidRPr="00720D91">
        <w:rPr>
          <w:sz w:val="24"/>
        </w:rPr>
        <w:t>a</w:t>
      </w:r>
      <w:r w:rsidRPr="00720D91">
        <w:rPr>
          <w:sz w:val="24"/>
        </w:rPr>
        <w:t>). The study also found that time and frequency metrics of HRV were not significantly changed with exposure to DE or filtered DE when compared to clean air exposure (Vieira et al., 2016</w:t>
      </w:r>
      <w:r w:rsidR="008457C4" w:rsidRPr="00720D91">
        <w:rPr>
          <w:sz w:val="24"/>
        </w:rPr>
        <w:t>b</w:t>
      </w:r>
      <w:r w:rsidRPr="00720D91">
        <w:rPr>
          <w:sz w:val="24"/>
        </w:rPr>
        <w:t xml:space="preserve">). Also, an animal toxicological study conducted by </w:t>
      </w:r>
      <w:proofErr w:type="spellStart"/>
      <w:r w:rsidRPr="00720D91">
        <w:rPr>
          <w:bCs/>
          <w:sz w:val="24"/>
        </w:rPr>
        <w:t>Kurhanewicz</w:t>
      </w:r>
      <w:proofErr w:type="spellEnd"/>
      <w:r w:rsidRPr="00720D91">
        <w:rPr>
          <w:bCs/>
          <w:sz w:val="24"/>
        </w:rPr>
        <w:t xml:space="preserve"> et al. (2014) reported no change in HR after short-term exposure to PM</w:t>
      </w:r>
      <w:r w:rsidRPr="00720D91">
        <w:rPr>
          <w:bCs/>
          <w:sz w:val="24"/>
          <w:vertAlign w:val="subscript"/>
        </w:rPr>
        <w:t>2.5</w:t>
      </w:r>
      <w:r w:rsidRPr="00720D91">
        <w:rPr>
          <w:bCs/>
          <w:sz w:val="24"/>
        </w:rPr>
        <w:t xml:space="preserve"> in mice when compared to filtered air controls. </w:t>
      </w:r>
    </w:p>
    <w:p w14:paraId="4D0BA136" w14:textId="77777777" w:rsidR="001C1A84" w:rsidRPr="00720D91" w:rsidRDefault="001C1A84" w:rsidP="00865B96">
      <w:pPr>
        <w:pStyle w:val="BodyText"/>
        <w:spacing w:before="240" w:after="0"/>
        <w:rPr>
          <w:sz w:val="24"/>
        </w:rPr>
      </w:pPr>
      <w:r w:rsidRPr="00720D91">
        <w:rPr>
          <w:sz w:val="24"/>
        </w:rPr>
        <w:t>Furthermore, several studies have investigated the relationship between short-term PM</w:t>
      </w:r>
      <w:r w:rsidRPr="00720D91">
        <w:rPr>
          <w:sz w:val="24"/>
          <w:vertAlign w:val="subscript"/>
        </w:rPr>
        <w:t>2.5</w:t>
      </w:r>
      <w:r w:rsidRPr="00720D91">
        <w:rPr>
          <w:sz w:val="24"/>
        </w:rPr>
        <w:t xml:space="preserve"> exposure and systemic inflammation as well as oxidative stress. Liu et al. (2009) conducted a repeated measures study in a panel of older adults living in three nursing homes and found no evidence for associations between PM</w:t>
      </w:r>
      <w:r w:rsidRPr="00720D91">
        <w:rPr>
          <w:sz w:val="24"/>
          <w:vertAlign w:val="subscript"/>
        </w:rPr>
        <w:t>2.5</w:t>
      </w:r>
      <w:r w:rsidRPr="00720D91">
        <w:rPr>
          <w:sz w:val="24"/>
        </w:rPr>
        <w:t xml:space="preserve"> and markers for inflammation and oxidative stress. In a study of 115 postmenopausal women living in the Seattle, WA area, exposure to short-term PM</w:t>
      </w:r>
      <w:r w:rsidRPr="00720D91">
        <w:rPr>
          <w:sz w:val="24"/>
          <w:vertAlign w:val="subscript"/>
        </w:rPr>
        <w:t>2.5</w:t>
      </w:r>
      <w:r w:rsidRPr="00720D91">
        <w:rPr>
          <w:sz w:val="24"/>
        </w:rPr>
        <w:t xml:space="preserve"> was also not associated with various biomarkers of inflammation including CRP, IL6, or serum amyloid A (Williams et al., 2011). Similarly, in </w:t>
      </w:r>
      <w:r w:rsidRPr="00720D91">
        <w:rPr>
          <w:bCs/>
          <w:sz w:val="24"/>
        </w:rPr>
        <w:t>controlled human exposure Studies of short-term PM</w:t>
      </w:r>
      <w:r w:rsidRPr="00720D91">
        <w:rPr>
          <w:bCs/>
          <w:sz w:val="24"/>
          <w:vertAlign w:val="subscript"/>
        </w:rPr>
        <w:t>2.5</w:t>
      </w:r>
      <w:r w:rsidRPr="00720D91">
        <w:rPr>
          <w:bCs/>
          <w:sz w:val="24"/>
        </w:rPr>
        <w:t xml:space="preserve"> exposure and systemic inflammation and oxidative stress, </w:t>
      </w:r>
      <w:proofErr w:type="spellStart"/>
      <w:r w:rsidRPr="00720D91">
        <w:rPr>
          <w:bCs/>
          <w:sz w:val="24"/>
        </w:rPr>
        <w:t>Ghio</w:t>
      </w:r>
      <w:proofErr w:type="spellEnd"/>
      <w:r w:rsidRPr="00720D91">
        <w:rPr>
          <w:bCs/>
          <w:sz w:val="24"/>
        </w:rPr>
        <w:t xml:space="preserve"> et al., (2003) reported that</w:t>
      </w:r>
      <w:r w:rsidRPr="00720D91">
        <w:rPr>
          <w:sz w:val="24"/>
        </w:rPr>
        <w:t xml:space="preserve"> exposure to PM</w:t>
      </w:r>
      <w:r w:rsidRPr="00720D91">
        <w:rPr>
          <w:sz w:val="24"/>
          <w:vertAlign w:val="subscript"/>
        </w:rPr>
        <w:t>2.5</w:t>
      </w:r>
      <w:r w:rsidRPr="00720D91">
        <w:rPr>
          <w:sz w:val="24"/>
        </w:rPr>
        <w:t xml:space="preserve"> CAPs had no effect on biomarkers of inflammation such as IL-6, TNF-</w:t>
      </w:r>
      <w:r w:rsidRPr="00720D91">
        <w:rPr>
          <w:rFonts w:cs="Cambria"/>
          <w:sz w:val="24"/>
        </w:rPr>
        <w:t>α</w:t>
      </w:r>
      <w:r w:rsidRPr="00720D91">
        <w:rPr>
          <w:sz w:val="24"/>
        </w:rPr>
        <w:t>, WBC count, or C-Reactive Protein, while another study by Jr et al., (2003) found that exposure to PM</w:t>
      </w:r>
      <w:r w:rsidRPr="00720D91">
        <w:rPr>
          <w:sz w:val="24"/>
          <w:vertAlign w:val="subscript"/>
        </w:rPr>
        <w:t>2.5</w:t>
      </w:r>
      <w:r w:rsidRPr="00720D91">
        <w:rPr>
          <w:sz w:val="24"/>
        </w:rPr>
        <w:t xml:space="preserve"> CAPs did not affect serum amyloid A levels.</w:t>
      </w:r>
    </w:p>
    <w:p w14:paraId="523462FE" w14:textId="0CE554FC" w:rsidR="001C1A84" w:rsidRPr="00720D91" w:rsidRDefault="001C1A84" w:rsidP="00343E4E">
      <w:pPr>
        <w:pStyle w:val="BodyText"/>
        <w:spacing w:before="240" w:after="0"/>
        <w:rPr>
          <w:sz w:val="24"/>
        </w:rPr>
      </w:pPr>
      <w:r w:rsidRPr="00720D91">
        <w:rPr>
          <w:sz w:val="24"/>
        </w:rPr>
        <w:t xml:space="preserve">Thus, the ISA failed to meet the stipulated criteria for designation of the potential relationship as “causal.” The epidemiological evidence underpinning this determination can, in fact, be explained by plausible alternatives or even chance alone, particularly due to the extreme inconsistency in study results and uncertainty (especially with respect to exposure and measurement error). Additionally, there is a lack of biological plausibility. According to the EPA's own discussion on biological plausibility, short-term </w:t>
      </w:r>
      <w:proofErr w:type="spellStart"/>
      <w:r w:rsidRPr="00720D91">
        <w:rPr>
          <w:sz w:val="24"/>
        </w:rPr>
        <w:t>PM­induced</w:t>
      </w:r>
      <w:proofErr w:type="spellEnd"/>
      <w:r w:rsidRPr="00720D91">
        <w:rPr>
          <w:sz w:val="24"/>
        </w:rPr>
        <w:t xml:space="preserve"> health effects occur either through upregulation of the renin-angiotensin system or through inflammation or activation of nerves in the respiratory tract. The only evidence of an upregulation of the renin-angiotensin system is from two studies in rats. The proposed subsequent effect of this upregulation is increased blood pressure, for which the EPA states there is only limited and inconsistent evidence (US EPA 2018, page 6-50). The second proposed pathway (i.e., inflammation or activation of the respiratory tract) is commonly known to be a threshold response. Neither individual scientific studies nor the EPA have first determined that PM exposure at environmentally-relevant concentrations overwhelms the body's natural compensatory mechanisms in order to cause inflammation or nerve activation.</w:t>
      </w:r>
    </w:p>
    <w:p w14:paraId="3EC683F7" w14:textId="77777777" w:rsidR="00F9171D" w:rsidRPr="00865B96" w:rsidRDefault="00F9171D" w:rsidP="00865B96">
      <w:pPr>
        <w:pStyle w:val="Heading5"/>
      </w:pPr>
      <w:r w:rsidRPr="00720D91">
        <w:rPr>
          <w:sz w:val="24"/>
        </w:rPr>
        <w:t>The relationship between long-term PM</w:t>
      </w:r>
      <w:r w:rsidRPr="00720D91">
        <w:rPr>
          <w:sz w:val="24"/>
          <w:vertAlign w:val="subscript"/>
        </w:rPr>
        <w:t>2.5</w:t>
      </w:r>
      <w:r w:rsidRPr="00720D91">
        <w:rPr>
          <w:sz w:val="24"/>
        </w:rPr>
        <w:t xml:space="preserve"> and cardiovascular effects should not be deemed</w:t>
      </w:r>
      <w:r w:rsidRPr="00865B96">
        <w:t xml:space="preserve"> to be "causal."</w:t>
      </w:r>
    </w:p>
    <w:p w14:paraId="60C15E77" w14:textId="5881DD11" w:rsidR="00F9171D" w:rsidRPr="00720D91" w:rsidRDefault="00F9171D" w:rsidP="00F9171D">
      <w:pPr>
        <w:pStyle w:val="BodyText"/>
        <w:tabs>
          <w:tab w:val="left" w:pos="3060"/>
        </w:tabs>
        <w:spacing w:after="0"/>
        <w:rPr>
          <w:sz w:val="24"/>
        </w:rPr>
      </w:pPr>
      <w:r w:rsidRPr="00720D91">
        <w:rPr>
          <w:sz w:val="24"/>
        </w:rPr>
        <w:t>An assessment of the relationship between long-term PM</w:t>
      </w:r>
      <w:r w:rsidRPr="00720D91">
        <w:rPr>
          <w:sz w:val="24"/>
          <w:vertAlign w:val="subscript"/>
        </w:rPr>
        <w:t>2.5</w:t>
      </w:r>
      <w:r w:rsidRPr="00720D91">
        <w:rPr>
          <w:sz w:val="24"/>
        </w:rPr>
        <w:t xml:space="preserve"> exposure and cardiovascular effects showed that it did not meet the stipulated EPA’s causal framework for designation of the potential relationship as “causal</w:t>
      </w:r>
      <w:r w:rsidR="00596139" w:rsidRPr="00720D91">
        <w:rPr>
          <w:sz w:val="24"/>
        </w:rPr>
        <w:t>.</w:t>
      </w:r>
      <w:r w:rsidRPr="00720D91">
        <w:rPr>
          <w:sz w:val="24"/>
        </w:rPr>
        <w:t>” The level of inconsistency in findings among studies investigating the relationship between long-term PM</w:t>
      </w:r>
      <w:r w:rsidRPr="00720D91">
        <w:rPr>
          <w:sz w:val="24"/>
          <w:vertAlign w:val="subscript"/>
        </w:rPr>
        <w:t>2.5</w:t>
      </w:r>
      <w:r w:rsidRPr="00720D91">
        <w:rPr>
          <w:sz w:val="24"/>
        </w:rPr>
        <w:t xml:space="preserve"> exposure and cardiovascular effects points to a potential for chance, confounding, or bias. An assessment the 2018 PM ISA (EPA 2018) showed that several uncertainties and inconsistent results were reported in studies involving long term PM</w:t>
      </w:r>
      <w:r w:rsidRPr="00720D91">
        <w:rPr>
          <w:sz w:val="24"/>
          <w:vertAlign w:val="subscript"/>
        </w:rPr>
        <w:t>2.5</w:t>
      </w:r>
      <w:r w:rsidRPr="00720D91">
        <w:rPr>
          <w:sz w:val="24"/>
        </w:rPr>
        <w:t xml:space="preserve"> exposure and changes in blood pressure, markers of blood coagulation and systemic inflammation, as well as other indices of cardiovascular function </w:t>
      </w:r>
    </w:p>
    <w:p w14:paraId="7551DCDC" w14:textId="4F758940" w:rsidR="00F9171D" w:rsidRPr="00720D91" w:rsidRDefault="00B66FF0" w:rsidP="00F9171D">
      <w:pPr>
        <w:pStyle w:val="BodyText"/>
        <w:spacing w:after="0"/>
        <w:rPr>
          <w:sz w:val="24"/>
        </w:rPr>
      </w:pPr>
      <w:r w:rsidRPr="00720D91">
        <w:rPr>
          <w:sz w:val="24"/>
        </w:rPr>
        <w:t>The</w:t>
      </w:r>
      <w:r w:rsidR="00F9171D" w:rsidRPr="00720D91">
        <w:rPr>
          <w:sz w:val="24"/>
        </w:rPr>
        <w:t xml:space="preserve"> body of literature examining the relationship between long-term PM</w:t>
      </w:r>
      <w:r w:rsidR="00F9171D" w:rsidRPr="00720D91">
        <w:rPr>
          <w:sz w:val="24"/>
          <w:vertAlign w:val="subscript"/>
        </w:rPr>
        <w:t>2.5</w:t>
      </w:r>
      <w:r w:rsidR="00F9171D" w:rsidRPr="00720D91">
        <w:rPr>
          <w:sz w:val="24"/>
        </w:rPr>
        <w:t xml:space="preserve"> exposure and cardiovascular morbidities showed inconsistent results across studies, from positive to null or negative associations. Therefore, the available evidence failed to sufficiently justify the existence of a “causal” relationship.</w:t>
      </w:r>
    </w:p>
    <w:p w14:paraId="5A13E047" w14:textId="77777777" w:rsidR="00164C49" w:rsidRPr="00720D91" w:rsidRDefault="00164C49" w:rsidP="00164C49">
      <w:pPr>
        <w:pStyle w:val="Heading5"/>
        <w:rPr>
          <w:bCs/>
          <w:sz w:val="24"/>
        </w:rPr>
      </w:pPr>
      <w:r w:rsidRPr="00720D91">
        <w:rPr>
          <w:bCs/>
          <w:sz w:val="24"/>
        </w:rPr>
        <w:t>Shape of the Concentration-Response (C-R) function for PM</w:t>
      </w:r>
      <w:r w:rsidRPr="00720D91">
        <w:rPr>
          <w:bCs/>
          <w:sz w:val="24"/>
          <w:vertAlign w:val="subscript"/>
        </w:rPr>
        <w:t>2.5</w:t>
      </w:r>
      <w:r w:rsidRPr="00720D91">
        <w:rPr>
          <w:bCs/>
          <w:sz w:val="24"/>
        </w:rPr>
        <w:t xml:space="preserve"> exposure and cardiovascular effects</w:t>
      </w:r>
    </w:p>
    <w:p w14:paraId="478FF143" w14:textId="77777777" w:rsidR="00164C49" w:rsidRPr="00720D91" w:rsidRDefault="00164C49" w:rsidP="00164C49">
      <w:pPr>
        <w:pStyle w:val="BodyText"/>
        <w:spacing w:after="0"/>
        <w:rPr>
          <w:sz w:val="24"/>
        </w:rPr>
      </w:pPr>
      <w:r w:rsidRPr="00720D91">
        <w:rPr>
          <w:sz w:val="24"/>
        </w:rPr>
        <w:t>An important consideration in characterizing the association between PM</w:t>
      </w:r>
      <w:r w:rsidRPr="00720D91">
        <w:rPr>
          <w:sz w:val="24"/>
          <w:vertAlign w:val="subscript"/>
        </w:rPr>
        <w:t>2.5</w:t>
      </w:r>
      <w:r w:rsidRPr="00720D91">
        <w:rPr>
          <w:sz w:val="24"/>
        </w:rPr>
        <w:t xml:space="preserve"> exposure and cardiovascular morbidity/mortality is whether the concentration-response relationship is linear across the full concentration range that is encountered, or if there are concentration ranges where there are departures from linearity. The EPA failed to conduct a thorough empirical evaluation of alternatives to linearity and consider results from studies with cut-point analyses that provide some potential indication for nonlinearity in the relationship between PM</w:t>
      </w:r>
      <w:r w:rsidRPr="00720D91">
        <w:rPr>
          <w:sz w:val="24"/>
          <w:vertAlign w:val="subscript"/>
        </w:rPr>
        <w:t>2.5</w:t>
      </w:r>
      <w:r w:rsidRPr="00720D91">
        <w:rPr>
          <w:sz w:val="24"/>
        </w:rPr>
        <w:t xml:space="preserve"> exposure and cardiovascular diseases. </w:t>
      </w:r>
    </w:p>
    <w:p w14:paraId="78277FA3" w14:textId="77777777" w:rsidR="00164C49" w:rsidRPr="00720D91" w:rsidRDefault="00164C49" w:rsidP="00164C49">
      <w:pPr>
        <w:pStyle w:val="BodyText"/>
        <w:spacing w:before="240" w:after="0"/>
        <w:rPr>
          <w:sz w:val="24"/>
        </w:rPr>
      </w:pPr>
      <w:r w:rsidRPr="00720D91">
        <w:rPr>
          <w:sz w:val="24"/>
        </w:rPr>
        <w:t>For instance, two analyses of the C-</w:t>
      </w:r>
      <w:r w:rsidRPr="00720D91">
        <w:rPr>
          <w:i/>
          <w:iCs/>
          <w:sz w:val="24"/>
        </w:rPr>
        <w:t xml:space="preserve">R </w:t>
      </w:r>
      <w:r w:rsidRPr="00720D91">
        <w:rPr>
          <w:sz w:val="24"/>
        </w:rPr>
        <w:t>function for the relationship between PM</w:t>
      </w:r>
      <w:r w:rsidRPr="00720D91">
        <w:rPr>
          <w:sz w:val="24"/>
          <w:vertAlign w:val="subscript"/>
        </w:rPr>
        <w:t>2.5</w:t>
      </w:r>
      <w:r w:rsidRPr="00720D91">
        <w:rPr>
          <w:sz w:val="24"/>
        </w:rPr>
        <w:t xml:space="preserve"> and coronary artery calcification (CAC) are available. The first is a study by Kaufman et al. (2016), which generated a C-</w:t>
      </w:r>
      <w:r w:rsidRPr="00720D91">
        <w:rPr>
          <w:i/>
          <w:iCs/>
          <w:sz w:val="24"/>
        </w:rPr>
        <w:t xml:space="preserve">R </w:t>
      </w:r>
      <w:r w:rsidRPr="00720D91">
        <w:rPr>
          <w:sz w:val="24"/>
        </w:rPr>
        <w:t>curve using a thin plate regression spline with 5 degrees of freedom. The curve showed an increase in CAC with increasing exposure to PM</w:t>
      </w:r>
      <w:r w:rsidRPr="00720D91">
        <w:rPr>
          <w:sz w:val="24"/>
          <w:vertAlign w:val="subscript"/>
        </w:rPr>
        <w:t>2.5</w:t>
      </w:r>
      <w:r w:rsidRPr="00720D91">
        <w:rPr>
          <w:sz w:val="24"/>
        </w:rPr>
        <w:t xml:space="preserve"> and attenuation of the curve at higher concentrations. The second is a study by </w:t>
      </w:r>
      <w:proofErr w:type="spellStart"/>
      <w:r w:rsidRPr="00720D91">
        <w:rPr>
          <w:sz w:val="24"/>
        </w:rPr>
        <w:t>Dorans</w:t>
      </w:r>
      <w:proofErr w:type="spellEnd"/>
      <w:r w:rsidRPr="00720D91">
        <w:rPr>
          <w:sz w:val="24"/>
        </w:rPr>
        <w:t xml:space="preserve"> et al. (2016), which reported a deviation from linearity such that log transformed CAC increased with increasing PM</w:t>
      </w:r>
      <w:r w:rsidRPr="00720D91">
        <w:rPr>
          <w:sz w:val="24"/>
          <w:vertAlign w:val="subscript"/>
        </w:rPr>
        <w:t>2.5</w:t>
      </w:r>
      <w:r w:rsidRPr="00720D91">
        <w:rPr>
          <w:sz w:val="24"/>
        </w:rPr>
        <w:t xml:space="preserve"> concentrations at lower concentrations (&lt;~10</w:t>
      </w:r>
      <w:r w:rsidRPr="00720D91">
        <w:rPr>
          <w:rFonts w:cs="Cambria"/>
          <w:sz w:val="24"/>
        </w:rPr>
        <w:t>μ</w:t>
      </w:r>
      <w:r w:rsidRPr="00720D91">
        <w:rPr>
          <w:sz w:val="24"/>
        </w:rPr>
        <w:t>g/m</w:t>
      </w:r>
      <w:r w:rsidRPr="00DC004E">
        <w:rPr>
          <w:sz w:val="24"/>
          <w:vertAlign w:val="superscript"/>
        </w:rPr>
        <w:t>3</w:t>
      </w:r>
      <w:r w:rsidRPr="00720D91">
        <w:rPr>
          <w:sz w:val="24"/>
        </w:rPr>
        <w:t>) while log transformed CAC decreased with increasing PM</w:t>
      </w:r>
      <w:r w:rsidRPr="00720D91">
        <w:rPr>
          <w:sz w:val="24"/>
          <w:vertAlign w:val="subscript"/>
        </w:rPr>
        <w:t>2.5</w:t>
      </w:r>
      <w:r w:rsidRPr="00720D91">
        <w:rPr>
          <w:sz w:val="24"/>
        </w:rPr>
        <w:t xml:space="preserve"> at higher concentrations. A restricted cubic spline with 5 knots was used to examine the shape curve. The concentration and variability in the PM</w:t>
      </w:r>
      <w:r w:rsidRPr="00720D91">
        <w:rPr>
          <w:sz w:val="24"/>
          <w:vertAlign w:val="subscript"/>
        </w:rPr>
        <w:t>2.5</w:t>
      </w:r>
      <w:r w:rsidRPr="00720D91">
        <w:rPr>
          <w:sz w:val="24"/>
        </w:rPr>
        <w:t xml:space="preserve"> concentrations were notably lower in the Framingham Heart Study cohort compared to the MESA population.</w:t>
      </w:r>
    </w:p>
    <w:p w14:paraId="1E588A6D" w14:textId="77777777" w:rsidR="00164C49" w:rsidRPr="00720D91" w:rsidRDefault="00164C49" w:rsidP="00164C49">
      <w:pPr>
        <w:pStyle w:val="BodyText"/>
        <w:spacing w:after="0"/>
        <w:rPr>
          <w:sz w:val="24"/>
        </w:rPr>
      </w:pPr>
      <w:r w:rsidRPr="00720D91">
        <w:rPr>
          <w:sz w:val="24"/>
        </w:rPr>
        <w:t xml:space="preserve">Other evidence, which supported a </w:t>
      </w:r>
      <w:proofErr w:type="spellStart"/>
      <w:r w:rsidRPr="00720D91">
        <w:rPr>
          <w:sz w:val="24"/>
        </w:rPr>
        <w:t>supralinear</w:t>
      </w:r>
      <w:proofErr w:type="spellEnd"/>
      <w:r w:rsidRPr="00720D91">
        <w:rPr>
          <w:sz w:val="24"/>
        </w:rPr>
        <w:t xml:space="preserve"> concentration-response relationship came from a series of studies that looked at exposure to PM</w:t>
      </w:r>
      <w:r w:rsidRPr="00720D91">
        <w:rPr>
          <w:sz w:val="24"/>
          <w:vertAlign w:val="subscript"/>
        </w:rPr>
        <w:t>2.5</w:t>
      </w:r>
      <w:r w:rsidRPr="00720D91">
        <w:rPr>
          <w:sz w:val="24"/>
        </w:rPr>
        <w:t xml:space="preserve"> from both ambient air pollution and cigarette smoke (Pope et al., 2011; Pope et al., 2009). These studies concluded that by including the full concentration range of PM</w:t>
      </w:r>
      <w:r w:rsidRPr="00720D91">
        <w:rPr>
          <w:sz w:val="24"/>
          <w:vertAlign w:val="subscript"/>
        </w:rPr>
        <w:t>2.5</w:t>
      </w:r>
      <w:r w:rsidRPr="00720D91">
        <w:rPr>
          <w:sz w:val="24"/>
        </w:rPr>
        <w:t xml:space="preserve"> from both ambient air pollution and cigarette smoking, the relationship between long-term exposure and cardiovascular mortality cannot be adequately characterized as linear with no threshold. The concentration-response relationship is much steeper at lower PM</w:t>
      </w:r>
      <w:r w:rsidRPr="00720D91">
        <w:rPr>
          <w:sz w:val="24"/>
          <w:vertAlign w:val="subscript"/>
        </w:rPr>
        <w:t>2.5</w:t>
      </w:r>
      <w:r w:rsidRPr="00720D91">
        <w:rPr>
          <w:sz w:val="24"/>
        </w:rPr>
        <w:t xml:space="preserve"> concentrations (such as those due to ambient air pollution) compared to the higher concentrations associated with cigarette smoking. The above observations underscore the importance of considering C-R alternatives when characterizing the concentration-response relationship between long-term PM</w:t>
      </w:r>
      <w:r w:rsidRPr="00720D91">
        <w:rPr>
          <w:sz w:val="24"/>
          <w:vertAlign w:val="subscript"/>
        </w:rPr>
        <w:t>2.5</w:t>
      </w:r>
      <w:r w:rsidRPr="00720D91">
        <w:rPr>
          <w:sz w:val="24"/>
        </w:rPr>
        <w:t xml:space="preserve"> exposure and cardiovascular morbidity/mortality.</w:t>
      </w:r>
    </w:p>
    <w:p w14:paraId="45C334F7" w14:textId="77777777" w:rsidR="00164C49" w:rsidRPr="00865B96" w:rsidRDefault="00164C49" w:rsidP="00164C49">
      <w:pPr>
        <w:pStyle w:val="Heading5"/>
      </w:pPr>
      <w:r w:rsidRPr="00720D91">
        <w:rPr>
          <w:sz w:val="24"/>
        </w:rPr>
        <w:t>If the EPA is to rely on changes in a health endpoint, a discussion of the accuracy of the method</w:t>
      </w:r>
      <w:r w:rsidRPr="00865B96">
        <w:t xml:space="preserve"> used to measure that endpoint and the diagnostic accuracy of that endpoint to predict an eventual health condition should be provided.</w:t>
      </w:r>
    </w:p>
    <w:p w14:paraId="6CD3B880" w14:textId="77777777" w:rsidR="00164C49" w:rsidRDefault="00164C49" w:rsidP="00164C49">
      <w:pPr>
        <w:pStyle w:val="BodyText"/>
        <w:spacing w:after="0"/>
      </w:pPr>
      <w:r w:rsidRPr="00DC004E">
        <w:rPr>
          <w:sz w:val="24"/>
        </w:rPr>
        <w:t>Measurement error in evaluation of health endpoints should also be considered in the EPA’s analysis. For example, the EPA determined that there is some evidence that short-term PM</w:t>
      </w:r>
      <w:r w:rsidRPr="00DC004E">
        <w:rPr>
          <w:sz w:val="24"/>
          <w:vertAlign w:val="subscript"/>
        </w:rPr>
        <w:t>2.5</w:t>
      </w:r>
      <w:r w:rsidRPr="00DC004E">
        <w:rPr>
          <w:sz w:val="24"/>
        </w:rPr>
        <w:t xml:space="preserve"> exposure can result in blood pressure changes. Of the seven controlled human exposure studies reviewed by EPA, the amount of change in BP was only provided for two studies—Brook et al. (2009) with a maximum increase of 2.9 mm Hg and Tong et al. (2015) with a maximum increase of 2.1 mm Hg. The EPA neglected to note that most sphygmomanometers used in medical care have an accuracy of 3 mm Hg (</w:t>
      </w:r>
      <w:proofErr w:type="spellStart"/>
      <w:r w:rsidRPr="00DC004E">
        <w:rPr>
          <w:sz w:val="24"/>
        </w:rPr>
        <w:t>A’Court</w:t>
      </w:r>
      <w:proofErr w:type="spellEnd"/>
      <w:r w:rsidRPr="00DC004E">
        <w:rPr>
          <w:sz w:val="24"/>
        </w:rPr>
        <w:t xml:space="preserve"> et al. 2011). Further, the EPA provides little discussion as to the clinical relevance of these changes in blood pressure. The suggestion that any change in blood pressure, particularly at levels below those that can accurately be measured by an instrument, are potentially hazardous or lethal is without merit. The human body is well equipped to deal with minor fluctuations in blood pressure, which normally occur constantly throughout the day.</w:t>
      </w:r>
    </w:p>
    <w:p w14:paraId="6B1F2F91" w14:textId="2670CD48" w:rsidR="00164C49" w:rsidRDefault="00164C49" w:rsidP="00F9171D">
      <w:pPr>
        <w:pStyle w:val="BodyText"/>
        <w:spacing w:after="0"/>
        <w:rPr>
          <w:szCs w:val="20"/>
        </w:rPr>
      </w:pPr>
    </w:p>
    <w:p w14:paraId="50800385" w14:textId="77777777" w:rsidR="00164C49" w:rsidRPr="00F76E63" w:rsidRDefault="00164C49" w:rsidP="00F9171D">
      <w:pPr>
        <w:pStyle w:val="BodyText"/>
        <w:spacing w:after="0"/>
        <w:rPr>
          <w:szCs w:val="20"/>
        </w:rPr>
      </w:pPr>
    </w:p>
    <w:p w14:paraId="7CFB1AAC" w14:textId="77777777" w:rsidR="003D4F85" w:rsidRDefault="003D4F85" w:rsidP="003D4F85">
      <w:pPr>
        <w:pStyle w:val="Heading2"/>
        <w:spacing w:after="0"/>
      </w:pPr>
      <w:r>
        <w:t>Recommended Methodological Improvements</w:t>
      </w:r>
    </w:p>
    <w:p w14:paraId="2045C8EE" w14:textId="586970E1" w:rsidR="003D4F85" w:rsidRPr="00033BA2" w:rsidRDefault="003D4F85" w:rsidP="00F33057">
      <w:pPr>
        <w:pStyle w:val="BodyText"/>
        <w:spacing w:before="240" w:after="0"/>
        <w:rPr>
          <w:sz w:val="24"/>
        </w:rPr>
      </w:pPr>
      <w:r w:rsidRPr="00033BA2">
        <w:rPr>
          <w:sz w:val="24"/>
        </w:rPr>
        <w:t xml:space="preserve">The NAAQS review process is inarguably one of the most important and impactful processes conducted by the EPA. Therefore, it is important that the review be thorough and correct. As detailed in the comments above, the TCEQ suggests making the following refinements to the ISA method to increase transparency and scientific rigor in the development of the PM NAAQS. The EPA should adopt a more transparent systematic review-type assessment style. Study quality review </w:t>
      </w:r>
      <w:r w:rsidR="003C6DA1" w:rsidRPr="00033BA2">
        <w:rPr>
          <w:sz w:val="24"/>
        </w:rPr>
        <w:t xml:space="preserve">should be conducted </w:t>
      </w:r>
      <w:r w:rsidRPr="00033BA2">
        <w:rPr>
          <w:sz w:val="24"/>
        </w:rPr>
        <w:t>before studies are used in the causal determination analysis</w:t>
      </w:r>
      <w:r w:rsidR="003C6DA1" w:rsidRPr="00033BA2">
        <w:rPr>
          <w:sz w:val="24"/>
        </w:rPr>
        <w:t>.</w:t>
      </w:r>
    </w:p>
    <w:p w14:paraId="303A0F27" w14:textId="4E3B56BC" w:rsidR="003D4F85" w:rsidRPr="00033BA2" w:rsidRDefault="003D4F85" w:rsidP="003D4F85">
      <w:pPr>
        <w:pStyle w:val="ListBullet"/>
        <w:numPr>
          <w:ilvl w:val="0"/>
          <w:numId w:val="1"/>
        </w:numPr>
        <w:spacing w:after="0"/>
        <w:rPr>
          <w:sz w:val="24"/>
        </w:rPr>
      </w:pPr>
      <w:r w:rsidRPr="00033BA2">
        <w:rPr>
          <w:sz w:val="24"/>
        </w:rPr>
        <w:t>As with other NAAQS dev</w:t>
      </w:r>
      <w:bookmarkStart w:id="5" w:name="_GoBack"/>
      <w:bookmarkEnd w:id="5"/>
      <w:r w:rsidRPr="00033BA2">
        <w:rPr>
          <w:sz w:val="24"/>
        </w:rPr>
        <w:t xml:space="preserve">elopments, the </w:t>
      </w:r>
      <w:r w:rsidR="00F33057" w:rsidRPr="00033BA2">
        <w:rPr>
          <w:sz w:val="24"/>
        </w:rPr>
        <w:t xml:space="preserve">TCEQ recommends </w:t>
      </w:r>
      <w:r w:rsidRPr="00033BA2">
        <w:rPr>
          <w:sz w:val="24"/>
        </w:rPr>
        <w:t>EPA should focus on controlled human exposure studies</w:t>
      </w:r>
      <w:r w:rsidR="008229E8" w:rsidRPr="00033BA2">
        <w:rPr>
          <w:sz w:val="24"/>
        </w:rPr>
        <w:t xml:space="preserve"> whenever possible</w:t>
      </w:r>
      <w:r w:rsidRPr="00033BA2">
        <w:rPr>
          <w:sz w:val="24"/>
        </w:rPr>
        <w:t xml:space="preserve"> and use epidemiologic and animal toxicology studies as support.</w:t>
      </w:r>
    </w:p>
    <w:p w14:paraId="3E6429F4" w14:textId="4F417622" w:rsidR="003D4F85" w:rsidRPr="00033BA2" w:rsidRDefault="003D4F85" w:rsidP="003D4F85">
      <w:pPr>
        <w:pStyle w:val="ListBullet"/>
        <w:numPr>
          <w:ilvl w:val="0"/>
          <w:numId w:val="1"/>
        </w:numPr>
        <w:spacing w:after="0"/>
        <w:rPr>
          <w:sz w:val="24"/>
        </w:rPr>
      </w:pPr>
      <w:r w:rsidRPr="00033BA2">
        <w:rPr>
          <w:sz w:val="24"/>
        </w:rPr>
        <w:t xml:space="preserve">The </w:t>
      </w:r>
      <w:r w:rsidR="00F33057" w:rsidRPr="00033BA2">
        <w:rPr>
          <w:sz w:val="24"/>
        </w:rPr>
        <w:t xml:space="preserve">TCEQ recommends </w:t>
      </w:r>
      <w:r w:rsidRPr="00033BA2">
        <w:rPr>
          <w:sz w:val="24"/>
        </w:rPr>
        <w:t>EPA should create a more scientifically defensible threshold for causal determinations.</w:t>
      </w:r>
    </w:p>
    <w:p w14:paraId="23AA46DD" w14:textId="67A8CF58" w:rsidR="003D4F85" w:rsidRPr="00033BA2" w:rsidRDefault="003D4F85" w:rsidP="003D4F85">
      <w:pPr>
        <w:pStyle w:val="ListBullet"/>
        <w:numPr>
          <w:ilvl w:val="0"/>
          <w:numId w:val="1"/>
        </w:numPr>
        <w:spacing w:after="0"/>
        <w:rPr>
          <w:sz w:val="24"/>
        </w:rPr>
      </w:pPr>
      <w:r w:rsidRPr="00033BA2">
        <w:rPr>
          <w:sz w:val="24"/>
        </w:rPr>
        <w:t xml:space="preserve">The </w:t>
      </w:r>
      <w:r w:rsidR="00F33057" w:rsidRPr="00033BA2">
        <w:rPr>
          <w:sz w:val="24"/>
        </w:rPr>
        <w:t xml:space="preserve">TCEQ recommends </w:t>
      </w:r>
      <w:r w:rsidRPr="00033BA2">
        <w:rPr>
          <w:sz w:val="24"/>
        </w:rPr>
        <w:t xml:space="preserve">EPA should attempt to </w:t>
      </w:r>
      <w:r w:rsidR="008229E8" w:rsidRPr="00033BA2">
        <w:rPr>
          <w:sz w:val="24"/>
        </w:rPr>
        <w:t xml:space="preserve">quantitatively </w:t>
      </w:r>
      <w:r w:rsidRPr="00033BA2">
        <w:rPr>
          <w:sz w:val="24"/>
        </w:rPr>
        <w:t xml:space="preserve">account for uncertainty instead of disregarding </w:t>
      </w:r>
      <w:r w:rsidR="00D821B7" w:rsidRPr="00033BA2">
        <w:rPr>
          <w:sz w:val="24"/>
        </w:rPr>
        <w:t>it in</w:t>
      </w:r>
      <w:r w:rsidRPr="00033BA2">
        <w:rPr>
          <w:sz w:val="24"/>
        </w:rPr>
        <w:t xml:space="preserve"> the final analysis.</w:t>
      </w:r>
      <w:r w:rsidR="00D821B7" w:rsidRPr="00033BA2">
        <w:rPr>
          <w:sz w:val="24"/>
        </w:rPr>
        <w:t xml:space="preserve"> Qualitatively discussing or considering uncertainty is wholly insufficient in this analysis </w:t>
      </w:r>
      <w:proofErr w:type="gramStart"/>
      <w:r w:rsidR="00D821B7" w:rsidRPr="00033BA2">
        <w:rPr>
          <w:sz w:val="24"/>
        </w:rPr>
        <w:t>in particular due</w:t>
      </w:r>
      <w:proofErr w:type="gramEnd"/>
      <w:r w:rsidR="00D821B7" w:rsidRPr="00033BA2">
        <w:rPr>
          <w:sz w:val="24"/>
        </w:rPr>
        <w:t xml:space="preserve"> to available quantitative uncertainty analysis methods, the wealth of data available on this topic that is directly relevant to PM, and the importance of this standard.</w:t>
      </w:r>
    </w:p>
    <w:p w14:paraId="566D623A" w14:textId="31B97F86" w:rsidR="003D4F85" w:rsidRPr="00033BA2" w:rsidRDefault="003D4F85" w:rsidP="003D4F85">
      <w:pPr>
        <w:pStyle w:val="ListBullet"/>
        <w:numPr>
          <w:ilvl w:val="0"/>
          <w:numId w:val="1"/>
        </w:numPr>
        <w:spacing w:after="0"/>
        <w:rPr>
          <w:sz w:val="24"/>
        </w:rPr>
      </w:pPr>
      <w:r w:rsidRPr="00033BA2">
        <w:rPr>
          <w:sz w:val="24"/>
        </w:rPr>
        <w:t xml:space="preserve">The </w:t>
      </w:r>
      <w:r w:rsidR="00F33057" w:rsidRPr="00033BA2">
        <w:rPr>
          <w:sz w:val="24"/>
        </w:rPr>
        <w:t xml:space="preserve">TCEQ recommends </w:t>
      </w:r>
      <w:r w:rsidRPr="00033BA2">
        <w:rPr>
          <w:sz w:val="24"/>
        </w:rPr>
        <w:t xml:space="preserve">EPA re-evaluate whether the available scientific evidence </w:t>
      </w:r>
      <w:r w:rsidR="00A62302" w:rsidRPr="00033BA2">
        <w:rPr>
          <w:sz w:val="24"/>
        </w:rPr>
        <w:t xml:space="preserve">and impact of heterogeneity </w:t>
      </w:r>
      <w:r w:rsidRPr="00033BA2">
        <w:rPr>
          <w:sz w:val="24"/>
        </w:rPr>
        <w:t>justifies a national standard.</w:t>
      </w:r>
    </w:p>
    <w:p w14:paraId="4511C0D5" w14:textId="77777777" w:rsidR="00F07D55" w:rsidRPr="002413D0" w:rsidRDefault="00F07D55" w:rsidP="00F07D55">
      <w:pPr>
        <w:pStyle w:val="ListBullet"/>
        <w:numPr>
          <w:ilvl w:val="0"/>
          <w:numId w:val="0"/>
        </w:numPr>
        <w:spacing w:after="0"/>
        <w:ind w:left="360"/>
      </w:pPr>
    </w:p>
    <w:p w14:paraId="3D5E3206" w14:textId="77777777" w:rsidR="003D4F85" w:rsidRDefault="003D4F85" w:rsidP="00A705B9">
      <w:pPr>
        <w:pStyle w:val="Heading2"/>
        <w:spacing w:before="240" w:after="0"/>
        <w:rPr>
          <w:szCs w:val="22"/>
        </w:rPr>
      </w:pPr>
      <w:r>
        <w:t>References Cited in These Comments</w:t>
      </w:r>
      <w:r>
        <w:rPr>
          <w:szCs w:val="22"/>
        </w:rPr>
        <w:t xml:space="preserve"> </w:t>
      </w:r>
    </w:p>
    <w:p w14:paraId="68289CFE" w14:textId="20C3DF8A" w:rsidR="008F2566" w:rsidRDefault="008F2566" w:rsidP="00C97C81">
      <w:pPr>
        <w:pStyle w:val="BodyText"/>
      </w:pPr>
    </w:p>
    <w:p w14:paraId="23269FFC" w14:textId="172810E3" w:rsidR="007D46D2" w:rsidRDefault="007D46D2" w:rsidP="008F2566">
      <w:pPr>
        <w:pStyle w:val="BodyText"/>
        <w:spacing w:after="240"/>
        <w:ind w:left="720" w:hanging="720"/>
        <w:rPr>
          <w:sz w:val="24"/>
        </w:rPr>
      </w:pPr>
      <w:proofErr w:type="spellStart"/>
      <w:r w:rsidRPr="007D46D2">
        <w:rPr>
          <w:sz w:val="24"/>
        </w:rPr>
        <w:t>A'Court</w:t>
      </w:r>
      <w:proofErr w:type="spellEnd"/>
      <w:r w:rsidRPr="007D46D2">
        <w:rPr>
          <w:sz w:val="24"/>
        </w:rPr>
        <w:t xml:space="preserve"> C, Stevens R, Sanders S, Ward A, McManus R, Heneghan C. (2011). Type and accuracy of sphygmomanometers in primary care: a cross-sectional observational study. Br J Gen </w:t>
      </w:r>
      <w:proofErr w:type="spellStart"/>
      <w:r w:rsidRPr="007D46D2">
        <w:rPr>
          <w:sz w:val="24"/>
        </w:rPr>
        <w:t>Pract</w:t>
      </w:r>
      <w:proofErr w:type="spellEnd"/>
      <w:r w:rsidRPr="007D46D2">
        <w:rPr>
          <w:sz w:val="24"/>
        </w:rPr>
        <w:t>. ;61(590</w:t>
      </w:r>
      <w:proofErr w:type="gramStart"/>
      <w:r w:rsidRPr="007D46D2">
        <w:rPr>
          <w:sz w:val="24"/>
        </w:rPr>
        <w:t>):e</w:t>
      </w:r>
      <w:proofErr w:type="gramEnd"/>
      <w:r w:rsidRPr="007D46D2">
        <w:rPr>
          <w:sz w:val="24"/>
        </w:rPr>
        <w:t>598-603.</w:t>
      </w:r>
    </w:p>
    <w:p w14:paraId="45AA1246" w14:textId="539F5903" w:rsidR="008F2566" w:rsidRDefault="008F2566" w:rsidP="008F2566">
      <w:pPr>
        <w:pStyle w:val="BodyText"/>
        <w:spacing w:after="240"/>
        <w:ind w:left="720" w:hanging="720"/>
        <w:rPr>
          <w:sz w:val="24"/>
        </w:rPr>
      </w:pPr>
      <w:r w:rsidRPr="0057707C">
        <w:rPr>
          <w:sz w:val="24"/>
        </w:rPr>
        <w:t>Baxter, L</w:t>
      </w:r>
      <w:r>
        <w:rPr>
          <w:sz w:val="24"/>
        </w:rPr>
        <w:t>;</w:t>
      </w:r>
      <w:r w:rsidRPr="0057707C">
        <w:rPr>
          <w:sz w:val="24"/>
        </w:rPr>
        <w:t xml:space="preserve"> Crooks, J</w:t>
      </w:r>
      <w:r>
        <w:rPr>
          <w:sz w:val="24"/>
        </w:rPr>
        <w:t>;</w:t>
      </w:r>
      <w:r w:rsidRPr="0057707C">
        <w:rPr>
          <w:sz w:val="24"/>
        </w:rPr>
        <w:t xml:space="preserve"> Sacks, J</w:t>
      </w:r>
      <w:r>
        <w:rPr>
          <w:sz w:val="24"/>
        </w:rPr>
        <w:t>.</w:t>
      </w:r>
      <w:r w:rsidRPr="0057707C">
        <w:rPr>
          <w:sz w:val="24"/>
        </w:rPr>
        <w:t xml:space="preserve"> (2017). "Influence of exposure differences on city-to-city</w:t>
      </w:r>
      <w:r>
        <w:rPr>
          <w:sz w:val="24"/>
        </w:rPr>
        <w:t xml:space="preserve"> </w:t>
      </w:r>
      <w:r w:rsidRPr="0057707C">
        <w:rPr>
          <w:sz w:val="24"/>
        </w:rPr>
        <w:t>heterogeneity in PM2.5-mortality associations in US cities." Environmental Health: A Global Access Science Source 16(1):1.</w:t>
      </w:r>
    </w:p>
    <w:p w14:paraId="288BEDC9" w14:textId="77777777" w:rsidR="008F2566" w:rsidRDefault="008F2566" w:rsidP="008F2566">
      <w:pPr>
        <w:pStyle w:val="BodyText"/>
        <w:spacing w:after="240"/>
        <w:ind w:left="720" w:hanging="720"/>
        <w:rPr>
          <w:sz w:val="24"/>
        </w:rPr>
      </w:pPr>
      <w:r w:rsidRPr="003E4329">
        <w:rPr>
          <w:sz w:val="24"/>
        </w:rPr>
        <w:t xml:space="preserve">Baxter, K; Dionisio, K; Pradeep, P; </w:t>
      </w:r>
      <w:proofErr w:type="spellStart"/>
      <w:r w:rsidRPr="003E4329">
        <w:rPr>
          <w:sz w:val="24"/>
        </w:rPr>
        <w:t>Rappazzol</w:t>
      </w:r>
      <w:proofErr w:type="spellEnd"/>
      <w:r w:rsidRPr="003E4329">
        <w:rPr>
          <w:sz w:val="24"/>
        </w:rPr>
        <w:t xml:space="preserve">, K; </w:t>
      </w:r>
      <w:proofErr w:type="spellStart"/>
      <w:r w:rsidRPr="003E4329">
        <w:rPr>
          <w:sz w:val="24"/>
        </w:rPr>
        <w:t>Neas</w:t>
      </w:r>
      <w:proofErr w:type="spellEnd"/>
      <w:r w:rsidRPr="003E4329">
        <w:rPr>
          <w:sz w:val="24"/>
        </w:rPr>
        <w:t xml:space="preserve">, L. (2018). Human exposure factors as potential determinants of the heterogeneity in city-specific associations between PM2.5 and mortality. Journal of Exposure Science &amp; Environmental Epidemiology, </w:t>
      </w:r>
      <w:hyperlink r:id="rId15" w:history="1">
        <w:r w:rsidRPr="00961075">
          <w:rPr>
            <w:rStyle w:val="Hyperlink"/>
            <w:sz w:val="24"/>
          </w:rPr>
          <w:t>https://doi.org/10.1038/s41370-018-0080-7</w:t>
        </w:r>
      </w:hyperlink>
      <w:r w:rsidRPr="003E4329">
        <w:rPr>
          <w:sz w:val="24"/>
        </w:rPr>
        <w:t>.</w:t>
      </w:r>
    </w:p>
    <w:p w14:paraId="52D96873" w14:textId="3688C058" w:rsidR="005659F7" w:rsidRDefault="008F2566" w:rsidP="005659F7">
      <w:pPr>
        <w:pStyle w:val="BodyText"/>
        <w:spacing w:after="240"/>
        <w:ind w:left="720" w:hanging="720"/>
        <w:rPr>
          <w:sz w:val="24"/>
        </w:rPr>
      </w:pPr>
      <w:r w:rsidRPr="009E7525">
        <w:rPr>
          <w:sz w:val="24"/>
        </w:rPr>
        <w:t>Bell, M</w:t>
      </w:r>
      <w:r>
        <w:rPr>
          <w:sz w:val="24"/>
        </w:rPr>
        <w:t>;</w:t>
      </w:r>
      <w:r w:rsidRPr="009E7525">
        <w:rPr>
          <w:sz w:val="24"/>
        </w:rPr>
        <w:t xml:space="preserve"> et al.</w:t>
      </w:r>
      <w:r>
        <w:rPr>
          <w:sz w:val="24"/>
        </w:rPr>
        <w:t xml:space="preserve"> (2008).</w:t>
      </w:r>
      <w:r w:rsidRPr="009E7525">
        <w:rPr>
          <w:sz w:val="24"/>
        </w:rPr>
        <w:t xml:space="preserve"> Seasonal and regional short-term effects of fine particles on hospital admissions in 202 US counties, 1999-2005. Am J Epidemiol 168(11):1301-10.</w:t>
      </w:r>
    </w:p>
    <w:p w14:paraId="5C2FA063" w14:textId="318AB501" w:rsidR="008457C4" w:rsidRDefault="008457C4" w:rsidP="005659F7">
      <w:pPr>
        <w:pStyle w:val="BodyText"/>
        <w:spacing w:after="240"/>
        <w:ind w:left="720" w:hanging="720"/>
        <w:rPr>
          <w:sz w:val="24"/>
        </w:rPr>
      </w:pPr>
      <w:r w:rsidRPr="008457C4">
        <w:rPr>
          <w:sz w:val="24"/>
        </w:rPr>
        <w:t xml:space="preserve">Brook RD, </w:t>
      </w:r>
      <w:proofErr w:type="spellStart"/>
      <w:r w:rsidRPr="008457C4">
        <w:rPr>
          <w:sz w:val="24"/>
        </w:rPr>
        <w:t>Urch</w:t>
      </w:r>
      <w:proofErr w:type="spellEnd"/>
      <w:r w:rsidRPr="008457C4">
        <w:rPr>
          <w:sz w:val="24"/>
        </w:rPr>
        <w:t xml:space="preserve"> B, </w:t>
      </w:r>
      <w:proofErr w:type="spellStart"/>
      <w:r w:rsidRPr="008457C4">
        <w:rPr>
          <w:sz w:val="24"/>
        </w:rPr>
        <w:t>Dvonch</w:t>
      </w:r>
      <w:proofErr w:type="spellEnd"/>
      <w:r w:rsidRPr="008457C4">
        <w:rPr>
          <w:sz w:val="24"/>
        </w:rPr>
        <w:t xml:space="preserve"> JT, Bard RL, Speck M, et al.</w:t>
      </w:r>
      <w:r>
        <w:rPr>
          <w:sz w:val="24"/>
        </w:rPr>
        <w:t xml:space="preserve"> (2009).</w:t>
      </w:r>
      <w:r w:rsidRPr="008457C4">
        <w:rPr>
          <w:sz w:val="24"/>
        </w:rPr>
        <w:t xml:space="preserve"> Insights into the mechanisms and mediators of the effects of air pollution exposure on blood pressure and vascular function in healthy humans. Hypertension. 2009; 54: 659-667.</w:t>
      </w:r>
    </w:p>
    <w:p w14:paraId="1A8EFE98" w14:textId="5AF09FCF" w:rsidR="008457C4" w:rsidRDefault="008457C4" w:rsidP="005659F7">
      <w:pPr>
        <w:pStyle w:val="BodyText"/>
        <w:spacing w:after="240"/>
        <w:ind w:left="720" w:hanging="720"/>
        <w:rPr>
          <w:sz w:val="24"/>
        </w:rPr>
      </w:pPr>
      <w:r w:rsidRPr="008457C4">
        <w:rPr>
          <w:sz w:val="24"/>
        </w:rPr>
        <w:t xml:space="preserve">Brook, RD; Bard, RL; Burnett, RT; Shin, HH; Vette, A; Croghan, C; Phillips, M; </w:t>
      </w:r>
      <w:proofErr w:type="spellStart"/>
      <w:r w:rsidRPr="008457C4">
        <w:rPr>
          <w:sz w:val="24"/>
        </w:rPr>
        <w:t>Rodes</w:t>
      </w:r>
      <w:proofErr w:type="spellEnd"/>
      <w:r w:rsidRPr="008457C4">
        <w:rPr>
          <w:sz w:val="24"/>
        </w:rPr>
        <w:t xml:space="preserve">, C; Thornburg, J; Williams, R. (2011). Differences in blood pressure and vascular responses associated with ambient fine particulate matter exposures measured at the personal versus community level. </w:t>
      </w:r>
      <w:proofErr w:type="spellStart"/>
      <w:r w:rsidRPr="008457C4">
        <w:rPr>
          <w:sz w:val="24"/>
        </w:rPr>
        <w:t>Occup</w:t>
      </w:r>
      <w:proofErr w:type="spellEnd"/>
      <w:r w:rsidRPr="008457C4">
        <w:rPr>
          <w:sz w:val="24"/>
        </w:rPr>
        <w:t xml:space="preserve"> Environ Med 68: 224-230.</w:t>
      </w:r>
    </w:p>
    <w:p w14:paraId="4FD4E916" w14:textId="0D24ABA4" w:rsidR="008F2566" w:rsidRDefault="008F2566" w:rsidP="005659F7">
      <w:pPr>
        <w:pStyle w:val="BodyText"/>
        <w:spacing w:after="240"/>
        <w:ind w:left="720" w:hanging="720"/>
        <w:rPr>
          <w:sz w:val="24"/>
        </w:rPr>
      </w:pPr>
      <w:proofErr w:type="spellStart"/>
      <w:r w:rsidRPr="004610CD">
        <w:rPr>
          <w:sz w:val="24"/>
        </w:rPr>
        <w:t>Cakmak</w:t>
      </w:r>
      <w:proofErr w:type="spellEnd"/>
      <w:r>
        <w:rPr>
          <w:sz w:val="24"/>
        </w:rPr>
        <w:t>,</w:t>
      </w:r>
      <w:r w:rsidRPr="004610CD">
        <w:rPr>
          <w:sz w:val="24"/>
        </w:rPr>
        <w:t xml:space="preserve"> S</w:t>
      </w:r>
      <w:r>
        <w:rPr>
          <w:sz w:val="24"/>
        </w:rPr>
        <w:t>;</w:t>
      </w:r>
      <w:r w:rsidRPr="004610CD">
        <w:rPr>
          <w:sz w:val="24"/>
        </w:rPr>
        <w:t xml:space="preserve"> </w:t>
      </w:r>
      <w:proofErr w:type="spellStart"/>
      <w:r w:rsidRPr="004610CD">
        <w:rPr>
          <w:sz w:val="24"/>
        </w:rPr>
        <w:t>Hebbern</w:t>
      </w:r>
      <w:proofErr w:type="spellEnd"/>
      <w:r>
        <w:rPr>
          <w:sz w:val="24"/>
        </w:rPr>
        <w:t>,</w:t>
      </w:r>
      <w:r w:rsidRPr="004610CD">
        <w:rPr>
          <w:sz w:val="24"/>
        </w:rPr>
        <w:t xml:space="preserve"> C</w:t>
      </w:r>
      <w:r>
        <w:rPr>
          <w:sz w:val="24"/>
        </w:rPr>
        <w:t>;</w:t>
      </w:r>
      <w:r w:rsidRPr="004610CD">
        <w:rPr>
          <w:sz w:val="24"/>
        </w:rPr>
        <w:t xml:space="preserve"> Pinault</w:t>
      </w:r>
      <w:r>
        <w:rPr>
          <w:sz w:val="24"/>
        </w:rPr>
        <w:t>,</w:t>
      </w:r>
      <w:r w:rsidRPr="004610CD">
        <w:rPr>
          <w:sz w:val="24"/>
        </w:rPr>
        <w:t xml:space="preserve"> L</w:t>
      </w:r>
      <w:r>
        <w:rPr>
          <w:sz w:val="24"/>
        </w:rPr>
        <w:t>;</w:t>
      </w:r>
      <w:r w:rsidRPr="004610CD">
        <w:rPr>
          <w:sz w:val="24"/>
        </w:rPr>
        <w:t xml:space="preserve"> Lavigne</w:t>
      </w:r>
      <w:r>
        <w:rPr>
          <w:sz w:val="24"/>
        </w:rPr>
        <w:t>,</w:t>
      </w:r>
      <w:r w:rsidRPr="004610CD">
        <w:rPr>
          <w:sz w:val="24"/>
        </w:rPr>
        <w:t xml:space="preserve"> E</w:t>
      </w:r>
      <w:r>
        <w:rPr>
          <w:sz w:val="24"/>
        </w:rPr>
        <w:t>;</w:t>
      </w:r>
      <w:r w:rsidRPr="004610CD">
        <w:rPr>
          <w:sz w:val="24"/>
        </w:rPr>
        <w:t xml:space="preserve"> </w:t>
      </w:r>
      <w:proofErr w:type="spellStart"/>
      <w:r w:rsidRPr="004610CD">
        <w:rPr>
          <w:sz w:val="24"/>
        </w:rPr>
        <w:t>Vanos</w:t>
      </w:r>
      <w:proofErr w:type="spellEnd"/>
      <w:r>
        <w:rPr>
          <w:sz w:val="24"/>
        </w:rPr>
        <w:t>,</w:t>
      </w:r>
      <w:r w:rsidRPr="004610CD">
        <w:rPr>
          <w:sz w:val="24"/>
        </w:rPr>
        <w:t xml:space="preserve"> J</w:t>
      </w:r>
      <w:r>
        <w:rPr>
          <w:sz w:val="24"/>
        </w:rPr>
        <w:t>;</w:t>
      </w:r>
      <w:r w:rsidRPr="004610CD">
        <w:rPr>
          <w:sz w:val="24"/>
        </w:rPr>
        <w:t xml:space="preserve"> et al. </w:t>
      </w:r>
      <w:r>
        <w:rPr>
          <w:sz w:val="24"/>
        </w:rPr>
        <w:t xml:space="preserve">(2018). </w:t>
      </w:r>
      <w:r w:rsidRPr="004610CD">
        <w:rPr>
          <w:sz w:val="24"/>
        </w:rPr>
        <w:t>Associations between long-term PM2.5 and ozone exposure and mortality in the Canadian Census Health and Environment Cohort (CANCHEC), by spatial synoptic classification zone. Environment International</w:t>
      </w:r>
      <w:r>
        <w:rPr>
          <w:sz w:val="24"/>
        </w:rPr>
        <w:t xml:space="preserve"> </w:t>
      </w:r>
      <w:r w:rsidRPr="004610CD">
        <w:rPr>
          <w:sz w:val="24"/>
        </w:rPr>
        <w:t>111:200-211.</w:t>
      </w:r>
    </w:p>
    <w:p w14:paraId="35FED83F" w14:textId="77777777" w:rsidR="008F2566" w:rsidRDefault="008F2566" w:rsidP="008F2566">
      <w:pPr>
        <w:ind w:left="720" w:hanging="720"/>
      </w:pPr>
    </w:p>
    <w:p w14:paraId="0CBAA7E8" w14:textId="25490248" w:rsidR="008F2566" w:rsidRDefault="008F2566" w:rsidP="008F2566">
      <w:pPr>
        <w:ind w:left="720" w:hanging="720"/>
      </w:pPr>
      <w:r w:rsidRPr="00A71BF6">
        <w:t>Chartered Clean Air Scientific Advisory Committee (CASAC</w:t>
      </w:r>
      <w:r>
        <w:t xml:space="preserve">). (2019). </w:t>
      </w:r>
      <w:r w:rsidRPr="00EE1DF0">
        <w:t>Review of the EPA’s Integrated Science Assessment for Particulate Matter (External Review Draft – October 2018)</w:t>
      </w:r>
      <w:r>
        <w:t xml:space="preserve">. </w:t>
      </w:r>
      <w:hyperlink r:id="rId16" w:history="1">
        <w:r w:rsidRPr="00961075">
          <w:rPr>
            <w:rStyle w:val="Hyperlink"/>
          </w:rPr>
          <w:t>https://yosemite.epa.gov/sab/sabproduct.nsf/LookupWebReportsLastMonthCASAC/6CBCBBC3025E13B4852583D90047B352/$File/EPA-CASAC-19-002+.pdf</w:t>
        </w:r>
      </w:hyperlink>
      <w:r>
        <w:t>.</w:t>
      </w:r>
    </w:p>
    <w:p w14:paraId="7CE94C75" w14:textId="6D992AD9" w:rsidR="00FB443C" w:rsidRDefault="00FB443C" w:rsidP="008F2566">
      <w:pPr>
        <w:ind w:left="720" w:hanging="720"/>
      </w:pPr>
    </w:p>
    <w:p w14:paraId="280DC636" w14:textId="62CDA4E2" w:rsidR="008457C4" w:rsidRDefault="008457C4" w:rsidP="008F2566">
      <w:pPr>
        <w:ind w:left="720" w:hanging="720"/>
      </w:pPr>
      <w:r>
        <w:t>D</w:t>
      </w:r>
      <w:r w:rsidRPr="00360136">
        <w:t>i</w:t>
      </w:r>
      <w:r>
        <w:t>,</w:t>
      </w:r>
      <w:r w:rsidRPr="00360136">
        <w:t xml:space="preserve"> Q</w:t>
      </w:r>
      <w:r>
        <w:t>;</w:t>
      </w:r>
      <w:r w:rsidRPr="00360136">
        <w:t xml:space="preserve"> Wang</w:t>
      </w:r>
      <w:r>
        <w:t>,</w:t>
      </w:r>
      <w:r w:rsidRPr="00360136">
        <w:t xml:space="preserve"> Y</w:t>
      </w:r>
      <w:r>
        <w:t>;</w:t>
      </w:r>
      <w:r w:rsidRPr="00360136">
        <w:t xml:space="preserve"> </w:t>
      </w:r>
      <w:proofErr w:type="spellStart"/>
      <w:r w:rsidRPr="00360136">
        <w:t>Zanobetti</w:t>
      </w:r>
      <w:proofErr w:type="spellEnd"/>
      <w:r>
        <w:t>,</w:t>
      </w:r>
      <w:r w:rsidRPr="00360136">
        <w:t xml:space="preserve"> A</w:t>
      </w:r>
      <w:r>
        <w:t>;</w:t>
      </w:r>
      <w:r w:rsidRPr="00360136">
        <w:t xml:space="preserve"> Wang</w:t>
      </w:r>
      <w:r>
        <w:t>,</w:t>
      </w:r>
      <w:r w:rsidRPr="00360136">
        <w:t xml:space="preserve"> Y</w:t>
      </w:r>
      <w:r>
        <w:t>;</w:t>
      </w:r>
      <w:r w:rsidRPr="00360136">
        <w:t xml:space="preserve"> </w:t>
      </w:r>
      <w:proofErr w:type="spellStart"/>
      <w:r w:rsidRPr="00360136">
        <w:t>Koutrakis</w:t>
      </w:r>
      <w:proofErr w:type="spellEnd"/>
      <w:r>
        <w:t>,</w:t>
      </w:r>
      <w:r w:rsidRPr="00360136">
        <w:t xml:space="preserve"> P</w:t>
      </w:r>
      <w:r>
        <w:t>;</w:t>
      </w:r>
      <w:r w:rsidRPr="00360136">
        <w:t xml:space="preserve"> et al. </w:t>
      </w:r>
      <w:r>
        <w:t xml:space="preserve">(2017). </w:t>
      </w:r>
      <w:r w:rsidRPr="00360136">
        <w:t xml:space="preserve">Air pollution and mortality in the Medicare population. N </w:t>
      </w:r>
      <w:proofErr w:type="spellStart"/>
      <w:r w:rsidRPr="00360136">
        <w:t>Engl</w:t>
      </w:r>
      <w:proofErr w:type="spellEnd"/>
      <w:r w:rsidRPr="00360136">
        <w:t xml:space="preserve"> J Med 376:2513-2522.</w:t>
      </w:r>
    </w:p>
    <w:p w14:paraId="063B6100" w14:textId="77777777" w:rsidR="00B15E86" w:rsidRDefault="00B15E86" w:rsidP="008F2566">
      <w:pPr>
        <w:ind w:left="720" w:hanging="720"/>
      </w:pPr>
    </w:p>
    <w:p w14:paraId="104C4665" w14:textId="77777777" w:rsidR="00713897" w:rsidRPr="00713897" w:rsidRDefault="00713897" w:rsidP="00713897">
      <w:pPr>
        <w:ind w:left="720" w:hanging="720"/>
      </w:pPr>
      <w:proofErr w:type="spellStart"/>
      <w:r w:rsidRPr="00713897">
        <w:t>Dorans</w:t>
      </w:r>
      <w:proofErr w:type="spellEnd"/>
      <w:r w:rsidRPr="00713897">
        <w:t xml:space="preserve">, KS; </w:t>
      </w:r>
      <w:proofErr w:type="spellStart"/>
      <w:r w:rsidRPr="00713897">
        <w:t>Wilker</w:t>
      </w:r>
      <w:proofErr w:type="spellEnd"/>
      <w:r w:rsidRPr="00713897">
        <w:t xml:space="preserve">, EH; Li, W; Rice, MB; </w:t>
      </w:r>
      <w:proofErr w:type="spellStart"/>
      <w:r w:rsidRPr="00713897">
        <w:t>Ljungman</w:t>
      </w:r>
      <w:proofErr w:type="spellEnd"/>
      <w:r w:rsidRPr="00713897">
        <w:t xml:space="preserve">, PL; Schwartz, J; </w:t>
      </w:r>
      <w:proofErr w:type="spellStart"/>
      <w:r w:rsidRPr="00713897">
        <w:t>Coull</w:t>
      </w:r>
      <w:proofErr w:type="spellEnd"/>
      <w:r w:rsidRPr="00713897">
        <w:t xml:space="preserve">, BA; </w:t>
      </w:r>
      <w:proofErr w:type="spellStart"/>
      <w:r w:rsidRPr="00713897">
        <w:t>Kloog</w:t>
      </w:r>
      <w:proofErr w:type="spellEnd"/>
      <w:r w:rsidRPr="00713897">
        <w:t xml:space="preserve">, I; </w:t>
      </w:r>
      <w:proofErr w:type="spellStart"/>
      <w:r w:rsidRPr="00713897">
        <w:t>Koutrakis</w:t>
      </w:r>
      <w:proofErr w:type="spellEnd"/>
      <w:r w:rsidRPr="00713897">
        <w:t xml:space="preserve">, P; D'Agostino, RB; Massaro, JM; Hoffmann, U; O'Donnell, CJ; </w:t>
      </w:r>
      <w:proofErr w:type="spellStart"/>
      <w:r w:rsidRPr="00713897">
        <w:t>Mittleman</w:t>
      </w:r>
      <w:proofErr w:type="spellEnd"/>
      <w:r w:rsidRPr="00713897">
        <w:t xml:space="preserve">, MA. (2016). Residential proximity to major roads, exposure to fine particulate matter, and coronary artery calcium: The Framingham Heart Study. </w:t>
      </w:r>
      <w:proofErr w:type="spellStart"/>
      <w:r w:rsidRPr="00713897">
        <w:t>Arterioscler</w:t>
      </w:r>
      <w:proofErr w:type="spellEnd"/>
      <w:r w:rsidRPr="00713897">
        <w:t xml:space="preserve"> </w:t>
      </w:r>
      <w:proofErr w:type="spellStart"/>
      <w:r w:rsidRPr="00713897">
        <w:t>Thromb</w:t>
      </w:r>
      <w:proofErr w:type="spellEnd"/>
      <w:r w:rsidRPr="00713897">
        <w:t xml:space="preserve"> </w:t>
      </w:r>
      <w:proofErr w:type="spellStart"/>
      <w:r w:rsidRPr="00713897">
        <w:t>Vasc</w:t>
      </w:r>
      <w:proofErr w:type="spellEnd"/>
      <w:r w:rsidRPr="00713897">
        <w:t xml:space="preserve"> Biol 36: 1679-1685.</w:t>
      </w:r>
    </w:p>
    <w:p w14:paraId="72C8FE57" w14:textId="77777777" w:rsidR="00713897" w:rsidRDefault="00713897" w:rsidP="008F2566">
      <w:pPr>
        <w:ind w:left="720" w:hanging="720"/>
      </w:pPr>
    </w:p>
    <w:p w14:paraId="6E578021" w14:textId="358052C9" w:rsidR="008457C4" w:rsidRDefault="008457C4" w:rsidP="008F2566">
      <w:pPr>
        <w:ind w:left="720" w:hanging="720"/>
      </w:pPr>
      <w:proofErr w:type="spellStart"/>
      <w:r w:rsidRPr="008457C4">
        <w:t>Dvonch</w:t>
      </w:r>
      <w:proofErr w:type="spellEnd"/>
      <w:r w:rsidRPr="008457C4">
        <w:t>, JT; Kannan, S; Schulz, AJ; Keeler, GJ; Mentz, G; House, J; Benjamin, A; Max, P; Bard, RL; Brook, RD. (2009). Acute effects of ambient particulate matter on blood pressure: differential effects across urban communities. Hypertension 53: 853-859.</w:t>
      </w:r>
    </w:p>
    <w:p w14:paraId="559EE038" w14:textId="77777777" w:rsidR="008457C4" w:rsidRDefault="008457C4" w:rsidP="008F2566">
      <w:pPr>
        <w:ind w:left="720" w:hanging="720"/>
      </w:pPr>
    </w:p>
    <w:p w14:paraId="087BD053" w14:textId="71B860AF" w:rsidR="008F2566" w:rsidRDefault="008F2566" w:rsidP="008F2566">
      <w:pPr>
        <w:ind w:left="720" w:hanging="720"/>
      </w:pPr>
      <w:r w:rsidRPr="003E4329">
        <w:t>Enstrom, J. (2017). Fine particulate matter and total mortality in Cancer Prevention Study cohort reanalysis. Dose-Response January-March 2017: 1-12.</w:t>
      </w:r>
    </w:p>
    <w:p w14:paraId="4962137B" w14:textId="529243E7" w:rsidR="00713897" w:rsidRDefault="00713897" w:rsidP="008F2566">
      <w:pPr>
        <w:ind w:left="720" w:hanging="720"/>
      </w:pPr>
    </w:p>
    <w:p w14:paraId="58B7F592" w14:textId="0EBE5A57" w:rsidR="00FB443C" w:rsidRDefault="00FB443C" w:rsidP="00713897">
      <w:pPr>
        <w:ind w:left="720" w:hanging="720"/>
      </w:pPr>
      <w:r w:rsidRPr="00FB443C">
        <w:t xml:space="preserve">Feng, J; Yang, W. (2012). Effects of particulate air pollution on cardiovascular health: a population health risk assessment. </w:t>
      </w:r>
      <w:proofErr w:type="spellStart"/>
      <w:r w:rsidRPr="00FB443C">
        <w:t>PLoS</w:t>
      </w:r>
      <w:proofErr w:type="spellEnd"/>
      <w:r w:rsidRPr="00FB443C">
        <w:t xml:space="preserve"> ONE 7: e33385.</w:t>
      </w:r>
    </w:p>
    <w:p w14:paraId="379C6617" w14:textId="060559D3" w:rsidR="007D46D2" w:rsidRDefault="007D46D2" w:rsidP="00713897">
      <w:pPr>
        <w:ind w:left="720" w:hanging="720"/>
      </w:pPr>
    </w:p>
    <w:p w14:paraId="1653A27C" w14:textId="02E32442" w:rsidR="007D46D2" w:rsidRDefault="007D46D2" w:rsidP="00713897">
      <w:pPr>
        <w:ind w:left="720" w:hanging="720"/>
      </w:pPr>
      <w:proofErr w:type="spellStart"/>
      <w:r w:rsidRPr="007D46D2">
        <w:t>Ghio</w:t>
      </w:r>
      <w:proofErr w:type="spellEnd"/>
      <w:r w:rsidRPr="007D46D2">
        <w:t xml:space="preserve">, AJ; Hall, A; Bassett, MA; Cascio, WE; Devlin, RB. (2003). Exposure to concentrated ambient air particles alters hematologic indices in humans. </w:t>
      </w:r>
      <w:proofErr w:type="spellStart"/>
      <w:r w:rsidRPr="007D46D2">
        <w:t>Inhal</w:t>
      </w:r>
      <w:proofErr w:type="spellEnd"/>
      <w:r w:rsidRPr="007D46D2">
        <w:t xml:space="preserve"> </w:t>
      </w:r>
      <w:proofErr w:type="spellStart"/>
      <w:r w:rsidRPr="007D46D2">
        <w:t>Toxicol</w:t>
      </w:r>
      <w:proofErr w:type="spellEnd"/>
      <w:r w:rsidRPr="007D46D2">
        <w:t xml:space="preserve"> 15: 1465-1478.</w:t>
      </w:r>
    </w:p>
    <w:p w14:paraId="3DFCF801" w14:textId="77777777" w:rsidR="00FB443C" w:rsidRDefault="00FB443C" w:rsidP="00713897">
      <w:pPr>
        <w:ind w:left="720" w:hanging="720"/>
      </w:pPr>
    </w:p>
    <w:p w14:paraId="6F30C550" w14:textId="22D71437" w:rsidR="008F2566" w:rsidRDefault="008F2566" w:rsidP="008F2566">
      <w:pPr>
        <w:ind w:left="720" w:hanging="720"/>
      </w:pPr>
      <w:proofErr w:type="spellStart"/>
      <w:r w:rsidRPr="004610CD">
        <w:t>Greven</w:t>
      </w:r>
      <w:proofErr w:type="spellEnd"/>
      <w:r w:rsidRPr="004610CD">
        <w:t xml:space="preserve">, S; </w:t>
      </w:r>
      <w:proofErr w:type="spellStart"/>
      <w:r w:rsidRPr="004610CD">
        <w:t>Dominici</w:t>
      </w:r>
      <w:proofErr w:type="spellEnd"/>
      <w:r w:rsidRPr="004610CD">
        <w:t xml:space="preserve">, F; </w:t>
      </w:r>
      <w:proofErr w:type="spellStart"/>
      <w:r w:rsidRPr="004610CD">
        <w:t>Zeger</w:t>
      </w:r>
      <w:proofErr w:type="spellEnd"/>
      <w:r w:rsidRPr="004610CD">
        <w:t xml:space="preserve">, S. (2011). An Approach to the Estimation of Chronic Air Pollution Effects Using </w:t>
      </w:r>
      <w:proofErr w:type="spellStart"/>
      <w:r w:rsidRPr="004610CD">
        <w:t>Spatio</w:t>
      </w:r>
      <w:proofErr w:type="spellEnd"/>
      <w:r w:rsidRPr="004610CD">
        <w:t>-Temporal Information. Journal of the American Statistical Association 106(494):396-406.</w:t>
      </w:r>
    </w:p>
    <w:p w14:paraId="302F37C8" w14:textId="1E7BB72B" w:rsidR="00FB443C" w:rsidRDefault="00FB443C" w:rsidP="008F2566">
      <w:pPr>
        <w:ind w:left="720" w:hanging="720"/>
      </w:pPr>
    </w:p>
    <w:p w14:paraId="72F312C2" w14:textId="77777777" w:rsidR="008F2566" w:rsidRDefault="008F2566" w:rsidP="008F2566">
      <w:pPr>
        <w:ind w:left="720" w:hanging="720"/>
      </w:pPr>
      <w:proofErr w:type="spellStart"/>
      <w:r w:rsidRPr="006F0562">
        <w:t>Hartiala</w:t>
      </w:r>
      <w:proofErr w:type="spellEnd"/>
      <w:r>
        <w:t>,</w:t>
      </w:r>
      <w:r w:rsidRPr="006F0562">
        <w:t xml:space="preserve"> J</w:t>
      </w:r>
      <w:r>
        <w:t>;</w:t>
      </w:r>
      <w:r w:rsidRPr="006F0562">
        <w:t xml:space="preserve"> Breton</w:t>
      </w:r>
      <w:r>
        <w:t>,</w:t>
      </w:r>
      <w:r w:rsidRPr="006F0562">
        <w:t xml:space="preserve"> C</w:t>
      </w:r>
      <w:r>
        <w:t>;</w:t>
      </w:r>
      <w:r w:rsidRPr="006F0562">
        <w:t xml:space="preserve"> Tang</w:t>
      </w:r>
      <w:r>
        <w:t>,</w:t>
      </w:r>
      <w:r w:rsidRPr="006F0562">
        <w:t xml:space="preserve"> W</w:t>
      </w:r>
      <w:r>
        <w:t>;</w:t>
      </w:r>
      <w:r w:rsidRPr="006F0562">
        <w:t xml:space="preserve"> </w:t>
      </w:r>
      <w:proofErr w:type="spellStart"/>
      <w:r w:rsidRPr="006F0562">
        <w:t>Lurmann</w:t>
      </w:r>
      <w:proofErr w:type="spellEnd"/>
      <w:r>
        <w:t>,</w:t>
      </w:r>
      <w:r w:rsidRPr="006F0562">
        <w:t xml:space="preserve"> F</w:t>
      </w:r>
      <w:r>
        <w:t>;</w:t>
      </w:r>
      <w:r w:rsidRPr="006F0562">
        <w:t xml:space="preserve"> Hazen</w:t>
      </w:r>
      <w:r>
        <w:t>,</w:t>
      </w:r>
      <w:r w:rsidRPr="006F0562">
        <w:t xml:space="preserve"> S</w:t>
      </w:r>
      <w:r>
        <w:t>;</w:t>
      </w:r>
      <w:r w:rsidRPr="006F0562">
        <w:t xml:space="preserve"> Gilliland</w:t>
      </w:r>
      <w:r>
        <w:t>,</w:t>
      </w:r>
      <w:r w:rsidRPr="006F0562">
        <w:t xml:space="preserve"> F</w:t>
      </w:r>
      <w:r>
        <w:t>;</w:t>
      </w:r>
      <w:r w:rsidRPr="006F0562">
        <w:t xml:space="preserve"> </w:t>
      </w:r>
      <w:proofErr w:type="spellStart"/>
      <w:r w:rsidRPr="006F0562">
        <w:t>Allayee</w:t>
      </w:r>
      <w:proofErr w:type="spellEnd"/>
      <w:r>
        <w:t>,</w:t>
      </w:r>
      <w:r w:rsidRPr="006F0562">
        <w:t xml:space="preserve"> H.</w:t>
      </w:r>
      <w:r>
        <w:t xml:space="preserve"> (2016). </w:t>
      </w:r>
      <w:r w:rsidRPr="006F0562">
        <w:t xml:space="preserve">Ambient Air Pollution Is Associated </w:t>
      </w:r>
      <w:r>
        <w:t>w</w:t>
      </w:r>
      <w:r w:rsidRPr="006F0562">
        <w:t>ith the Severity of Coronary Atherosclerosis and Incident Myocardial Infarction in Patients Undergoing Elective Cardiac Evaluation.</w:t>
      </w:r>
      <w:r>
        <w:t xml:space="preserve"> </w:t>
      </w:r>
      <w:r w:rsidRPr="006F0562">
        <w:t>J Am Heart Assoc</w:t>
      </w:r>
      <w:r>
        <w:t xml:space="preserve"> </w:t>
      </w:r>
      <w:r w:rsidRPr="006F0562">
        <w:t>28</w:t>
      </w:r>
      <w:r>
        <w:t>:</w:t>
      </w:r>
      <w:r w:rsidRPr="006F0562">
        <w:t>5(8)</w:t>
      </w:r>
      <w:r>
        <w:t>,</w:t>
      </w:r>
      <w:r w:rsidRPr="00406C48">
        <w:t xml:space="preserve"> </w:t>
      </w:r>
      <w:hyperlink r:id="rId17" w:history="1">
        <w:r w:rsidRPr="00961075">
          <w:rPr>
            <w:rStyle w:val="Hyperlink"/>
          </w:rPr>
          <w:t>https://www.ncbi.nlm.nih.gov/pmc/articles/PMC5015312/pdf/JAH3-5-e003947.pdf</w:t>
        </w:r>
      </w:hyperlink>
      <w:r>
        <w:t>.</w:t>
      </w:r>
    </w:p>
    <w:p w14:paraId="72238752" w14:textId="77777777" w:rsidR="008F2566" w:rsidRDefault="008F2566" w:rsidP="008F2566">
      <w:pPr>
        <w:ind w:left="720" w:hanging="720"/>
      </w:pPr>
    </w:p>
    <w:p w14:paraId="580B55E4" w14:textId="4B4F9220" w:rsidR="008F2566" w:rsidRDefault="008F2566" w:rsidP="008F2566">
      <w:pPr>
        <w:ind w:left="720" w:hanging="720"/>
      </w:pPr>
      <w:r w:rsidRPr="006F0562">
        <w:t xml:space="preserve">Health Effects Institute (HEI). </w:t>
      </w:r>
      <w:r>
        <w:t>(</w:t>
      </w:r>
      <w:r w:rsidRPr="006F0562">
        <w:t>2013</w:t>
      </w:r>
      <w:r>
        <w:t>)</w:t>
      </w:r>
      <w:r w:rsidRPr="006F0562">
        <w:t xml:space="preserve">. Did the Irish Coal Bans Improve Air Quality and Health? HEI Update, </w:t>
      </w:r>
      <w:hyperlink r:id="rId18" w:history="1">
        <w:r w:rsidRPr="00961075">
          <w:rPr>
            <w:rStyle w:val="Hyperlink"/>
          </w:rPr>
          <w:t>http://www.healtheffects.org/system/files/UpdateSummer2013.pdf</w:t>
        </w:r>
      </w:hyperlink>
      <w:r w:rsidRPr="006F0562">
        <w:t>.</w:t>
      </w:r>
    </w:p>
    <w:p w14:paraId="46A5C378" w14:textId="6048B75F" w:rsidR="00F97089" w:rsidRDefault="00F97089" w:rsidP="008F2566">
      <w:pPr>
        <w:ind w:left="720" w:hanging="720"/>
      </w:pPr>
    </w:p>
    <w:p w14:paraId="60AF9D1D" w14:textId="47D2569B" w:rsidR="00F97089" w:rsidRDefault="00F97089" w:rsidP="008F2566">
      <w:pPr>
        <w:ind w:left="720" w:hanging="720"/>
      </w:pPr>
      <w:r w:rsidRPr="00F97089">
        <w:t xml:space="preserve">Hicken, MT; Adar, SD; Diez Roux, AV; O'Neill, MS; </w:t>
      </w:r>
      <w:proofErr w:type="spellStart"/>
      <w:r w:rsidRPr="00F97089">
        <w:t>Magzamen</w:t>
      </w:r>
      <w:proofErr w:type="spellEnd"/>
      <w:r w:rsidRPr="00F97089">
        <w:t xml:space="preserve">, S; </w:t>
      </w:r>
      <w:proofErr w:type="spellStart"/>
      <w:r w:rsidRPr="00F97089">
        <w:t>Auchincloss</w:t>
      </w:r>
      <w:proofErr w:type="spellEnd"/>
      <w:r w:rsidRPr="00F97089">
        <w:t xml:space="preserve">, AH; Kaufman, JD. (2013). Do psychosocial stress and social disadvantage modify the association between air pollution and blood </w:t>
      </w:r>
      <w:proofErr w:type="gramStart"/>
      <w:r w:rsidRPr="00F97089">
        <w:t>pressure?:</w:t>
      </w:r>
      <w:proofErr w:type="gramEnd"/>
      <w:r w:rsidRPr="00F97089">
        <w:t xml:space="preserve"> the multi-ethnic study of atherosclerosis. Am J Epidemiol 178: 1550-1562.</w:t>
      </w:r>
    </w:p>
    <w:p w14:paraId="519E8A6B" w14:textId="10AB866E" w:rsidR="00FB443C" w:rsidRDefault="00FB443C" w:rsidP="008F2566">
      <w:pPr>
        <w:ind w:left="720" w:hanging="720"/>
      </w:pPr>
    </w:p>
    <w:p w14:paraId="1F50D9FE" w14:textId="0B39A561" w:rsidR="008457C4" w:rsidRDefault="008457C4" w:rsidP="008F2566">
      <w:pPr>
        <w:ind w:left="720" w:hanging="720"/>
      </w:pPr>
      <w:r w:rsidRPr="008457C4">
        <w:t xml:space="preserve">Hicken, MT; </w:t>
      </w:r>
      <w:proofErr w:type="spellStart"/>
      <w:r w:rsidRPr="008457C4">
        <w:t>Dvonch</w:t>
      </w:r>
      <w:proofErr w:type="spellEnd"/>
      <w:r w:rsidRPr="008457C4">
        <w:t>, JT; Schulz, AJ; Mentz, G; Max, P. (2014). Fine particulate matter air pollution and blood pressure: the modifying role of psychosocial stress. Environ Res 133: 195-203.</w:t>
      </w:r>
    </w:p>
    <w:p w14:paraId="35B712D7" w14:textId="77777777" w:rsidR="008457C4" w:rsidRDefault="008457C4" w:rsidP="008F2566">
      <w:pPr>
        <w:ind w:left="720" w:hanging="720"/>
      </w:pPr>
    </w:p>
    <w:p w14:paraId="56606259" w14:textId="65EB5CEE" w:rsidR="00FB443C" w:rsidRDefault="00FB443C" w:rsidP="008F2566">
      <w:pPr>
        <w:ind w:left="720" w:hanging="720"/>
      </w:pPr>
      <w:r w:rsidRPr="00FB443C">
        <w:t>Hsu, WH; Hwang, SA; Kinney, PL; Lin, S. (2017). Seasonal and temperature modifications of the association between fine particulate air pollution and cardiovascular hospitalization in New York state. Sci Total Environ 578: 626-632.</w:t>
      </w:r>
    </w:p>
    <w:p w14:paraId="45EAE478" w14:textId="77777777" w:rsidR="008F2566" w:rsidRDefault="008F2566" w:rsidP="008F2566">
      <w:pPr>
        <w:ind w:left="720" w:hanging="720"/>
      </w:pPr>
    </w:p>
    <w:p w14:paraId="5F4BA4DC" w14:textId="48110C5B" w:rsidR="008F2566" w:rsidRDefault="008F2566" w:rsidP="008F2566">
      <w:pPr>
        <w:ind w:left="720" w:hanging="720"/>
      </w:pPr>
      <w:r w:rsidRPr="009E7525">
        <w:t>Ito, K; Thurston, G; Silverman, R. (2007). Characterization of PM2.5, gaseous pollutants, and meteorological interactions in the context of time-series health effects models. J Expo Sci Environ Epidemiol 17:845-860.</w:t>
      </w:r>
    </w:p>
    <w:p w14:paraId="5113CD6F" w14:textId="7FBCF503" w:rsidR="00713897" w:rsidRDefault="00713897" w:rsidP="008F2566">
      <w:pPr>
        <w:ind w:left="720" w:hanging="720"/>
      </w:pPr>
    </w:p>
    <w:p w14:paraId="75E5A06F" w14:textId="111DCEA0" w:rsidR="00713897" w:rsidRDefault="00713897" w:rsidP="00713897">
      <w:pPr>
        <w:ind w:left="720" w:hanging="720"/>
      </w:pPr>
      <w:r w:rsidRPr="00713897">
        <w:t xml:space="preserve">Kaufman, JP; Adar, SD; Barr, RG; </w:t>
      </w:r>
      <w:proofErr w:type="spellStart"/>
      <w:r w:rsidRPr="00713897">
        <w:t>Budoff</w:t>
      </w:r>
      <w:proofErr w:type="spellEnd"/>
      <w:r w:rsidRPr="00713897">
        <w:t xml:space="preserve">, M; Burke, GL; Curl, CL; Diez Roux, AV; </w:t>
      </w:r>
      <w:proofErr w:type="spellStart"/>
      <w:r w:rsidRPr="00713897">
        <w:t>Gassett</w:t>
      </w:r>
      <w:proofErr w:type="spellEnd"/>
      <w:r w:rsidRPr="00713897">
        <w:t xml:space="preserve">, AJ; Jacobs, </w:t>
      </w:r>
      <w:proofErr w:type="spellStart"/>
      <w:r w:rsidRPr="00713897">
        <w:t>jr</w:t>
      </w:r>
      <w:proofErr w:type="spellEnd"/>
      <w:r w:rsidRPr="00713897">
        <w:t xml:space="preserve">; </w:t>
      </w:r>
      <w:proofErr w:type="spellStart"/>
      <w:r w:rsidRPr="00713897">
        <w:t>Kronmal</w:t>
      </w:r>
      <w:proofErr w:type="spellEnd"/>
      <w:r w:rsidRPr="00713897">
        <w:t xml:space="preserve">, R; Larson, TV; </w:t>
      </w:r>
      <w:proofErr w:type="spellStart"/>
      <w:r w:rsidRPr="00713897">
        <w:t>Navas-Acien</w:t>
      </w:r>
      <w:proofErr w:type="spellEnd"/>
      <w:r w:rsidRPr="00713897">
        <w:t xml:space="preserve">, A; Olives, C; Sampson, PD; Sheppard, L; </w:t>
      </w:r>
      <w:proofErr w:type="spellStart"/>
      <w:r w:rsidRPr="00713897">
        <w:t>Siscovick</w:t>
      </w:r>
      <w:proofErr w:type="spellEnd"/>
      <w:r w:rsidRPr="00713897">
        <w:t xml:space="preserve">, DS; Stein, JH; </w:t>
      </w:r>
      <w:proofErr w:type="spellStart"/>
      <w:r w:rsidRPr="00713897">
        <w:t>Szpiro</w:t>
      </w:r>
      <w:proofErr w:type="spellEnd"/>
      <w:r w:rsidRPr="00713897">
        <w:t>, AA; Watson, KE. (2016). Association between air pollution and coronary artery calcification within six metropolitan areas in the USA (the Multi-Ethnic Study of Atherosclerosis and Air Pollution): a longitudinal cohort study. Lancet 388: 696-704.</w:t>
      </w:r>
    </w:p>
    <w:p w14:paraId="3F8C8314" w14:textId="77777777" w:rsidR="00B17FE5" w:rsidRDefault="00B17FE5" w:rsidP="00713897">
      <w:pPr>
        <w:ind w:left="720" w:hanging="720"/>
      </w:pPr>
    </w:p>
    <w:p w14:paraId="740080E2" w14:textId="4B9F1E51" w:rsidR="008F2566" w:rsidRDefault="00B15E86" w:rsidP="008F2566">
      <w:pPr>
        <w:ind w:left="720" w:hanging="720"/>
      </w:pPr>
      <w:r w:rsidRPr="00B15E86">
        <w:t xml:space="preserve">Kim, SY; Peel, JL; Hannigan, MP; Dutton, SJ; Sheppard, L; Clark, ML; </w:t>
      </w:r>
      <w:proofErr w:type="spellStart"/>
      <w:r w:rsidRPr="00B15E86">
        <w:t>Vedal</w:t>
      </w:r>
      <w:proofErr w:type="spellEnd"/>
      <w:r w:rsidRPr="00B15E86">
        <w:t xml:space="preserve">, S. (2012). The temporal lag structure of short-term associations of fine particulate matter chemical constituents and cardiovascular and respiratory hospitalizations. Environ Health </w:t>
      </w:r>
      <w:proofErr w:type="spellStart"/>
      <w:r w:rsidRPr="00B15E86">
        <w:t>Perspect</w:t>
      </w:r>
      <w:proofErr w:type="spellEnd"/>
      <w:r w:rsidRPr="00B15E86">
        <w:t xml:space="preserve"> 120: 1094-1099.</w:t>
      </w:r>
    </w:p>
    <w:p w14:paraId="325ADC99" w14:textId="77777777" w:rsidR="00B15E86" w:rsidRDefault="00B15E86" w:rsidP="008F2566">
      <w:pPr>
        <w:ind w:left="720" w:hanging="720"/>
      </w:pPr>
    </w:p>
    <w:p w14:paraId="525D4CB2" w14:textId="77777777" w:rsidR="008F2566" w:rsidRDefault="008F2566" w:rsidP="008F2566">
      <w:pPr>
        <w:ind w:left="720" w:hanging="720"/>
      </w:pPr>
      <w:proofErr w:type="spellStart"/>
      <w:r w:rsidRPr="0031558E">
        <w:t>Krewski</w:t>
      </w:r>
      <w:proofErr w:type="spellEnd"/>
      <w:r w:rsidRPr="0031558E">
        <w:t>, D; Burnett, R; Goldberg, M; et al. (2000). Reanalysis of the Harvard Six Cities Study and the American Cancer Society Study of Particulate Air Pollution and Mortality: Special Report. Cambridge, MA: Health Effects Institute.</w:t>
      </w:r>
    </w:p>
    <w:p w14:paraId="60542666" w14:textId="77777777" w:rsidR="008F2566" w:rsidRDefault="008F2566" w:rsidP="008F2566">
      <w:pPr>
        <w:ind w:left="720" w:hanging="720"/>
      </w:pPr>
    </w:p>
    <w:p w14:paraId="1751F9D0" w14:textId="1B7A50D5" w:rsidR="008F2566" w:rsidRDefault="008F2566" w:rsidP="008F2566">
      <w:pPr>
        <w:ind w:left="720" w:hanging="720"/>
      </w:pPr>
      <w:proofErr w:type="spellStart"/>
      <w:r w:rsidRPr="004610CD">
        <w:t>Krewski</w:t>
      </w:r>
      <w:proofErr w:type="spellEnd"/>
      <w:r w:rsidRPr="004610CD">
        <w:t>, D</w:t>
      </w:r>
      <w:r>
        <w:t>;</w:t>
      </w:r>
      <w:r w:rsidRPr="004610CD">
        <w:t xml:space="preserve"> et al.</w:t>
      </w:r>
      <w:r>
        <w:t xml:space="preserve"> (2009).</w:t>
      </w:r>
      <w:r w:rsidRPr="004610CD">
        <w:t xml:space="preserve"> Extended follow-up and spatial analysis of the American Cancer Society study linking particulate air pollution and mortality. Res Rep Health Eff Inst</w:t>
      </w:r>
      <w:r>
        <w:t xml:space="preserve"> </w:t>
      </w:r>
      <w:r w:rsidRPr="004610CD">
        <w:t>140:5-114; discussion 115-36.</w:t>
      </w:r>
    </w:p>
    <w:p w14:paraId="3E7BCEED" w14:textId="1549D4AA" w:rsidR="007D46D2" w:rsidRDefault="007D46D2" w:rsidP="008F2566">
      <w:pPr>
        <w:ind w:left="720" w:hanging="720"/>
      </w:pPr>
    </w:p>
    <w:p w14:paraId="4C703E6C" w14:textId="5EF2643B" w:rsidR="007D46D2" w:rsidRDefault="007D46D2" w:rsidP="008F2566">
      <w:pPr>
        <w:ind w:left="720" w:hanging="720"/>
      </w:pPr>
      <w:proofErr w:type="spellStart"/>
      <w:r w:rsidRPr="007D46D2">
        <w:t>Kurhanewicz</w:t>
      </w:r>
      <w:proofErr w:type="spellEnd"/>
      <w:r w:rsidRPr="007D46D2">
        <w:t>, N; Mcintosh-</w:t>
      </w:r>
      <w:proofErr w:type="spellStart"/>
      <w:r w:rsidRPr="007D46D2">
        <w:t>Kastrinsky</w:t>
      </w:r>
      <w:proofErr w:type="spellEnd"/>
      <w:r w:rsidRPr="007D46D2">
        <w:t xml:space="preserve">, R; Tong, H; Walsh, L; </w:t>
      </w:r>
      <w:proofErr w:type="spellStart"/>
      <w:r w:rsidRPr="007D46D2">
        <w:t>Farraj</w:t>
      </w:r>
      <w:proofErr w:type="spellEnd"/>
      <w:r w:rsidRPr="007D46D2">
        <w:t xml:space="preserve">, A; </w:t>
      </w:r>
      <w:proofErr w:type="spellStart"/>
      <w:r w:rsidRPr="007D46D2">
        <w:t>Hazari</w:t>
      </w:r>
      <w:proofErr w:type="spellEnd"/>
      <w:r w:rsidRPr="007D46D2">
        <w:t xml:space="preserve">, MS. (2014). Ozone co-exposure modifies cardiac responses to fine and ultrafine ambient particulate matter in mice: Concordance of electrocardiogram and mechanical responses. Part </w:t>
      </w:r>
      <w:proofErr w:type="spellStart"/>
      <w:r w:rsidRPr="007D46D2">
        <w:t>Fibre</w:t>
      </w:r>
      <w:proofErr w:type="spellEnd"/>
      <w:r w:rsidRPr="007D46D2">
        <w:t xml:space="preserve"> </w:t>
      </w:r>
      <w:proofErr w:type="spellStart"/>
      <w:r w:rsidRPr="007D46D2">
        <w:t>Toxicol</w:t>
      </w:r>
      <w:proofErr w:type="spellEnd"/>
      <w:r w:rsidRPr="007D46D2">
        <w:t xml:space="preserve"> 11: 54.</w:t>
      </w:r>
    </w:p>
    <w:p w14:paraId="3EE96379" w14:textId="77777777" w:rsidR="008F2566" w:rsidRDefault="008F2566" w:rsidP="008F2566">
      <w:pPr>
        <w:ind w:left="720" w:hanging="720"/>
      </w:pPr>
    </w:p>
    <w:p w14:paraId="1A99FAAB" w14:textId="3D6450FB" w:rsidR="008F2566" w:rsidRDefault="008F2566" w:rsidP="008F2566">
      <w:pPr>
        <w:ind w:left="720" w:hanging="720"/>
      </w:pPr>
      <w:r w:rsidRPr="0031558E">
        <w:t>Laden</w:t>
      </w:r>
      <w:r>
        <w:t>,</w:t>
      </w:r>
      <w:r w:rsidRPr="0031558E">
        <w:t xml:space="preserve"> F</w:t>
      </w:r>
      <w:r>
        <w:t>;</w:t>
      </w:r>
      <w:r w:rsidRPr="0031558E">
        <w:t xml:space="preserve"> Schwartz</w:t>
      </w:r>
      <w:r>
        <w:t>,</w:t>
      </w:r>
      <w:r w:rsidRPr="0031558E">
        <w:t xml:space="preserve"> J</w:t>
      </w:r>
      <w:r>
        <w:t>;</w:t>
      </w:r>
      <w:r w:rsidRPr="0031558E">
        <w:t xml:space="preserve"> </w:t>
      </w:r>
      <w:proofErr w:type="spellStart"/>
      <w:r w:rsidRPr="0031558E">
        <w:t>Speizer</w:t>
      </w:r>
      <w:proofErr w:type="spellEnd"/>
      <w:r>
        <w:t>,</w:t>
      </w:r>
      <w:r w:rsidRPr="0031558E">
        <w:t xml:space="preserve"> F</w:t>
      </w:r>
      <w:r>
        <w:t>;</w:t>
      </w:r>
      <w:r w:rsidRPr="0031558E">
        <w:t xml:space="preserve"> Dockery</w:t>
      </w:r>
      <w:r>
        <w:t>,</w:t>
      </w:r>
      <w:r w:rsidRPr="0031558E">
        <w:t xml:space="preserve"> D</w:t>
      </w:r>
      <w:r>
        <w:t>. (2006).</w:t>
      </w:r>
      <w:r w:rsidRPr="0031558E">
        <w:t xml:space="preserve"> Reduction in fine particulate air pollution and mortality: Extended follow-up of the Harvard Six Cities study.</w:t>
      </w:r>
      <w:r>
        <w:t xml:space="preserve"> </w:t>
      </w:r>
      <w:r w:rsidRPr="0031558E">
        <w:t xml:space="preserve">Am J Respir </w:t>
      </w:r>
      <w:proofErr w:type="spellStart"/>
      <w:r w:rsidRPr="0031558E">
        <w:t>Crit</w:t>
      </w:r>
      <w:proofErr w:type="spellEnd"/>
      <w:r w:rsidRPr="0031558E">
        <w:t xml:space="preserve"> Care Med 173(6):667-72.</w:t>
      </w:r>
    </w:p>
    <w:p w14:paraId="4C8392F0" w14:textId="6EA8CE49" w:rsidR="005659F7" w:rsidRDefault="005659F7" w:rsidP="008F2566">
      <w:pPr>
        <w:ind w:left="720" w:hanging="720"/>
      </w:pPr>
    </w:p>
    <w:p w14:paraId="3E0A3991" w14:textId="5D7E97C3" w:rsidR="008F2566" w:rsidRDefault="008F2566" w:rsidP="008F2566">
      <w:pPr>
        <w:ind w:left="720" w:hanging="720"/>
      </w:pPr>
      <w:proofErr w:type="spellStart"/>
      <w:r w:rsidRPr="0040513A">
        <w:t>Lepeule</w:t>
      </w:r>
      <w:proofErr w:type="spellEnd"/>
      <w:r w:rsidRPr="0040513A">
        <w:t>, J., et al.</w:t>
      </w:r>
      <w:r>
        <w:t xml:space="preserve"> (2012).</w:t>
      </w:r>
      <w:r w:rsidRPr="0040513A">
        <w:t xml:space="preserve"> Chronic exposure to fine particles and mortality: an extended follow-up of the Harvard Six Cities study from 1974 to 2009. Environ Health </w:t>
      </w:r>
      <w:proofErr w:type="spellStart"/>
      <w:r w:rsidRPr="0040513A">
        <w:t>Perspect</w:t>
      </w:r>
      <w:proofErr w:type="spellEnd"/>
      <w:r w:rsidRPr="0040513A">
        <w:t xml:space="preserve"> 120(7):965-70</w:t>
      </w:r>
      <w:r>
        <w:t>.</w:t>
      </w:r>
    </w:p>
    <w:p w14:paraId="5C90FF5C" w14:textId="41A15F5D" w:rsidR="004025F3" w:rsidRDefault="004025F3" w:rsidP="008F2566">
      <w:pPr>
        <w:ind w:left="720" w:hanging="720"/>
      </w:pPr>
    </w:p>
    <w:p w14:paraId="66D43EAF" w14:textId="2347E869" w:rsidR="004025F3" w:rsidRDefault="004025F3" w:rsidP="008F2566">
      <w:pPr>
        <w:ind w:left="720" w:hanging="720"/>
      </w:pPr>
      <w:r w:rsidRPr="004025F3">
        <w:t xml:space="preserve">Liu, L; Ruddy, T; </w:t>
      </w:r>
      <w:proofErr w:type="spellStart"/>
      <w:r w:rsidRPr="004025F3">
        <w:t>Dalipaj</w:t>
      </w:r>
      <w:proofErr w:type="spellEnd"/>
      <w:r w:rsidRPr="004025F3">
        <w:t xml:space="preserve">, M; Poon, R; </w:t>
      </w:r>
      <w:proofErr w:type="spellStart"/>
      <w:r w:rsidRPr="004025F3">
        <w:t>Szyszkowicz</w:t>
      </w:r>
      <w:proofErr w:type="spellEnd"/>
      <w:r w:rsidRPr="004025F3">
        <w:t xml:space="preserve">, M; You, HY; Dales, RE; Wheeler, AJ. (2009). Effects of indoor, outdoor, and personal exposure to particulate air pollution on cardiovascular physiology and systemic mediators in seniors. J </w:t>
      </w:r>
      <w:proofErr w:type="spellStart"/>
      <w:r w:rsidRPr="004025F3">
        <w:t>Occup</w:t>
      </w:r>
      <w:proofErr w:type="spellEnd"/>
      <w:r w:rsidRPr="004025F3">
        <w:t xml:space="preserve"> Environ Med 51: 1088-1098.</w:t>
      </w:r>
    </w:p>
    <w:p w14:paraId="18ABD179" w14:textId="128FD3D2" w:rsidR="00F97089" w:rsidRDefault="00F97089" w:rsidP="008F2566">
      <w:pPr>
        <w:ind w:left="720" w:hanging="720"/>
      </w:pPr>
    </w:p>
    <w:p w14:paraId="32BDCFFE" w14:textId="11B441DE" w:rsidR="00F97089" w:rsidRDefault="00F97089" w:rsidP="008F2566">
      <w:pPr>
        <w:ind w:left="720" w:hanging="720"/>
      </w:pPr>
      <w:proofErr w:type="spellStart"/>
      <w:r w:rsidRPr="00F97089">
        <w:t>Milojevic</w:t>
      </w:r>
      <w:proofErr w:type="spellEnd"/>
      <w:r w:rsidRPr="00F97089">
        <w:t xml:space="preserve">, A; Wilkinson, P; Armstrong, B; </w:t>
      </w:r>
      <w:proofErr w:type="spellStart"/>
      <w:r w:rsidRPr="00F97089">
        <w:t>Bhaskaran</w:t>
      </w:r>
      <w:proofErr w:type="spellEnd"/>
      <w:r w:rsidRPr="00F97089">
        <w:t xml:space="preserve">, K; Smeeth, L; </w:t>
      </w:r>
      <w:proofErr w:type="spellStart"/>
      <w:r w:rsidRPr="00F97089">
        <w:t>Hajat</w:t>
      </w:r>
      <w:proofErr w:type="spellEnd"/>
      <w:r w:rsidRPr="00F97089">
        <w:t>, S. (2014). Short-term effects of air pollution on a range of cardiovascular events in England and Wales: Case-crossover analysis of the MINAP database, hospital admissions and mortality. Heart 100: 1093-1098.</w:t>
      </w:r>
    </w:p>
    <w:p w14:paraId="72396D19" w14:textId="201B5B35" w:rsidR="005659F7" w:rsidRDefault="005659F7" w:rsidP="008F2566">
      <w:pPr>
        <w:ind w:left="720" w:hanging="720"/>
      </w:pPr>
    </w:p>
    <w:p w14:paraId="602BF0FD" w14:textId="735DA391" w:rsidR="008F2566" w:rsidRDefault="008F2566" w:rsidP="008F2566">
      <w:pPr>
        <w:ind w:left="720" w:hanging="720"/>
      </w:pPr>
      <w:proofErr w:type="spellStart"/>
      <w:r w:rsidRPr="003E4329">
        <w:t>Moolgavkar</w:t>
      </w:r>
      <w:proofErr w:type="spellEnd"/>
      <w:r w:rsidRPr="003E4329">
        <w:t>, S. (2003). Air pollution and daily deaths and hospital admissions in Los Angeles and Cook counties. In Revised Analyses of the National Morbidity, Mortality, and Air Pollution Study, Part II (pp. 183-198). Boston, MA: Health Effects Institute</w:t>
      </w:r>
      <w:r>
        <w:t xml:space="preserve"> (HEI)</w:t>
      </w:r>
      <w:r w:rsidRPr="003E4329">
        <w:t>.</w:t>
      </w:r>
    </w:p>
    <w:p w14:paraId="6272429C" w14:textId="77777777" w:rsidR="008457C4" w:rsidRDefault="008457C4" w:rsidP="008F2566">
      <w:pPr>
        <w:ind w:left="720" w:hanging="720"/>
      </w:pPr>
    </w:p>
    <w:p w14:paraId="6A58EDFB" w14:textId="31BE0929" w:rsidR="008457C4" w:rsidRDefault="008457C4" w:rsidP="008F2566">
      <w:pPr>
        <w:ind w:left="720" w:hanging="720"/>
      </w:pPr>
      <w:proofErr w:type="spellStart"/>
      <w:r w:rsidRPr="008457C4">
        <w:t>Mordukhovich</w:t>
      </w:r>
      <w:proofErr w:type="spellEnd"/>
      <w:r w:rsidRPr="008457C4">
        <w:t xml:space="preserve">, I; </w:t>
      </w:r>
      <w:proofErr w:type="spellStart"/>
      <w:r w:rsidRPr="008457C4">
        <w:t>Wilker</w:t>
      </w:r>
      <w:proofErr w:type="spellEnd"/>
      <w:r w:rsidRPr="008457C4">
        <w:t xml:space="preserve">, E; Suh, H; Wright, R; Sparrow, D; </w:t>
      </w:r>
      <w:proofErr w:type="spellStart"/>
      <w:r w:rsidRPr="008457C4">
        <w:t>Vokonas</w:t>
      </w:r>
      <w:proofErr w:type="spellEnd"/>
      <w:r w:rsidRPr="008457C4">
        <w:t xml:space="preserve">, PS; Schwartz, J. (2009). Black carbon exposure, oxidative stress genes, and blood pressure in a repeated-measures study. Environ Health </w:t>
      </w:r>
      <w:proofErr w:type="spellStart"/>
      <w:r w:rsidRPr="008457C4">
        <w:t>Perspect</w:t>
      </w:r>
      <w:proofErr w:type="spellEnd"/>
      <w:r w:rsidRPr="008457C4">
        <w:t xml:space="preserve"> 117: 1767-1772.</w:t>
      </w:r>
    </w:p>
    <w:p w14:paraId="75D1F116" w14:textId="77777777" w:rsidR="008457C4" w:rsidRDefault="008457C4" w:rsidP="008F2566">
      <w:pPr>
        <w:ind w:left="720" w:hanging="720"/>
      </w:pPr>
    </w:p>
    <w:p w14:paraId="09120AE7" w14:textId="77777777" w:rsidR="00713897" w:rsidRPr="00713897" w:rsidRDefault="00713897" w:rsidP="00713897">
      <w:pPr>
        <w:ind w:left="720" w:hanging="720"/>
      </w:pPr>
      <w:r w:rsidRPr="00713897">
        <w:t xml:space="preserve">Pope, CA; Burnett, RT; </w:t>
      </w:r>
      <w:proofErr w:type="spellStart"/>
      <w:r w:rsidRPr="00713897">
        <w:t>Krewski</w:t>
      </w:r>
      <w:proofErr w:type="spellEnd"/>
      <w:r w:rsidRPr="00713897">
        <w:t xml:space="preserve">, D; </w:t>
      </w:r>
      <w:proofErr w:type="spellStart"/>
      <w:r w:rsidRPr="00713897">
        <w:t>Jerrett</w:t>
      </w:r>
      <w:proofErr w:type="spellEnd"/>
      <w:r w:rsidRPr="00713897">
        <w:t>, M; Shi, Y; Calle, EE; Thun, MJ. (2009). Cardiovascular mortality and exposure to airborne fine particulate matter and cigarette smoke: shape of the exposure-response relationship. Circulation 120: 941-948.</w:t>
      </w:r>
    </w:p>
    <w:p w14:paraId="1438E7DC" w14:textId="77777777" w:rsidR="00713897" w:rsidRPr="00713897" w:rsidRDefault="00713897" w:rsidP="00713897">
      <w:pPr>
        <w:ind w:left="720" w:hanging="720"/>
      </w:pPr>
    </w:p>
    <w:p w14:paraId="66238F47" w14:textId="77777777" w:rsidR="00713897" w:rsidRPr="00713897" w:rsidRDefault="00713897" w:rsidP="00713897">
      <w:pPr>
        <w:ind w:left="720" w:hanging="720"/>
      </w:pPr>
      <w:r w:rsidRPr="00713897">
        <w:t xml:space="preserve">Pope, CA; Burnett, RT; Turner, MC; Cohen, AJ; </w:t>
      </w:r>
      <w:proofErr w:type="spellStart"/>
      <w:r w:rsidRPr="00713897">
        <w:t>Krewski</w:t>
      </w:r>
      <w:proofErr w:type="spellEnd"/>
      <w:r w:rsidRPr="00713897">
        <w:t xml:space="preserve">, D; </w:t>
      </w:r>
      <w:proofErr w:type="spellStart"/>
      <w:r w:rsidRPr="00713897">
        <w:t>Jerrett</w:t>
      </w:r>
      <w:proofErr w:type="spellEnd"/>
      <w:r w:rsidRPr="00713897">
        <w:t xml:space="preserve">, M; </w:t>
      </w:r>
      <w:proofErr w:type="spellStart"/>
      <w:r w:rsidRPr="00713897">
        <w:t>Gapstur</w:t>
      </w:r>
      <w:proofErr w:type="spellEnd"/>
      <w:r w:rsidRPr="00713897">
        <w:t xml:space="preserve">, SM; Thun, MJ. (2011). Lung cancer and cardiovascular disease mortality associated with ambient air pollution and cigarette smoke: Shape of the exposure-response relationships. Environ Health </w:t>
      </w:r>
      <w:proofErr w:type="spellStart"/>
      <w:r w:rsidRPr="00713897">
        <w:t>Perspect</w:t>
      </w:r>
      <w:proofErr w:type="spellEnd"/>
      <w:r w:rsidRPr="00713897">
        <w:t xml:space="preserve"> 119: 1616-1621.</w:t>
      </w:r>
    </w:p>
    <w:p w14:paraId="10C8FD0B" w14:textId="77777777" w:rsidR="008F2566" w:rsidRDefault="008F2566" w:rsidP="008F2566">
      <w:pPr>
        <w:ind w:left="720" w:hanging="720"/>
      </w:pPr>
    </w:p>
    <w:p w14:paraId="09A04E64" w14:textId="77777777" w:rsidR="008F2566" w:rsidRDefault="008F2566" w:rsidP="008F2566">
      <w:pPr>
        <w:ind w:left="720" w:hanging="720"/>
      </w:pPr>
      <w:r w:rsidRPr="003E4329">
        <w:t xml:space="preserve">Pope, C; Turner, M; Burnett, R; </w:t>
      </w:r>
      <w:proofErr w:type="spellStart"/>
      <w:r w:rsidRPr="003E4329">
        <w:t>Jerrett</w:t>
      </w:r>
      <w:proofErr w:type="spellEnd"/>
      <w:r w:rsidRPr="003E4329">
        <w:t xml:space="preserve">, M; </w:t>
      </w:r>
      <w:proofErr w:type="spellStart"/>
      <w:r w:rsidRPr="003E4329">
        <w:t>Gapstur</w:t>
      </w:r>
      <w:proofErr w:type="spellEnd"/>
      <w:r w:rsidRPr="003E4329">
        <w:t xml:space="preserve">, S; Diver, W; </w:t>
      </w:r>
      <w:proofErr w:type="spellStart"/>
      <w:r w:rsidRPr="003E4329">
        <w:t>Krewski</w:t>
      </w:r>
      <w:proofErr w:type="spellEnd"/>
      <w:r w:rsidRPr="003E4329">
        <w:t>, D; Brook, R. (2014). Relationships between fine particulate air pollution, cardiometabolic disorders and cardiovascular mortality. Circ Res 116: 108-U258.</w:t>
      </w:r>
    </w:p>
    <w:p w14:paraId="65EBF910" w14:textId="77777777" w:rsidR="008F2566" w:rsidRDefault="008F2566" w:rsidP="008F2566">
      <w:pPr>
        <w:ind w:left="720" w:hanging="720"/>
      </w:pPr>
    </w:p>
    <w:p w14:paraId="28BED77F" w14:textId="77777777" w:rsidR="008F2566" w:rsidRDefault="008F2566" w:rsidP="008F2566">
      <w:pPr>
        <w:ind w:left="720" w:hanging="720"/>
      </w:pPr>
      <w:proofErr w:type="spellStart"/>
      <w:r w:rsidRPr="006F0562">
        <w:t>Puett</w:t>
      </w:r>
      <w:proofErr w:type="spellEnd"/>
      <w:r w:rsidRPr="006F0562">
        <w:t xml:space="preserve">, R, Hart, J, Suh, H, </w:t>
      </w:r>
      <w:proofErr w:type="spellStart"/>
      <w:r w:rsidRPr="006F0562">
        <w:t>Mittleman</w:t>
      </w:r>
      <w:proofErr w:type="spellEnd"/>
      <w:r w:rsidRPr="006F0562">
        <w:t>, M</w:t>
      </w:r>
      <w:r>
        <w:t xml:space="preserve">; </w:t>
      </w:r>
      <w:r w:rsidRPr="006F0562">
        <w:t>Laden, F</w:t>
      </w:r>
      <w:r>
        <w:t>.</w:t>
      </w:r>
      <w:r w:rsidRPr="006F0562">
        <w:t xml:space="preserve"> (2011). Particulate matter exposures, mortality and cardiovascular disease in the health</w:t>
      </w:r>
      <w:r>
        <w:t xml:space="preserve"> </w:t>
      </w:r>
      <w:proofErr w:type="gramStart"/>
      <w:r>
        <w:t>p</w:t>
      </w:r>
      <w:r w:rsidRPr="006F0562">
        <w:t>rofessionals</w:t>
      </w:r>
      <w:proofErr w:type="gramEnd"/>
      <w:r>
        <w:t xml:space="preserve"> </w:t>
      </w:r>
      <w:r w:rsidRPr="006F0562">
        <w:t>follow-up study. Environmental Health Perspectives 119(8): 1130-1135.</w:t>
      </w:r>
    </w:p>
    <w:p w14:paraId="3C5DE034" w14:textId="77777777" w:rsidR="008F2566" w:rsidRDefault="008F2566" w:rsidP="008F2566">
      <w:pPr>
        <w:ind w:left="720" w:hanging="720"/>
      </w:pPr>
    </w:p>
    <w:p w14:paraId="786F0626" w14:textId="3D0270F2" w:rsidR="008F2566" w:rsidRDefault="008F2566" w:rsidP="008F2566">
      <w:pPr>
        <w:ind w:left="720" w:hanging="720"/>
      </w:pPr>
      <w:r w:rsidRPr="0031558E">
        <w:t xml:space="preserve">Pun, V; </w:t>
      </w:r>
      <w:proofErr w:type="spellStart"/>
      <w:r w:rsidRPr="0031558E">
        <w:t>Kazemiparkouhi</w:t>
      </w:r>
      <w:proofErr w:type="spellEnd"/>
      <w:r w:rsidRPr="0031558E">
        <w:t xml:space="preserve">, F; </w:t>
      </w:r>
      <w:proofErr w:type="spellStart"/>
      <w:r w:rsidRPr="0031558E">
        <w:t>Manjourides</w:t>
      </w:r>
      <w:proofErr w:type="spellEnd"/>
      <w:r w:rsidRPr="0031558E">
        <w:t>, J; Suh, H. (2017). Long-Term PM2.5 Exposure and Respiratory, Cancer, and Cardiovascular Mortality in Older US Adults. American Journal of Epidemiology 186(8) 961-969.</w:t>
      </w:r>
    </w:p>
    <w:p w14:paraId="21B3CD02" w14:textId="09CC7815" w:rsidR="00FB443C" w:rsidRDefault="00FB443C" w:rsidP="008F2566">
      <w:pPr>
        <w:ind w:left="720" w:hanging="720"/>
      </w:pPr>
    </w:p>
    <w:p w14:paraId="393C2EB2" w14:textId="3C9BDABF" w:rsidR="008F2566" w:rsidRDefault="008F2566" w:rsidP="008F2566">
      <w:pPr>
        <w:ind w:left="720" w:hanging="720"/>
      </w:pPr>
      <w:proofErr w:type="spellStart"/>
      <w:r w:rsidRPr="009E7525">
        <w:t>Salimi</w:t>
      </w:r>
      <w:proofErr w:type="spellEnd"/>
      <w:r w:rsidRPr="009E7525">
        <w:t xml:space="preserve">, F; Morgana, G; </w:t>
      </w:r>
      <w:proofErr w:type="spellStart"/>
      <w:r w:rsidRPr="009E7525">
        <w:t>Rolfea</w:t>
      </w:r>
      <w:proofErr w:type="spellEnd"/>
      <w:r w:rsidRPr="009E7525">
        <w:t xml:space="preserve">, M; et al. (2018). Long-term exposure to low concentrations of air pollutants and </w:t>
      </w:r>
      <w:proofErr w:type="spellStart"/>
      <w:r w:rsidRPr="009E7525">
        <w:t>hospitalisation</w:t>
      </w:r>
      <w:proofErr w:type="spellEnd"/>
      <w:r w:rsidRPr="009E7525">
        <w:t xml:space="preserve"> for respiratory diseases: A prospective cohort study in Australia. Environment International 121: 415-420.</w:t>
      </w:r>
    </w:p>
    <w:p w14:paraId="32F9D6D8" w14:textId="35B3EBD2" w:rsidR="005659F7" w:rsidRDefault="005659F7" w:rsidP="008F2566">
      <w:pPr>
        <w:ind w:left="720" w:hanging="720"/>
      </w:pPr>
    </w:p>
    <w:p w14:paraId="526A987A" w14:textId="5228A117" w:rsidR="005659F7" w:rsidRDefault="005659F7" w:rsidP="008F2566">
      <w:pPr>
        <w:ind w:left="720" w:hanging="720"/>
      </w:pPr>
      <w:proofErr w:type="spellStart"/>
      <w:r w:rsidRPr="005659F7">
        <w:t>Sarnat</w:t>
      </w:r>
      <w:proofErr w:type="spellEnd"/>
      <w:r w:rsidRPr="005659F7">
        <w:t xml:space="preserve">, SE; Winquist, A; Schauer, JJ; Turner, JR; </w:t>
      </w:r>
      <w:proofErr w:type="spellStart"/>
      <w:r w:rsidRPr="005659F7">
        <w:t>Sarnat</w:t>
      </w:r>
      <w:proofErr w:type="spellEnd"/>
      <w:r w:rsidRPr="005659F7">
        <w:t xml:space="preserve">, JA. (2015). Fine particulate matter components and emergency department visits for cardiovascular and respiratory diseases in the St. Louis, Missouri-Illinois, metropolitan area. Environ Health </w:t>
      </w:r>
      <w:proofErr w:type="spellStart"/>
      <w:r w:rsidRPr="005659F7">
        <w:t>Perspect</w:t>
      </w:r>
      <w:proofErr w:type="spellEnd"/>
      <w:r w:rsidRPr="005659F7">
        <w:t xml:space="preserve"> 123: 437-444.</w:t>
      </w:r>
    </w:p>
    <w:p w14:paraId="54D83EFA" w14:textId="77777777" w:rsidR="008F2566" w:rsidRDefault="008F2566" w:rsidP="008F2566">
      <w:pPr>
        <w:ind w:left="720" w:hanging="720"/>
      </w:pPr>
    </w:p>
    <w:p w14:paraId="06F4CE45" w14:textId="310416DB" w:rsidR="008F2566" w:rsidRDefault="008F2566" w:rsidP="004025F3">
      <w:pPr>
        <w:spacing w:before="0"/>
        <w:ind w:left="720" w:hanging="720"/>
      </w:pPr>
      <w:r w:rsidRPr="00AE03C1">
        <w:t>Schober</w:t>
      </w:r>
      <w:r>
        <w:t xml:space="preserve">, P; </w:t>
      </w:r>
      <w:r w:rsidRPr="00AE03C1">
        <w:t xml:space="preserve">Boer, </w:t>
      </w:r>
      <w:r>
        <w:t xml:space="preserve">C; </w:t>
      </w:r>
      <w:r w:rsidRPr="00AE03C1">
        <w:t xml:space="preserve">and </w:t>
      </w:r>
      <w:proofErr w:type="spellStart"/>
      <w:r w:rsidRPr="00AE03C1">
        <w:t>Schwarte</w:t>
      </w:r>
      <w:proofErr w:type="spellEnd"/>
      <w:r w:rsidRPr="00AE03C1">
        <w:t xml:space="preserve">, </w:t>
      </w:r>
      <w:r>
        <w:t xml:space="preserve">L. (2018). </w:t>
      </w:r>
      <w:r w:rsidRPr="00AE03C1">
        <w:t xml:space="preserve">Correlation Coefficients: </w:t>
      </w:r>
      <w:r>
        <w:t xml:space="preserve"> A</w:t>
      </w:r>
      <w:r w:rsidRPr="00AE03C1">
        <w:t>ppropriate Use and</w:t>
      </w:r>
      <w:r>
        <w:t xml:space="preserve"> </w:t>
      </w:r>
      <w:r w:rsidRPr="00AE03C1">
        <w:t>Interpretation</w:t>
      </w:r>
      <w:r>
        <w:t xml:space="preserve">. </w:t>
      </w:r>
      <w:proofErr w:type="spellStart"/>
      <w:r w:rsidRPr="00AE03C1">
        <w:t>Anesth</w:t>
      </w:r>
      <w:proofErr w:type="spellEnd"/>
      <w:r>
        <w:t xml:space="preserve"> </w:t>
      </w:r>
      <w:proofErr w:type="spellStart"/>
      <w:r w:rsidRPr="00AE03C1">
        <w:t>Analg</w:t>
      </w:r>
      <w:proofErr w:type="spellEnd"/>
      <w:r w:rsidRPr="00AE03C1">
        <w:t xml:space="preserve"> 126:1763–8</w:t>
      </w:r>
      <w:r>
        <w:t>.</w:t>
      </w:r>
    </w:p>
    <w:p w14:paraId="04ED9EF3" w14:textId="2AF781C5" w:rsidR="008457C4" w:rsidRDefault="008457C4" w:rsidP="004025F3">
      <w:pPr>
        <w:spacing w:before="0"/>
        <w:ind w:left="720" w:hanging="720"/>
      </w:pPr>
    </w:p>
    <w:p w14:paraId="743A2836" w14:textId="167FECED" w:rsidR="008457C4" w:rsidRDefault="008457C4" w:rsidP="004025F3">
      <w:pPr>
        <w:spacing w:before="0"/>
        <w:ind w:left="720" w:hanging="720"/>
      </w:pPr>
      <w:proofErr w:type="spellStart"/>
      <w:r w:rsidRPr="008457C4">
        <w:t>Sivagangabalan</w:t>
      </w:r>
      <w:proofErr w:type="spellEnd"/>
      <w:r w:rsidRPr="008457C4">
        <w:t xml:space="preserve">, G; Spears, D; Masse, S; </w:t>
      </w:r>
      <w:proofErr w:type="spellStart"/>
      <w:r w:rsidRPr="008457C4">
        <w:t>Urch</w:t>
      </w:r>
      <w:proofErr w:type="spellEnd"/>
      <w:r w:rsidRPr="008457C4">
        <w:t xml:space="preserve">, B; Brook, RD; Silverman, F; Gold, DR; </w:t>
      </w:r>
      <w:proofErr w:type="spellStart"/>
      <w:r w:rsidRPr="008457C4">
        <w:t>Lukic</w:t>
      </w:r>
      <w:proofErr w:type="spellEnd"/>
      <w:r w:rsidRPr="008457C4">
        <w:t xml:space="preserve">, KZ; Speck, M; </w:t>
      </w:r>
      <w:proofErr w:type="spellStart"/>
      <w:r w:rsidRPr="008457C4">
        <w:t>Kusha</w:t>
      </w:r>
      <w:proofErr w:type="spellEnd"/>
      <w:r w:rsidRPr="008457C4">
        <w:t xml:space="preserve">, M; Farid, T; </w:t>
      </w:r>
      <w:proofErr w:type="spellStart"/>
      <w:r w:rsidRPr="008457C4">
        <w:t>Poku</w:t>
      </w:r>
      <w:proofErr w:type="spellEnd"/>
      <w:r w:rsidRPr="008457C4">
        <w:t xml:space="preserve">, K; Shi, E; Floras, J; </w:t>
      </w:r>
      <w:proofErr w:type="spellStart"/>
      <w:r w:rsidRPr="008457C4">
        <w:t>Nanthakumar</w:t>
      </w:r>
      <w:proofErr w:type="spellEnd"/>
      <w:r w:rsidRPr="008457C4">
        <w:t xml:space="preserve">, K. (2011). The effect of air pollution on spatial dispersion of myocardial repolarization in healthy human volunteers. J Am Coll </w:t>
      </w:r>
      <w:proofErr w:type="spellStart"/>
      <w:r w:rsidRPr="008457C4">
        <w:t>Cardiol</w:t>
      </w:r>
      <w:proofErr w:type="spellEnd"/>
      <w:r w:rsidRPr="008457C4">
        <w:t xml:space="preserve"> 57: 198-206.</w:t>
      </w:r>
    </w:p>
    <w:p w14:paraId="0FE63B41" w14:textId="77777777" w:rsidR="004025F3" w:rsidRDefault="004025F3" w:rsidP="004025F3">
      <w:pPr>
        <w:spacing w:before="0"/>
        <w:ind w:left="720" w:hanging="720"/>
      </w:pPr>
    </w:p>
    <w:p w14:paraId="7602359E" w14:textId="281EB6AC" w:rsidR="00FB443C" w:rsidRDefault="00FB443C" w:rsidP="008F2566">
      <w:pPr>
        <w:ind w:left="720" w:hanging="720"/>
      </w:pPr>
      <w:r w:rsidRPr="00FB443C">
        <w:t xml:space="preserve">Talbott, EO; </w:t>
      </w:r>
      <w:proofErr w:type="spellStart"/>
      <w:r w:rsidRPr="00FB443C">
        <w:t>Rager</w:t>
      </w:r>
      <w:proofErr w:type="spellEnd"/>
      <w:r w:rsidRPr="00FB443C">
        <w:t xml:space="preserve">, J. R.; Benson, S; Ann Brink, L; </w:t>
      </w:r>
      <w:proofErr w:type="spellStart"/>
      <w:r w:rsidRPr="00FB443C">
        <w:t>Bilonick</w:t>
      </w:r>
      <w:proofErr w:type="spellEnd"/>
      <w:r w:rsidRPr="00FB443C">
        <w:t>, RA; Wu, C. (2014). A case-crossover analysis of the impact of PM2.5 on cardiovascular disease hospitalizations for selected CDC tracking states. Environ Res 134C: 455-465.</w:t>
      </w:r>
    </w:p>
    <w:p w14:paraId="1B61D976" w14:textId="77777777" w:rsidR="00FB443C" w:rsidRDefault="00FB443C" w:rsidP="008F2566">
      <w:pPr>
        <w:ind w:left="720" w:hanging="720"/>
      </w:pPr>
    </w:p>
    <w:p w14:paraId="44D488D0" w14:textId="097C4314" w:rsidR="008F2566" w:rsidRDefault="008F2566" w:rsidP="008F2566">
      <w:pPr>
        <w:ind w:left="720" w:hanging="720"/>
      </w:pPr>
      <w:r w:rsidRPr="009E7525">
        <w:t xml:space="preserve">Tolbert, P; Klein, M; Peel, J; </w:t>
      </w:r>
      <w:proofErr w:type="spellStart"/>
      <w:r w:rsidRPr="009E7525">
        <w:t>Sarnat</w:t>
      </w:r>
      <w:proofErr w:type="spellEnd"/>
      <w:r w:rsidRPr="009E7525">
        <w:t xml:space="preserve">, S; </w:t>
      </w:r>
      <w:proofErr w:type="spellStart"/>
      <w:r w:rsidRPr="009E7525">
        <w:t>Sarnat</w:t>
      </w:r>
      <w:proofErr w:type="spellEnd"/>
      <w:r w:rsidRPr="009E7525">
        <w:t>, J. (2007). Multipollutant modeling issues in a study of ambient air quality and emergency department visits in Atlanta. J Expo Sci Environ Epidemiol 17: 829-835.</w:t>
      </w:r>
    </w:p>
    <w:p w14:paraId="7F2614D4" w14:textId="72F9FC8D" w:rsidR="007D46D2" w:rsidRDefault="007D46D2" w:rsidP="008F2566">
      <w:pPr>
        <w:ind w:left="720" w:hanging="720"/>
      </w:pPr>
    </w:p>
    <w:p w14:paraId="7B5AB105" w14:textId="464997E4" w:rsidR="007D46D2" w:rsidRDefault="007D46D2" w:rsidP="008F2566">
      <w:pPr>
        <w:ind w:left="720" w:hanging="720"/>
      </w:pPr>
      <w:r w:rsidRPr="007D46D2">
        <w:t xml:space="preserve">Tong, H; </w:t>
      </w:r>
      <w:proofErr w:type="spellStart"/>
      <w:r w:rsidRPr="007D46D2">
        <w:t>Rappold</w:t>
      </w:r>
      <w:proofErr w:type="spellEnd"/>
      <w:r w:rsidRPr="007D46D2">
        <w:t xml:space="preserve">, AG; </w:t>
      </w:r>
      <w:proofErr w:type="spellStart"/>
      <w:r w:rsidRPr="007D46D2">
        <w:t>Caughey</w:t>
      </w:r>
      <w:proofErr w:type="spellEnd"/>
      <w:r w:rsidRPr="007D46D2">
        <w:t xml:space="preserve">, M; </w:t>
      </w:r>
      <w:proofErr w:type="spellStart"/>
      <w:r w:rsidRPr="007D46D2">
        <w:t>Hinderliter</w:t>
      </w:r>
      <w:proofErr w:type="spellEnd"/>
      <w:r w:rsidRPr="007D46D2">
        <w:t xml:space="preserve">, AL; Bassett, M; </w:t>
      </w:r>
      <w:proofErr w:type="spellStart"/>
      <w:r w:rsidRPr="007D46D2">
        <w:t>Montilla</w:t>
      </w:r>
      <w:proofErr w:type="spellEnd"/>
      <w:r w:rsidRPr="007D46D2">
        <w:t xml:space="preserve">, T; Case, MW; Berntsen, J; Bromberg, PA; Cascio, WE; Diaz-Sanchez, D; Devlin, RB; </w:t>
      </w:r>
      <w:proofErr w:type="spellStart"/>
      <w:r w:rsidRPr="007D46D2">
        <w:t>Samet</w:t>
      </w:r>
      <w:proofErr w:type="spellEnd"/>
      <w:r w:rsidRPr="007D46D2">
        <w:t>, JM. (2015). Dietary supplementation with olive oil or fish oil and vascular effects of concentrated ambient particulate matter exposure in human volunteers.</w:t>
      </w:r>
    </w:p>
    <w:p w14:paraId="28915E45" w14:textId="77777777" w:rsidR="008F2566" w:rsidRDefault="008F2566" w:rsidP="008F2566">
      <w:pPr>
        <w:ind w:left="720" w:hanging="720"/>
      </w:pPr>
    </w:p>
    <w:p w14:paraId="6BDA3436" w14:textId="77777777" w:rsidR="008F2566" w:rsidRDefault="008F2566" w:rsidP="008F2566">
      <w:pPr>
        <w:ind w:left="720" w:hanging="720"/>
      </w:pPr>
      <w:r w:rsidRPr="00C7548B">
        <w:t xml:space="preserve">Turner, M; </w:t>
      </w:r>
      <w:proofErr w:type="spellStart"/>
      <w:r w:rsidRPr="00C7548B">
        <w:t>Krewski</w:t>
      </w:r>
      <w:proofErr w:type="spellEnd"/>
      <w:r w:rsidRPr="00C7548B">
        <w:t xml:space="preserve">, D; Pope, CA III; Chen, Y; </w:t>
      </w:r>
      <w:proofErr w:type="spellStart"/>
      <w:r w:rsidRPr="00C7548B">
        <w:t>Gapstur</w:t>
      </w:r>
      <w:proofErr w:type="spellEnd"/>
      <w:r w:rsidRPr="00C7548B">
        <w:t xml:space="preserve">, S; Thun, M. (2011). Long-term ambient fine particulate matter air pollution and lung cancer in a large cohort of never-smokers. Am J Respir </w:t>
      </w:r>
      <w:proofErr w:type="spellStart"/>
      <w:r w:rsidRPr="00C7548B">
        <w:t>Crit</w:t>
      </w:r>
      <w:proofErr w:type="spellEnd"/>
      <w:r w:rsidRPr="00C7548B">
        <w:t xml:space="preserve"> Care Med 184(12):1374-1381.</w:t>
      </w:r>
    </w:p>
    <w:p w14:paraId="2D11EFD5" w14:textId="77777777" w:rsidR="008F2566" w:rsidRDefault="008F2566" w:rsidP="008F2566">
      <w:pPr>
        <w:ind w:left="720" w:hanging="720"/>
      </w:pPr>
    </w:p>
    <w:p w14:paraId="242A8DBB" w14:textId="77777777" w:rsidR="008F2566" w:rsidRDefault="008F2566" w:rsidP="008F2566">
      <w:pPr>
        <w:ind w:left="720" w:hanging="720"/>
      </w:pPr>
      <w:r w:rsidRPr="003E4329">
        <w:t xml:space="preserve">Turner, M; </w:t>
      </w:r>
      <w:proofErr w:type="spellStart"/>
      <w:r w:rsidRPr="003E4329">
        <w:t>Jerrett</w:t>
      </w:r>
      <w:proofErr w:type="spellEnd"/>
      <w:r w:rsidRPr="003E4329">
        <w:t xml:space="preserve">, M; Pope, A, III; </w:t>
      </w:r>
      <w:proofErr w:type="spellStart"/>
      <w:r w:rsidRPr="003E4329">
        <w:t>Krewski</w:t>
      </w:r>
      <w:proofErr w:type="spellEnd"/>
      <w:r w:rsidRPr="003E4329">
        <w:t xml:space="preserve">, D; </w:t>
      </w:r>
      <w:proofErr w:type="spellStart"/>
      <w:r w:rsidRPr="003E4329">
        <w:t>Gapstur</w:t>
      </w:r>
      <w:proofErr w:type="spellEnd"/>
      <w:r w:rsidRPr="003E4329">
        <w:t xml:space="preserve">, S; Diver, W; Beckerman, B; Marshall, J; </w:t>
      </w:r>
      <w:proofErr w:type="spellStart"/>
      <w:r w:rsidRPr="003E4329">
        <w:t>Su</w:t>
      </w:r>
      <w:proofErr w:type="spellEnd"/>
      <w:r w:rsidRPr="003E4329">
        <w:t xml:space="preserve">, J; Crouse, D; Burnett, R. (2016). Long-term ozone exposure and mortality in a large prospective study. Am J Respir </w:t>
      </w:r>
      <w:proofErr w:type="spellStart"/>
      <w:r w:rsidRPr="003E4329">
        <w:t>Crit</w:t>
      </w:r>
      <w:proofErr w:type="spellEnd"/>
      <w:r w:rsidRPr="003E4329">
        <w:t xml:space="preserve"> Care Med 193:1134-1142</w:t>
      </w:r>
      <w:r>
        <w:t>.</w:t>
      </w:r>
    </w:p>
    <w:p w14:paraId="0F8C0020" w14:textId="77777777" w:rsidR="008F2566" w:rsidRDefault="008F2566" w:rsidP="008F2566">
      <w:pPr>
        <w:ind w:left="720" w:hanging="720"/>
      </w:pPr>
    </w:p>
    <w:p w14:paraId="08ED8027" w14:textId="77777777" w:rsidR="008F2566" w:rsidRDefault="008F2566" w:rsidP="008F2566">
      <w:pPr>
        <w:ind w:left="720" w:hanging="720"/>
      </w:pPr>
      <w:r w:rsidRPr="00A16C29">
        <w:t>U.S. Environmental Protection Agency</w:t>
      </w:r>
      <w:r w:rsidRPr="004610CD">
        <w:t xml:space="preserve"> </w:t>
      </w:r>
      <w:r>
        <w:t>(</w:t>
      </w:r>
      <w:r w:rsidRPr="004610CD">
        <w:t>USEPA</w:t>
      </w:r>
      <w:r>
        <w:t>)</w:t>
      </w:r>
      <w:r w:rsidRPr="004610CD">
        <w:t>. (2009). Integrated science assessment for particulate matter [EPA Report]. (EPA/600/R-08/139F). Research Triangle Park, NC: U.S. Environmental Protection Agency, Office of Research and Development, National Center for Environmental Assessment - RTP Division.</w:t>
      </w:r>
    </w:p>
    <w:p w14:paraId="1A5A184F" w14:textId="77777777" w:rsidR="008F2566" w:rsidRDefault="008F2566" w:rsidP="008F2566">
      <w:pPr>
        <w:ind w:left="720" w:hanging="720"/>
      </w:pPr>
    </w:p>
    <w:p w14:paraId="596A7E1B" w14:textId="77777777" w:rsidR="00713897" w:rsidRDefault="00713897" w:rsidP="00713897">
      <w:pPr>
        <w:ind w:left="720" w:hanging="720"/>
      </w:pPr>
      <w:r w:rsidRPr="00A16C29">
        <w:t>U.S. Environmental Protection Agency</w:t>
      </w:r>
      <w:r w:rsidRPr="00695219">
        <w:t xml:space="preserve"> </w:t>
      </w:r>
      <w:r>
        <w:t>(</w:t>
      </w:r>
      <w:r w:rsidRPr="00695219">
        <w:t>USEPA</w:t>
      </w:r>
      <w:r>
        <w:t>)</w:t>
      </w:r>
      <w:r w:rsidRPr="00695219">
        <w:t xml:space="preserve">. </w:t>
      </w:r>
      <w:r>
        <w:t>(</w:t>
      </w:r>
      <w:r w:rsidRPr="00695219">
        <w:t>2010</w:t>
      </w:r>
      <w:r>
        <w:t>)</w:t>
      </w:r>
      <w:r w:rsidRPr="00695219">
        <w:t>. Quantitative Health Risk Assessment for Particulate Matter. EPA-452/R-10-005. Research Triangle Park, NC: U.S. Environmental Protection Agency, Office of Air and Radiation, Office of Air Quality Planning and Standards.</w:t>
      </w:r>
    </w:p>
    <w:p w14:paraId="6574CA71" w14:textId="77777777" w:rsidR="00713897" w:rsidRDefault="00713897" w:rsidP="00713897">
      <w:pPr>
        <w:ind w:left="720" w:hanging="720"/>
      </w:pPr>
    </w:p>
    <w:p w14:paraId="4C873BD3" w14:textId="77777777" w:rsidR="00713897" w:rsidRDefault="00713897" w:rsidP="00713897">
      <w:pPr>
        <w:ind w:left="720" w:hanging="720"/>
      </w:pPr>
      <w:r w:rsidRPr="00A16C29">
        <w:t>U.S. Environmental Protection Agency</w:t>
      </w:r>
      <w:r w:rsidRPr="00695219">
        <w:t xml:space="preserve"> </w:t>
      </w:r>
      <w:r>
        <w:t>(</w:t>
      </w:r>
      <w:r w:rsidRPr="00695219">
        <w:t>USEPA</w:t>
      </w:r>
      <w:r>
        <w:t>). (2012</w:t>
      </w:r>
      <w:r w:rsidRPr="00152586">
        <w:t>). Responses to Significant Comments on the 2012 Proposed Rule on the National Ambient Air Quality Standards for Particulate Matter, (June 29, 2012; 77 FR 38890). Docket Number EPA-HQ-OAR-2007-0492, U.S. Environmental Protection Agency.</w:t>
      </w:r>
    </w:p>
    <w:p w14:paraId="7B0EE145" w14:textId="77777777" w:rsidR="00713897" w:rsidRDefault="00713897" w:rsidP="00713897">
      <w:pPr>
        <w:ind w:left="720" w:hanging="720"/>
      </w:pPr>
    </w:p>
    <w:p w14:paraId="04E5092F" w14:textId="77777777" w:rsidR="00713897" w:rsidRDefault="00713897" w:rsidP="00713897">
      <w:pPr>
        <w:ind w:left="720" w:hanging="720"/>
      </w:pPr>
      <w:r w:rsidRPr="00A16C29">
        <w:t>U.S. Environmental Protection Agency</w:t>
      </w:r>
      <w:r w:rsidRPr="00C7548B">
        <w:t xml:space="preserve"> </w:t>
      </w:r>
      <w:r>
        <w:t>(</w:t>
      </w:r>
      <w:r w:rsidRPr="00C7548B">
        <w:t>USEPA</w:t>
      </w:r>
      <w:r>
        <w:t>)</w:t>
      </w:r>
      <w:r w:rsidRPr="00C7548B">
        <w:t xml:space="preserve">. </w:t>
      </w:r>
      <w:r>
        <w:t>(</w:t>
      </w:r>
      <w:r w:rsidRPr="00C7548B">
        <w:t>2018</w:t>
      </w:r>
      <w:r>
        <w:t>)</w:t>
      </w:r>
      <w:r w:rsidRPr="00C7548B">
        <w:t>. Risk and Exposure Assessment for the Review of the Primary National Ambient Air Quality Standard for Sulfur Oxides. EPA-452/R-18-003. Research Triangle Park, NC: U.S. Environmental Protection Agency, Office of Air and Radiation, Office of Air Quality Planning and Standards.</w:t>
      </w:r>
    </w:p>
    <w:p w14:paraId="619DFFF4" w14:textId="77777777" w:rsidR="00713897" w:rsidRDefault="00713897" w:rsidP="00713897">
      <w:pPr>
        <w:ind w:left="720" w:hanging="720"/>
      </w:pPr>
    </w:p>
    <w:p w14:paraId="0571101B" w14:textId="5865413B" w:rsidR="00713897" w:rsidRDefault="00713897" w:rsidP="00713897">
      <w:pPr>
        <w:ind w:left="720" w:hanging="720"/>
      </w:pPr>
      <w:r w:rsidRPr="00A16C29">
        <w:t>U.S. Environmental Protection Agency</w:t>
      </w:r>
      <w:r>
        <w:t xml:space="preserve"> (USEPA). (2019). </w:t>
      </w:r>
      <w:r w:rsidRPr="00A16C29">
        <w:t>Policy Assessment for the Review of the</w:t>
      </w:r>
      <w:r>
        <w:t xml:space="preserve"> </w:t>
      </w:r>
      <w:r w:rsidRPr="00A16C29">
        <w:t>National Ambient Air Quality Standards for</w:t>
      </w:r>
      <w:r>
        <w:t xml:space="preserve"> </w:t>
      </w:r>
      <w:r w:rsidRPr="00A16C29">
        <w:t>Particulate Matter, External Review Draft</w:t>
      </w:r>
      <w:r>
        <w:t xml:space="preserve">. </w:t>
      </w:r>
      <w:r w:rsidRPr="00A16C29">
        <w:t>EPA-452/P-19-001</w:t>
      </w:r>
      <w:r>
        <w:t xml:space="preserve">. </w:t>
      </w:r>
      <w:r w:rsidRPr="00A16C29">
        <w:t>Research Triangle Park, NC</w:t>
      </w:r>
      <w:r>
        <w:t>:</w:t>
      </w:r>
      <w:r w:rsidRPr="00A16C29">
        <w:t xml:space="preserve"> U.S. Environmental Protection Agency</w:t>
      </w:r>
      <w:r>
        <w:t xml:space="preserve">, </w:t>
      </w:r>
      <w:r w:rsidRPr="00A16C29">
        <w:t>Office of Air Quality Planning and Standards</w:t>
      </w:r>
      <w:r>
        <w:t xml:space="preserve">, </w:t>
      </w:r>
      <w:r w:rsidRPr="00A16C29">
        <w:t>Health and Environmental Impacts Division</w:t>
      </w:r>
      <w:r>
        <w:t>.</w:t>
      </w:r>
    </w:p>
    <w:p w14:paraId="3F846354" w14:textId="54E360C3" w:rsidR="00FB443C" w:rsidRDefault="00FB443C" w:rsidP="00713897">
      <w:pPr>
        <w:ind w:left="720" w:hanging="720"/>
      </w:pPr>
    </w:p>
    <w:p w14:paraId="0AD60E60" w14:textId="77777777" w:rsidR="008C2CD2" w:rsidRDefault="008C2CD2" w:rsidP="00713897">
      <w:pPr>
        <w:ind w:left="720" w:hanging="720"/>
      </w:pPr>
    </w:p>
    <w:p w14:paraId="747157D0" w14:textId="60612C48" w:rsidR="008C2CD2" w:rsidRDefault="008C2CD2" w:rsidP="00713897">
      <w:pPr>
        <w:ind w:left="720" w:hanging="720"/>
      </w:pPr>
      <w:r w:rsidRPr="008C2CD2">
        <w:t xml:space="preserve">Vieira, JL; Guimaraes, GV; de Andre, PA; Nascimento </w:t>
      </w:r>
      <w:proofErr w:type="spellStart"/>
      <w:r w:rsidRPr="008C2CD2">
        <w:t>Saldiva</w:t>
      </w:r>
      <w:proofErr w:type="spellEnd"/>
      <w:r w:rsidRPr="008C2CD2">
        <w:t xml:space="preserve">, PH; </w:t>
      </w:r>
      <w:proofErr w:type="spellStart"/>
      <w:r w:rsidRPr="008C2CD2">
        <w:t>Bocchi</w:t>
      </w:r>
      <w:proofErr w:type="spellEnd"/>
      <w:r w:rsidRPr="008C2CD2">
        <w:t xml:space="preserve">, EA. (2016a). Effects of reducing exposure to air pollution on submaximal cardiopulmonary test in patients with heart failure: Analysis of the randomized, double-blind and controlled FILTER-HF trial. Int J </w:t>
      </w:r>
      <w:proofErr w:type="spellStart"/>
      <w:r w:rsidRPr="008C2CD2">
        <w:t>Cardiol</w:t>
      </w:r>
      <w:proofErr w:type="spellEnd"/>
      <w:r w:rsidRPr="008C2CD2">
        <w:t xml:space="preserve"> 215: 92-97.</w:t>
      </w:r>
    </w:p>
    <w:p w14:paraId="0AEC9E93" w14:textId="3AB3678B" w:rsidR="008C2CD2" w:rsidRDefault="008C2CD2" w:rsidP="00713897">
      <w:pPr>
        <w:ind w:left="720" w:hanging="720"/>
      </w:pPr>
    </w:p>
    <w:p w14:paraId="0F982494" w14:textId="33974747" w:rsidR="008C2CD2" w:rsidRDefault="008C2CD2" w:rsidP="00713897">
      <w:pPr>
        <w:ind w:left="720" w:hanging="720"/>
      </w:pPr>
      <w:r w:rsidRPr="008C2CD2">
        <w:t xml:space="preserve">Vieira, JL; Guimaraes, GV; de Andre, PA; Cruz, FD; Nascimento </w:t>
      </w:r>
      <w:proofErr w:type="spellStart"/>
      <w:r w:rsidRPr="008C2CD2">
        <w:t>Saldiva</w:t>
      </w:r>
      <w:proofErr w:type="spellEnd"/>
      <w:r w:rsidRPr="008C2CD2">
        <w:t xml:space="preserve">, PH; </w:t>
      </w:r>
      <w:proofErr w:type="spellStart"/>
      <w:r w:rsidRPr="008C2CD2">
        <w:t>Bocchi</w:t>
      </w:r>
      <w:proofErr w:type="spellEnd"/>
      <w:r w:rsidRPr="008C2CD2">
        <w:t>, EA. (2016b). Respiratory filter reduces the cardiovascular effects associated with diesel exhaust exposure a randomized, prospective, double-blind, controlled study of heart failure: the FILTER-HF trial. JACC: Heart Failure 4: 55-64.</w:t>
      </w:r>
    </w:p>
    <w:p w14:paraId="1160FB00" w14:textId="77777777" w:rsidR="008C2CD2" w:rsidRDefault="008C2CD2" w:rsidP="00713897">
      <w:pPr>
        <w:ind w:left="720" w:hanging="720"/>
      </w:pPr>
    </w:p>
    <w:p w14:paraId="609A81BB" w14:textId="77777777" w:rsidR="00B15E86" w:rsidRDefault="00713897" w:rsidP="00713897">
      <w:pPr>
        <w:ind w:left="720" w:hanging="720"/>
      </w:pPr>
      <w:proofErr w:type="spellStart"/>
      <w:r w:rsidRPr="00B52491">
        <w:t>Weichenthal</w:t>
      </w:r>
      <w:proofErr w:type="spellEnd"/>
      <w:r w:rsidRPr="00B52491">
        <w:t>, S</w:t>
      </w:r>
      <w:r>
        <w:t>;</w:t>
      </w:r>
      <w:r w:rsidRPr="00B52491">
        <w:t xml:space="preserve"> </w:t>
      </w:r>
      <w:proofErr w:type="spellStart"/>
      <w:r w:rsidRPr="00B52491">
        <w:t>Hatzopoulou</w:t>
      </w:r>
      <w:proofErr w:type="spellEnd"/>
      <w:r w:rsidRPr="00B52491">
        <w:t>, M</w:t>
      </w:r>
      <w:r>
        <w:t>;</w:t>
      </w:r>
      <w:r w:rsidRPr="00B52491">
        <w:t xml:space="preserve"> Goldberg, M</w:t>
      </w:r>
      <w:r>
        <w:t>.</w:t>
      </w:r>
      <w:r w:rsidRPr="00B52491">
        <w:t xml:space="preserve"> (2014). Exposure to traffic-related air</w:t>
      </w:r>
      <w:r>
        <w:t xml:space="preserve"> </w:t>
      </w:r>
      <w:r w:rsidRPr="00B52491">
        <w:t>12 pollution during physical activity and acute changes in blood pressure, autonomic and</w:t>
      </w:r>
      <w:r>
        <w:t xml:space="preserve"> </w:t>
      </w:r>
      <w:r w:rsidRPr="00B52491">
        <w:t xml:space="preserve">micro-vascular function in women: A cross-over study. Particle and </w:t>
      </w:r>
      <w:proofErr w:type="spellStart"/>
      <w:r w:rsidRPr="00B52491">
        <w:t>Fibre</w:t>
      </w:r>
      <w:proofErr w:type="spellEnd"/>
      <w:r w:rsidRPr="00B52491">
        <w:t xml:space="preserve"> Toxicology</w:t>
      </w:r>
      <w:r>
        <w:t xml:space="preserve"> </w:t>
      </w:r>
      <w:r w:rsidRPr="00B52491">
        <w:t>11(1):70.</w:t>
      </w:r>
    </w:p>
    <w:p w14:paraId="342843EA" w14:textId="77777777" w:rsidR="00B15E86" w:rsidRDefault="00B15E86" w:rsidP="00713897">
      <w:pPr>
        <w:ind w:left="720" w:hanging="720"/>
      </w:pPr>
    </w:p>
    <w:p w14:paraId="6777AC23" w14:textId="226FC012" w:rsidR="00B15E86" w:rsidRDefault="00B15E86" w:rsidP="00713897">
      <w:pPr>
        <w:ind w:left="720" w:hanging="720"/>
      </w:pPr>
      <w:proofErr w:type="spellStart"/>
      <w:r w:rsidRPr="00B15E86">
        <w:t>Wilker</w:t>
      </w:r>
      <w:proofErr w:type="spellEnd"/>
      <w:r w:rsidRPr="00B15E86">
        <w:t xml:space="preserve">, E; </w:t>
      </w:r>
      <w:proofErr w:type="spellStart"/>
      <w:r w:rsidRPr="00B15E86">
        <w:t>Mittleman</w:t>
      </w:r>
      <w:proofErr w:type="spellEnd"/>
      <w:r w:rsidRPr="00B15E86">
        <w:t xml:space="preserve">, MA; </w:t>
      </w:r>
      <w:proofErr w:type="spellStart"/>
      <w:r w:rsidRPr="00B15E86">
        <w:t>Litonjua</w:t>
      </w:r>
      <w:proofErr w:type="spellEnd"/>
      <w:r w:rsidRPr="00B15E86">
        <w:t xml:space="preserve">, AA; Poon, A; </w:t>
      </w:r>
      <w:proofErr w:type="spellStart"/>
      <w:r w:rsidRPr="00B15E86">
        <w:t>Baccarelli</w:t>
      </w:r>
      <w:proofErr w:type="spellEnd"/>
      <w:r w:rsidRPr="00B15E86">
        <w:t xml:space="preserve">, A; Suh, H; Wright, RO; Sparrow, D; </w:t>
      </w:r>
      <w:proofErr w:type="spellStart"/>
      <w:r w:rsidRPr="00B15E86">
        <w:t>Vokonas</w:t>
      </w:r>
      <w:proofErr w:type="spellEnd"/>
      <w:r w:rsidRPr="00B15E86">
        <w:t xml:space="preserve">, P; Schwartz, J. (2009). Postural changes in blood pressure associated with interactions between candidate genes for chronic respiratory diseases and exposure to particulate matter. Environ Health </w:t>
      </w:r>
      <w:proofErr w:type="spellStart"/>
      <w:r w:rsidRPr="00B15E86">
        <w:t>Perspect</w:t>
      </w:r>
      <w:proofErr w:type="spellEnd"/>
      <w:r w:rsidRPr="00B15E86">
        <w:t xml:space="preserve"> 117: 935-940.</w:t>
      </w:r>
    </w:p>
    <w:p w14:paraId="6C52EE6A" w14:textId="77777777" w:rsidR="00F97089" w:rsidRDefault="00F97089" w:rsidP="00713897">
      <w:pPr>
        <w:ind w:left="720" w:hanging="720"/>
      </w:pPr>
    </w:p>
    <w:p w14:paraId="41B8A704" w14:textId="3ACC27CD" w:rsidR="005659F7" w:rsidRDefault="007D46D2" w:rsidP="00713897">
      <w:pPr>
        <w:ind w:left="720" w:hanging="720"/>
      </w:pPr>
      <w:r w:rsidRPr="007D46D2">
        <w:t xml:space="preserve">Williams, L; Ulrich, CM; Larson, T; </w:t>
      </w:r>
      <w:proofErr w:type="spellStart"/>
      <w:r w:rsidRPr="007D46D2">
        <w:t>Wener</w:t>
      </w:r>
      <w:proofErr w:type="spellEnd"/>
      <w:r w:rsidRPr="007D46D2">
        <w:t xml:space="preserve">, MH; Wood, B; Chen-Levy, Z; Campbell, PT; Potter, J; </w:t>
      </w:r>
      <w:proofErr w:type="spellStart"/>
      <w:r w:rsidRPr="007D46D2">
        <w:t>Mctiernan</w:t>
      </w:r>
      <w:proofErr w:type="spellEnd"/>
      <w:r w:rsidRPr="007D46D2">
        <w:t xml:space="preserve">, A; De </w:t>
      </w:r>
      <w:proofErr w:type="spellStart"/>
      <w:r w:rsidRPr="007D46D2">
        <w:t>Roos</w:t>
      </w:r>
      <w:proofErr w:type="spellEnd"/>
      <w:r w:rsidRPr="007D46D2">
        <w:t>, AJ. (2011). Fine Particulate Matter (</w:t>
      </w:r>
      <w:proofErr w:type="gramStart"/>
      <w:r w:rsidRPr="007D46D2">
        <w:t>PM(</w:t>
      </w:r>
      <w:proofErr w:type="gramEnd"/>
      <w:r w:rsidRPr="007D46D2">
        <w:t xml:space="preserve">2.5)) Air Pollution and Immune Status Among Women in the Seattle Area. Arch Environ </w:t>
      </w:r>
      <w:proofErr w:type="spellStart"/>
      <w:r w:rsidRPr="007D46D2">
        <w:t>Occup</w:t>
      </w:r>
      <w:proofErr w:type="spellEnd"/>
      <w:r w:rsidRPr="007D46D2">
        <w:t xml:space="preserve"> Health 66: 155-165.</w:t>
      </w:r>
    </w:p>
    <w:p w14:paraId="451FAE7A" w14:textId="77777777" w:rsidR="007D46D2" w:rsidRDefault="007D46D2" w:rsidP="00713897">
      <w:pPr>
        <w:ind w:left="720" w:hanging="720"/>
      </w:pPr>
    </w:p>
    <w:p w14:paraId="6AEA3F07" w14:textId="77777777" w:rsidR="00713897" w:rsidRDefault="00713897" w:rsidP="00713897">
      <w:pPr>
        <w:ind w:left="720" w:hanging="720"/>
      </w:pPr>
      <w:r>
        <w:t>World Health Organization (</w:t>
      </w:r>
      <w:r w:rsidRPr="002554CF">
        <w:t>WHO</w:t>
      </w:r>
      <w:r>
        <w:t>)</w:t>
      </w:r>
      <w:r w:rsidRPr="002554CF">
        <w:t xml:space="preserve">. (2008). Uncertainty and Data Quality in Exposure Assessment. Geneva. The International </w:t>
      </w:r>
      <w:proofErr w:type="spellStart"/>
      <w:r w:rsidRPr="002554CF">
        <w:t>Programme</w:t>
      </w:r>
      <w:proofErr w:type="spellEnd"/>
      <w:r w:rsidRPr="002554CF">
        <w:t xml:space="preserve"> on Chemical Safety. </w:t>
      </w:r>
      <w:hyperlink r:id="rId19" w:history="1">
        <w:r w:rsidRPr="00213C8F">
          <w:rPr>
            <w:rStyle w:val="Hyperlink"/>
          </w:rPr>
          <w:t>https://www.who.int/ipcs/publications/methods/harmonization/exposure_assessment.pdf</w:t>
        </w:r>
      </w:hyperlink>
      <w:r>
        <w:t>.</w:t>
      </w:r>
    </w:p>
    <w:p w14:paraId="3780E99A" w14:textId="77777777" w:rsidR="00713897" w:rsidRPr="003E4329" w:rsidRDefault="00713897" w:rsidP="00713897"/>
    <w:p w14:paraId="678E8EBC" w14:textId="77777777" w:rsidR="00713897" w:rsidRDefault="00713897" w:rsidP="00713897">
      <w:pPr>
        <w:pStyle w:val="BodyText"/>
        <w:spacing w:after="240"/>
        <w:ind w:left="720" w:hanging="720"/>
        <w:rPr>
          <w:sz w:val="24"/>
        </w:rPr>
      </w:pPr>
      <w:r w:rsidRPr="003E4329">
        <w:rPr>
          <w:sz w:val="24"/>
        </w:rPr>
        <w:t>You, C; Lina, D; Young, S. (2018). PM2.5 and ozone, indicators of air quality, and acute deaths in California, 2004-2007. Reg To</w:t>
      </w:r>
      <w:r>
        <w:rPr>
          <w:sz w:val="24"/>
        </w:rPr>
        <w:t>x</w:t>
      </w:r>
      <w:r w:rsidRPr="003E4329">
        <w:rPr>
          <w:sz w:val="24"/>
        </w:rPr>
        <w:t xml:space="preserve"> </w:t>
      </w:r>
      <w:proofErr w:type="spellStart"/>
      <w:r w:rsidRPr="003E4329">
        <w:rPr>
          <w:sz w:val="24"/>
        </w:rPr>
        <w:t>Pharmacol</w:t>
      </w:r>
      <w:proofErr w:type="spellEnd"/>
      <w:r>
        <w:rPr>
          <w:sz w:val="24"/>
        </w:rPr>
        <w:t xml:space="preserve">, </w:t>
      </w:r>
      <w:hyperlink r:id="rId20" w:history="1">
        <w:r w:rsidRPr="00961075">
          <w:rPr>
            <w:rStyle w:val="Hyperlink"/>
            <w:sz w:val="24"/>
          </w:rPr>
          <w:t>https://doi.org/10.1016/j.yrtph.2018.05.012</w:t>
        </w:r>
      </w:hyperlink>
      <w:r w:rsidRPr="003E4329">
        <w:rPr>
          <w:sz w:val="24"/>
        </w:rPr>
        <w:t>.</w:t>
      </w:r>
    </w:p>
    <w:p w14:paraId="6306C1AC" w14:textId="38B2E9D1" w:rsidR="00713897" w:rsidRDefault="00713897" w:rsidP="00713897">
      <w:pPr>
        <w:pStyle w:val="BodyText"/>
        <w:spacing w:after="240"/>
        <w:ind w:left="720" w:hanging="720"/>
        <w:rPr>
          <w:sz w:val="24"/>
        </w:rPr>
      </w:pPr>
      <w:proofErr w:type="spellStart"/>
      <w:r w:rsidRPr="003E4329">
        <w:rPr>
          <w:sz w:val="24"/>
        </w:rPr>
        <w:t>Zanobetti</w:t>
      </w:r>
      <w:proofErr w:type="spellEnd"/>
      <w:r w:rsidRPr="003E4329">
        <w:rPr>
          <w:sz w:val="24"/>
        </w:rPr>
        <w:t>, A.</w:t>
      </w:r>
      <w:r>
        <w:rPr>
          <w:sz w:val="24"/>
        </w:rPr>
        <w:t>;</w:t>
      </w:r>
      <w:r w:rsidRPr="003E4329">
        <w:rPr>
          <w:sz w:val="24"/>
        </w:rPr>
        <w:t xml:space="preserve"> Schwartz</w:t>
      </w:r>
      <w:r>
        <w:rPr>
          <w:sz w:val="24"/>
        </w:rPr>
        <w:t>, J. (2009).</w:t>
      </w:r>
      <w:r w:rsidRPr="003E4329">
        <w:rPr>
          <w:sz w:val="24"/>
        </w:rPr>
        <w:t xml:space="preserve"> The effect of fine and coarse particulate air pollution on mortality: a national analysis. Environ Health </w:t>
      </w:r>
      <w:proofErr w:type="spellStart"/>
      <w:r w:rsidRPr="003E4329">
        <w:rPr>
          <w:sz w:val="24"/>
        </w:rPr>
        <w:t>Perspect</w:t>
      </w:r>
      <w:proofErr w:type="spellEnd"/>
      <w:r>
        <w:rPr>
          <w:sz w:val="24"/>
        </w:rPr>
        <w:t xml:space="preserve"> </w:t>
      </w:r>
      <w:r w:rsidRPr="003E4329">
        <w:rPr>
          <w:sz w:val="24"/>
        </w:rPr>
        <w:t>117(6):898-903.</w:t>
      </w:r>
    </w:p>
    <w:p w14:paraId="1540DB99" w14:textId="77777777" w:rsidR="00713897" w:rsidRDefault="00713897" w:rsidP="00713897">
      <w:pPr>
        <w:pStyle w:val="BodyText"/>
        <w:spacing w:after="240"/>
        <w:ind w:left="720" w:hanging="720"/>
        <w:rPr>
          <w:sz w:val="24"/>
        </w:rPr>
      </w:pPr>
      <w:proofErr w:type="spellStart"/>
      <w:r w:rsidRPr="001703D4">
        <w:rPr>
          <w:sz w:val="24"/>
        </w:rPr>
        <w:t>Zanobetti</w:t>
      </w:r>
      <w:proofErr w:type="spellEnd"/>
      <w:r w:rsidRPr="001703D4">
        <w:rPr>
          <w:sz w:val="24"/>
        </w:rPr>
        <w:t>, A</w:t>
      </w:r>
      <w:r>
        <w:rPr>
          <w:sz w:val="24"/>
        </w:rPr>
        <w:t>;</w:t>
      </w:r>
      <w:r w:rsidRPr="001703D4">
        <w:rPr>
          <w:sz w:val="24"/>
        </w:rPr>
        <w:t xml:space="preserve"> </w:t>
      </w:r>
      <w:proofErr w:type="spellStart"/>
      <w:r w:rsidRPr="001703D4">
        <w:rPr>
          <w:sz w:val="24"/>
        </w:rPr>
        <w:t>Dominici</w:t>
      </w:r>
      <w:proofErr w:type="spellEnd"/>
      <w:r w:rsidRPr="001703D4">
        <w:rPr>
          <w:sz w:val="24"/>
        </w:rPr>
        <w:t>, F</w:t>
      </w:r>
      <w:r>
        <w:rPr>
          <w:sz w:val="24"/>
        </w:rPr>
        <w:t>;</w:t>
      </w:r>
      <w:r w:rsidRPr="001703D4">
        <w:rPr>
          <w:sz w:val="24"/>
        </w:rPr>
        <w:t xml:space="preserve"> Wang, Y</w:t>
      </w:r>
      <w:r>
        <w:rPr>
          <w:sz w:val="24"/>
        </w:rPr>
        <w:t>;</w:t>
      </w:r>
      <w:r w:rsidRPr="001703D4">
        <w:rPr>
          <w:sz w:val="24"/>
        </w:rPr>
        <w:t xml:space="preserve"> </w:t>
      </w:r>
      <w:r>
        <w:rPr>
          <w:sz w:val="24"/>
        </w:rPr>
        <w:t>S</w:t>
      </w:r>
      <w:r w:rsidRPr="001703D4">
        <w:rPr>
          <w:sz w:val="24"/>
        </w:rPr>
        <w:t>chwartz, J</w:t>
      </w:r>
      <w:r>
        <w:rPr>
          <w:sz w:val="24"/>
        </w:rPr>
        <w:t>.</w:t>
      </w:r>
      <w:r w:rsidRPr="001703D4">
        <w:rPr>
          <w:sz w:val="24"/>
        </w:rPr>
        <w:t xml:space="preserve"> (2014). A national case-crossover</w:t>
      </w:r>
      <w:r>
        <w:rPr>
          <w:sz w:val="24"/>
        </w:rPr>
        <w:t xml:space="preserve"> </w:t>
      </w:r>
      <w:r w:rsidRPr="001703D4">
        <w:rPr>
          <w:sz w:val="24"/>
        </w:rPr>
        <w:t xml:space="preserve">analysis of the short-term effect of PM2.5 on hospitalizations and mortality in subjects with diabetes and </w:t>
      </w:r>
      <w:r w:rsidRPr="00E65B06">
        <w:rPr>
          <w:sz w:val="24"/>
        </w:rPr>
        <w:t>neurological disorders. Environmental Health: A Global Access</w:t>
      </w:r>
      <w:r>
        <w:rPr>
          <w:sz w:val="24"/>
        </w:rPr>
        <w:t xml:space="preserve"> </w:t>
      </w:r>
      <w:r w:rsidRPr="00E65B06">
        <w:rPr>
          <w:sz w:val="24"/>
        </w:rPr>
        <w:t>Science Source 13(1):38.</w:t>
      </w:r>
    </w:p>
    <w:p w14:paraId="74353693" w14:textId="77777777" w:rsidR="00713897" w:rsidRPr="003E4329" w:rsidRDefault="00713897" w:rsidP="00713897">
      <w:pPr>
        <w:pStyle w:val="BodyText"/>
        <w:spacing w:after="240"/>
        <w:ind w:left="720" w:hanging="720"/>
        <w:rPr>
          <w:sz w:val="24"/>
        </w:rPr>
      </w:pPr>
      <w:proofErr w:type="spellStart"/>
      <w:r w:rsidRPr="0031558E">
        <w:rPr>
          <w:sz w:val="24"/>
        </w:rPr>
        <w:t>Zeger</w:t>
      </w:r>
      <w:proofErr w:type="spellEnd"/>
      <w:r w:rsidRPr="0031558E">
        <w:rPr>
          <w:sz w:val="24"/>
        </w:rPr>
        <w:t xml:space="preserve">, S; </w:t>
      </w:r>
      <w:proofErr w:type="spellStart"/>
      <w:r w:rsidRPr="0031558E">
        <w:rPr>
          <w:sz w:val="24"/>
        </w:rPr>
        <w:t>Dominici</w:t>
      </w:r>
      <w:proofErr w:type="spellEnd"/>
      <w:r w:rsidRPr="0031558E">
        <w:rPr>
          <w:sz w:val="24"/>
        </w:rPr>
        <w:t xml:space="preserve">, F; McDermott, A; </w:t>
      </w:r>
      <w:proofErr w:type="spellStart"/>
      <w:r w:rsidRPr="0031558E">
        <w:rPr>
          <w:sz w:val="24"/>
        </w:rPr>
        <w:t>Samet</w:t>
      </w:r>
      <w:proofErr w:type="spellEnd"/>
      <w:r w:rsidRPr="0031558E">
        <w:rPr>
          <w:sz w:val="24"/>
        </w:rPr>
        <w:t xml:space="preserve">, J. (2008). Mortality in the Medicare population and chronic exposure to fine particulate air pollution in urban centers (2000-2005). Environ Health </w:t>
      </w:r>
      <w:proofErr w:type="spellStart"/>
      <w:r w:rsidRPr="0031558E">
        <w:rPr>
          <w:sz w:val="24"/>
        </w:rPr>
        <w:t>Perspect</w:t>
      </w:r>
      <w:proofErr w:type="spellEnd"/>
      <w:r w:rsidRPr="0031558E">
        <w:rPr>
          <w:sz w:val="24"/>
        </w:rPr>
        <w:t xml:space="preserve"> 116:1614-1619.</w:t>
      </w:r>
    </w:p>
    <w:p w14:paraId="0600F33D" w14:textId="77777777" w:rsidR="008F2566" w:rsidRDefault="008F2566" w:rsidP="00C97C81">
      <w:pPr>
        <w:pStyle w:val="BodyText"/>
      </w:pPr>
    </w:p>
    <w:p w14:paraId="692F4D59" w14:textId="6B22FF8E" w:rsidR="008F2566" w:rsidRDefault="004025F3" w:rsidP="00C97C81">
      <w:pPr>
        <w:pStyle w:val="BodyText"/>
      </w:pPr>
      <w:r>
        <w:t>_________________</w:t>
      </w:r>
    </w:p>
    <w:p w14:paraId="4E3731B0" w14:textId="77777777" w:rsidR="008F2566" w:rsidRDefault="008F2566" w:rsidP="00C97C81">
      <w:pPr>
        <w:pStyle w:val="BodyText"/>
      </w:pPr>
    </w:p>
    <w:p w14:paraId="01F596E2" w14:textId="77777777" w:rsidR="008F2566" w:rsidRDefault="008F2566" w:rsidP="00C97C81">
      <w:pPr>
        <w:pStyle w:val="BodyText"/>
      </w:pPr>
    </w:p>
    <w:sectPr w:rsidR="008F2566" w:rsidSect="009D2CA3">
      <w:headerReference w:type="default" r:id="rId21"/>
      <w:footerReference w:type="default" r:id="rId22"/>
      <w:headerReference w:type="first" r:id="rId23"/>
      <w:footerReference w:type="first" r:id="rId24"/>
      <w:pgSz w:w="12240" w:h="15840"/>
      <w:pgMar w:top="100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ADD312" w14:textId="77777777" w:rsidR="00872350" w:rsidRDefault="00872350" w:rsidP="00D87BAE">
      <w:pPr>
        <w:spacing w:before="0" w:after="0"/>
      </w:pPr>
      <w:r>
        <w:separator/>
      </w:r>
    </w:p>
  </w:endnote>
  <w:endnote w:type="continuationSeparator" w:id="0">
    <w:p w14:paraId="6D14F081" w14:textId="77777777" w:rsidR="00872350" w:rsidRDefault="00872350" w:rsidP="00D87BA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8E0B6" w14:textId="77777777" w:rsidR="003760C7" w:rsidRPr="00B31A3D" w:rsidRDefault="003760C7" w:rsidP="00B31A3D">
    <w:pPr>
      <w:pStyle w:val="Footer"/>
      <w:pBdr>
        <w:top w:val="thinThickSmallGap" w:sz="24" w:space="1" w:color="622423"/>
      </w:pBdr>
      <w:tabs>
        <w:tab w:val="clear" w:pos="4680"/>
      </w:tabs>
      <w:rPr>
        <w:rFonts w:ascii="Cambria" w:hAnsi="Cambria"/>
      </w:rPr>
    </w:pPr>
    <w:r>
      <w:rPr>
        <w:rFonts w:ascii="Times New Roman" w:hAnsi="Times New Roman"/>
        <w:i/>
        <w:color w:val="FF0000"/>
        <w:sz w:val="18"/>
        <w:szCs w:val="18"/>
      </w:rPr>
      <w:t xml:space="preserve"> </w:t>
    </w:r>
    <w:r w:rsidRPr="00946782">
      <w:rPr>
        <w:rFonts w:ascii="Cambria" w:hAnsi="Cambria"/>
      </w:rPr>
      <w:tab/>
    </w:r>
    <w:r w:rsidRPr="00B31A3D">
      <w:rPr>
        <w:rFonts w:ascii="Cambria" w:hAnsi="Cambria"/>
      </w:rPr>
      <w:t xml:space="preserve">Page </w:t>
    </w:r>
    <w:r>
      <w:fldChar w:fldCharType="begin"/>
    </w:r>
    <w:r>
      <w:instrText xml:space="preserve"> PAGE   \* MERGEFORMAT </w:instrText>
    </w:r>
    <w:r>
      <w:fldChar w:fldCharType="separate"/>
    </w:r>
    <w:r w:rsidRPr="00C63567">
      <w:rPr>
        <w:rFonts w:ascii="Cambria" w:hAnsi="Cambria"/>
        <w:noProof/>
      </w:rPr>
      <w:t>2</w:t>
    </w:r>
    <w:r>
      <w:fldChar w:fldCharType="end"/>
    </w:r>
  </w:p>
  <w:p w14:paraId="3E918D38" w14:textId="77777777" w:rsidR="003760C7" w:rsidRDefault="003760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E6D31" w14:textId="77777777" w:rsidR="003760C7" w:rsidRPr="00B31A3D" w:rsidRDefault="003760C7" w:rsidP="00B31A3D">
    <w:pPr>
      <w:pStyle w:val="Footer"/>
      <w:pBdr>
        <w:top w:val="thinThickSmallGap" w:sz="24" w:space="1" w:color="622423"/>
      </w:pBdr>
      <w:tabs>
        <w:tab w:val="clear" w:pos="4680"/>
      </w:tabs>
      <w:rPr>
        <w:rFonts w:ascii="Cambria" w:hAnsi="Cambria"/>
      </w:rPr>
    </w:pPr>
    <w:r>
      <w:rPr>
        <w:rFonts w:ascii="Times New Roman" w:hAnsi="Times New Roman"/>
        <w:i/>
        <w:color w:val="FF0000"/>
        <w:sz w:val="18"/>
        <w:szCs w:val="18"/>
      </w:rPr>
      <w:t xml:space="preserve">CONFIDENTIAL ATTORNEY WORK PRODUCT/CLIENT COMMUNICATION </w:t>
    </w:r>
    <w:r w:rsidRPr="00946782">
      <w:rPr>
        <w:rFonts w:ascii="Cambria" w:hAnsi="Cambria"/>
      </w:rPr>
      <w:tab/>
    </w:r>
    <w:r w:rsidRPr="00B31A3D">
      <w:rPr>
        <w:rFonts w:ascii="Cambria" w:hAnsi="Cambria"/>
      </w:rPr>
      <w:t xml:space="preserve">Page </w:t>
    </w:r>
    <w:r>
      <w:fldChar w:fldCharType="begin"/>
    </w:r>
    <w:r>
      <w:instrText xml:space="preserve"> PAGE   \* MERGEFORMAT </w:instrText>
    </w:r>
    <w:r>
      <w:fldChar w:fldCharType="separate"/>
    </w:r>
    <w:r w:rsidRPr="00B31A3D">
      <w:rPr>
        <w:rFonts w:ascii="Cambria" w:hAnsi="Cambria"/>
        <w:noProof/>
      </w:rPr>
      <w:t>1</w:t>
    </w:r>
    <w:r>
      <w:fldChar w:fldCharType="end"/>
    </w:r>
  </w:p>
  <w:p w14:paraId="563FD2A8" w14:textId="77777777" w:rsidR="003760C7" w:rsidRDefault="003760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C09198" w14:textId="77777777" w:rsidR="00872350" w:rsidRDefault="00872350" w:rsidP="00D87BAE">
      <w:pPr>
        <w:spacing w:before="0" w:after="0"/>
      </w:pPr>
      <w:r>
        <w:separator/>
      </w:r>
    </w:p>
  </w:footnote>
  <w:footnote w:type="continuationSeparator" w:id="0">
    <w:p w14:paraId="155002A7" w14:textId="77777777" w:rsidR="00872350" w:rsidRDefault="00872350" w:rsidP="00D87BAE">
      <w:pPr>
        <w:spacing w:before="0" w:after="0"/>
      </w:pPr>
      <w:r>
        <w:continuationSeparator/>
      </w:r>
    </w:p>
  </w:footnote>
  <w:footnote w:id="1">
    <w:p w14:paraId="71CDD67F" w14:textId="77777777" w:rsidR="006A0B2B" w:rsidRDefault="006A0B2B" w:rsidP="006A0B2B">
      <w:pPr>
        <w:pStyle w:val="FootnoteText"/>
      </w:pPr>
      <w:r>
        <w:rPr>
          <w:rStyle w:val="FootnoteReference"/>
        </w:rPr>
        <w:footnoteRef/>
      </w:r>
      <w:r>
        <w:t xml:space="preserve"> According to the National Institute of Health and the National Heart, Lung, and Blood Institute, “Limitations of cause-of-death statistics, other than those associated with revisions in the ICD, are well-known. Inaccuracies in death certification and inconsistencies in selecting and coding the underlying cause of death create uncertainties about the true mortality from a specific cause compared with other causes. These limitations must be kept in mind when comparing the same cause of death over time or the same cause of death between demographic groups or countries.”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E5D48" w14:textId="77777777" w:rsidR="003760C7" w:rsidRPr="00701C57" w:rsidRDefault="003760C7" w:rsidP="00701C57">
    <w:pPr>
      <w:pStyle w:val="Header"/>
      <w:rPr>
        <w:rFonts w:ascii="Times New Roman" w:hAnsi="Times New Roman"/>
        <w:i/>
        <w:color w:val="FF0000"/>
        <w:sz w:val="18"/>
        <w:szCs w:val="18"/>
      </w:rPr>
    </w:pPr>
  </w:p>
  <w:p w14:paraId="43DD8A38" w14:textId="77777777" w:rsidR="003760C7" w:rsidRDefault="003760C7">
    <w:pPr>
      <w:pStyle w:val="Header"/>
    </w:pPr>
  </w:p>
  <w:p w14:paraId="250C5D7D" w14:textId="77777777" w:rsidR="003760C7" w:rsidRDefault="003760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41BE2" w14:textId="77777777" w:rsidR="003760C7" w:rsidRPr="00701C57" w:rsidRDefault="003760C7" w:rsidP="00701C57">
    <w:pPr>
      <w:widowControl w:val="0"/>
      <w:tabs>
        <w:tab w:val="clear" w:pos="720"/>
        <w:tab w:val="center" w:pos="4320"/>
        <w:tab w:val="right" w:pos="8640"/>
      </w:tabs>
      <w:autoSpaceDE w:val="0"/>
      <w:autoSpaceDN w:val="0"/>
      <w:adjustRightInd w:val="0"/>
      <w:spacing w:before="0" w:after="0"/>
      <w:jc w:val="center"/>
      <w:rPr>
        <w:rFonts w:ascii="Times New Roman" w:hAnsi="Times New Roman"/>
        <w:i/>
        <w:color w:val="FF0000"/>
        <w:sz w:val="18"/>
        <w:szCs w:val="18"/>
      </w:rPr>
    </w:pPr>
    <w:r w:rsidRPr="00701C57">
      <w:rPr>
        <w:rFonts w:ascii="Times New Roman" w:hAnsi="Times New Roman"/>
        <w:i/>
        <w:color w:val="FF0000"/>
        <w:sz w:val="18"/>
        <w:szCs w:val="18"/>
      </w:rPr>
      <w:t>DRAFT DELIBERATIVE DOCUMENT! DO NOT CITE, QUOTE, OR DISTRIBUTE EXTERNALLY!</w:t>
    </w:r>
  </w:p>
  <w:p w14:paraId="75AE976C" w14:textId="77777777" w:rsidR="003760C7" w:rsidRDefault="003760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FCA279FA"/>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CBE4847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07410B"/>
    <w:multiLevelType w:val="hybridMultilevel"/>
    <w:tmpl w:val="9A808E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690FD0"/>
    <w:multiLevelType w:val="hybridMultilevel"/>
    <w:tmpl w:val="A26EEE4A"/>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1A96280A"/>
    <w:multiLevelType w:val="hybridMultilevel"/>
    <w:tmpl w:val="7DBACFC8"/>
    <w:lvl w:ilvl="0" w:tplc="430A59D2">
      <w:start w:val="1"/>
      <w:numFmt w:val="upperLetter"/>
      <w:pStyle w:val="Heading4"/>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6C4D1D"/>
    <w:multiLevelType w:val="hybridMultilevel"/>
    <w:tmpl w:val="3B9662BA"/>
    <w:lvl w:ilvl="0" w:tplc="DE2AAADC">
      <w:start w:val="1"/>
      <w:numFmt w:val="decimal"/>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71054A7"/>
    <w:multiLevelType w:val="hybridMultilevel"/>
    <w:tmpl w:val="3692CD12"/>
    <w:lvl w:ilvl="0" w:tplc="04090001">
      <w:start w:val="1"/>
      <w:numFmt w:val="bullet"/>
      <w:lvlText w:val=""/>
      <w:lvlJc w:val="left"/>
      <w:pPr>
        <w:ind w:left="720" w:hanging="360"/>
      </w:pPr>
      <w:rPr>
        <w:rFonts w:ascii="Symbol" w:hAnsi="Symbol" w:hint="default"/>
      </w:rPr>
    </w:lvl>
    <w:lvl w:ilvl="1" w:tplc="1C2040A4">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674CEC"/>
    <w:multiLevelType w:val="hybridMultilevel"/>
    <w:tmpl w:val="0E426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313B3A"/>
    <w:multiLevelType w:val="hybridMultilevel"/>
    <w:tmpl w:val="D85A9F0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DF45DA"/>
    <w:multiLevelType w:val="hybridMultilevel"/>
    <w:tmpl w:val="15747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E92508"/>
    <w:multiLevelType w:val="hybridMultilevel"/>
    <w:tmpl w:val="5CA248B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35913B82"/>
    <w:multiLevelType w:val="hybridMultilevel"/>
    <w:tmpl w:val="F45AAF88"/>
    <w:lvl w:ilvl="0" w:tplc="A4DE524C">
      <w:start w:val="1"/>
      <w:numFmt w:val="upperRoman"/>
      <w:pStyle w:val="Heading2"/>
      <w:lvlText w:val="%1."/>
      <w:lvlJc w:val="right"/>
      <w:pPr>
        <w:ind w:left="72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A84FD8"/>
    <w:multiLevelType w:val="hybridMultilevel"/>
    <w:tmpl w:val="7F6A8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F0305B"/>
    <w:multiLevelType w:val="hybridMultilevel"/>
    <w:tmpl w:val="E8882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F6757A"/>
    <w:multiLevelType w:val="hybridMultilevel"/>
    <w:tmpl w:val="D1CE6918"/>
    <w:lvl w:ilvl="0" w:tplc="04090003">
      <w:start w:val="1"/>
      <w:numFmt w:val="bullet"/>
      <w:lvlText w:val="o"/>
      <w:lvlJc w:val="left"/>
      <w:pPr>
        <w:ind w:left="720" w:hanging="360"/>
      </w:pPr>
      <w:rPr>
        <w:rFonts w:ascii="Courier New" w:hAnsi="Courier New"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336181"/>
    <w:multiLevelType w:val="hybridMultilevel"/>
    <w:tmpl w:val="957A17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E90EA6"/>
    <w:multiLevelType w:val="hybridMultilevel"/>
    <w:tmpl w:val="4FCE15FC"/>
    <w:lvl w:ilvl="0" w:tplc="87EC08AE">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7" w15:restartNumberingAfterBreak="0">
    <w:nsid w:val="4F971C56"/>
    <w:multiLevelType w:val="hybridMultilevel"/>
    <w:tmpl w:val="1946DAAE"/>
    <w:lvl w:ilvl="0" w:tplc="864230A8">
      <w:start w:val="1"/>
      <w:numFmt w:val="decimal"/>
      <w:lvlText w:val="%1."/>
      <w:lvlJc w:val="left"/>
      <w:pPr>
        <w:ind w:left="720" w:hanging="360"/>
      </w:pPr>
      <w:rPr>
        <w:rFonts w:cs="Times New Roman" w:hint="default"/>
        <w:b/>
        <w:color w:val="00000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50DE0865"/>
    <w:multiLevelType w:val="hybridMultilevel"/>
    <w:tmpl w:val="0054D19A"/>
    <w:lvl w:ilvl="0" w:tplc="B7D03C48">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52F140A7"/>
    <w:multiLevelType w:val="hybridMultilevel"/>
    <w:tmpl w:val="21DA0A28"/>
    <w:lvl w:ilvl="0" w:tplc="E1866076">
      <w:start w:val="1"/>
      <w:numFmt w:val="upperRoman"/>
      <w:lvlText w:val="%1."/>
      <w:lvlJc w:val="left"/>
      <w:pPr>
        <w:ind w:left="720" w:hanging="72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0" w15:restartNumberingAfterBreak="0">
    <w:nsid w:val="53843F40"/>
    <w:multiLevelType w:val="hybridMultilevel"/>
    <w:tmpl w:val="7D9A0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57620A"/>
    <w:multiLevelType w:val="hybridMultilevel"/>
    <w:tmpl w:val="D1CC03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5A35CB"/>
    <w:multiLevelType w:val="hybridMultilevel"/>
    <w:tmpl w:val="F5D0F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7234DE"/>
    <w:multiLevelType w:val="hybridMultilevel"/>
    <w:tmpl w:val="12024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CC2DDC"/>
    <w:multiLevelType w:val="hybridMultilevel"/>
    <w:tmpl w:val="357E8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F66E8B"/>
    <w:multiLevelType w:val="hybridMultilevel"/>
    <w:tmpl w:val="7BE0D2C2"/>
    <w:lvl w:ilvl="0" w:tplc="04090001">
      <w:start w:val="1"/>
      <w:numFmt w:val="bullet"/>
      <w:lvlText w:val=""/>
      <w:lvlJc w:val="left"/>
      <w:pPr>
        <w:ind w:left="720" w:hanging="360"/>
      </w:pPr>
      <w:rPr>
        <w:rFonts w:ascii="Symbol" w:hAnsi="Symbol" w:hint="default"/>
      </w:rPr>
    </w:lvl>
    <w:lvl w:ilvl="1" w:tplc="1C2040A4">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F843D2"/>
    <w:multiLevelType w:val="hybridMultilevel"/>
    <w:tmpl w:val="02409CE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6A72E1"/>
    <w:multiLevelType w:val="hybridMultilevel"/>
    <w:tmpl w:val="D536F68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4D4749"/>
    <w:multiLevelType w:val="hybridMultilevel"/>
    <w:tmpl w:val="FAC4D9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28386B"/>
    <w:multiLevelType w:val="hybridMultilevel"/>
    <w:tmpl w:val="1A220F14"/>
    <w:lvl w:ilvl="0" w:tplc="7B447084">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8C85A22"/>
    <w:multiLevelType w:val="hybridMultilevel"/>
    <w:tmpl w:val="09A8B3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C04D69"/>
    <w:multiLevelType w:val="hybridMultilevel"/>
    <w:tmpl w:val="12A0E906"/>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7CB15C10"/>
    <w:multiLevelType w:val="hybridMultilevel"/>
    <w:tmpl w:val="A51CA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1"/>
  </w:num>
  <w:num w:numId="4">
    <w:abstractNumId w:val="14"/>
  </w:num>
  <w:num w:numId="5">
    <w:abstractNumId w:val="19"/>
  </w:num>
  <w:num w:numId="6">
    <w:abstractNumId w:val="13"/>
  </w:num>
  <w:num w:numId="7">
    <w:abstractNumId w:val="3"/>
  </w:num>
  <w:num w:numId="8">
    <w:abstractNumId w:val="0"/>
  </w:num>
  <w:num w:numId="9">
    <w:abstractNumId w:val="16"/>
  </w:num>
  <w:num w:numId="10">
    <w:abstractNumId w:val="10"/>
  </w:num>
  <w:num w:numId="11">
    <w:abstractNumId w:val="20"/>
  </w:num>
  <w:num w:numId="12">
    <w:abstractNumId w:val="18"/>
  </w:num>
  <w:num w:numId="13">
    <w:abstractNumId w:val="31"/>
  </w:num>
  <w:num w:numId="14">
    <w:abstractNumId w:val="28"/>
  </w:num>
  <w:num w:numId="15">
    <w:abstractNumId w:val="17"/>
  </w:num>
  <w:num w:numId="16">
    <w:abstractNumId w:val="6"/>
  </w:num>
  <w:num w:numId="17">
    <w:abstractNumId w:val="8"/>
  </w:num>
  <w:num w:numId="18">
    <w:abstractNumId w:val="25"/>
  </w:num>
  <w:num w:numId="19">
    <w:abstractNumId w:val="27"/>
  </w:num>
  <w:num w:numId="20">
    <w:abstractNumId w:val="24"/>
  </w:num>
  <w:num w:numId="21">
    <w:abstractNumId w:val="2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30"/>
  </w:num>
  <w:num w:numId="24">
    <w:abstractNumId w:val="4"/>
  </w:num>
  <w:num w:numId="25">
    <w:abstractNumId w:val="11"/>
  </w:num>
  <w:num w:numId="26">
    <w:abstractNumId w:val="7"/>
  </w:num>
  <w:num w:numId="27">
    <w:abstractNumId w:val="15"/>
  </w:num>
  <w:num w:numId="28">
    <w:abstractNumId w:val="2"/>
  </w:num>
  <w:num w:numId="29">
    <w:abstractNumId w:val="4"/>
    <w:lvlOverride w:ilvl="0">
      <w:startOverride w:val="1"/>
    </w:lvlOverride>
  </w:num>
  <w:num w:numId="30">
    <w:abstractNumId w:val="21"/>
  </w:num>
  <w:num w:numId="31">
    <w:abstractNumId w:val="4"/>
    <w:lvlOverride w:ilvl="0">
      <w:startOverride w:val="1"/>
    </w:lvlOverride>
  </w:num>
  <w:num w:numId="32">
    <w:abstractNumId w:val="9"/>
  </w:num>
  <w:num w:numId="33">
    <w:abstractNumId w:val="32"/>
  </w:num>
  <w:num w:numId="34">
    <w:abstractNumId w:val="4"/>
    <w:lvlOverride w:ilvl="0">
      <w:startOverride w:val="1"/>
    </w:lvlOverride>
  </w:num>
  <w:num w:numId="35">
    <w:abstractNumId w:val="12"/>
  </w:num>
  <w:num w:numId="36">
    <w:abstractNumId w:val="5"/>
  </w:num>
  <w:num w:numId="37">
    <w:abstractNumId w:val="11"/>
    <w:lvlOverride w:ilvl="0">
      <w:startOverride w:val="1"/>
    </w:lvlOverride>
  </w:num>
  <w:num w:numId="38">
    <w:abstractNumId w:val="23"/>
  </w:num>
  <w:num w:numId="39">
    <w:abstractNumId w:val="26"/>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Georgi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xrfx9t92290vke5pe1xw0tldfwxzws2sess&quot;&gt;Lange Endnote Library&lt;record-ids&gt;&lt;item&gt;13&lt;/item&gt;&lt;item&gt;64&lt;/item&gt;&lt;item&gt;95&lt;/item&gt;&lt;item&gt;96&lt;/item&gt;&lt;item&gt;97&lt;/item&gt;&lt;item&gt;98&lt;/item&gt;&lt;item&gt;117&lt;/item&gt;&lt;item&gt;125&lt;/item&gt;&lt;item&gt;126&lt;/item&gt;&lt;item&gt;127&lt;/item&gt;&lt;item&gt;129&lt;/item&gt;&lt;item&gt;144&lt;/item&gt;&lt;item&gt;161&lt;/item&gt;&lt;item&gt;175&lt;/item&gt;&lt;item&gt;176&lt;/item&gt;&lt;item&gt;185&lt;/item&gt;&lt;item&gt;186&lt;/item&gt;&lt;item&gt;188&lt;/item&gt;&lt;item&gt;189&lt;/item&gt;&lt;item&gt;207&lt;/item&gt;&lt;item&gt;226&lt;/item&gt;&lt;item&gt;227&lt;/item&gt;&lt;item&gt;228&lt;/item&gt;&lt;item&gt;229&lt;/item&gt;&lt;item&gt;230&lt;/item&gt;&lt;item&gt;236&lt;/item&gt;&lt;item&gt;265&lt;/item&gt;&lt;item&gt;269&lt;/item&gt;&lt;item&gt;281&lt;/item&gt;&lt;item&gt;285&lt;/item&gt;&lt;item&gt;286&lt;/item&gt;&lt;item&gt;333&lt;/item&gt;&lt;item&gt;335&lt;/item&gt;&lt;item&gt;337&lt;/item&gt;&lt;item&gt;338&lt;/item&gt;&lt;item&gt;339&lt;/item&gt;&lt;item&gt;340&lt;/item&gt;&lt;item&gt;341&lt;/item&gt;&lt;item&gt;342&lt;/item&gt;&lt;item&gt;343&lt;/item&gt;&lt;item&gt;344&lt;/item&gt;&lt;item&gt;345&lt;/item&gt;&lt;item&gt;346&lt;/item&gt;&lt;item&gt;347&lt;/item&gt;&lt;item&gt;348&lt;/item&gt;&lt;item&gt;349&lt;/item&gt;&lt;item&gt;350&lt;/item&gt;&lt;item&gt;351&lt;/item&gt;&lt;item&gt;352&lt;/item&gt;&lt;item&gt;353&lt;/item&gt;&lt;item&gt;355&lt;/item&gt;&lt;item&gt;356&lt;/item&gt;&lt;item&gt;357&lt;/item&gt;&lt;item&gt;358&lt;/item&gt;&lt;item&gt;359&lt;/item&gt;&lt;item&gt;360&lt;/item&gt;&lt;item&gt;361&lt;/item&gt;&lt;item&gt;362&lt;/item&gt;&lt;item&gt;363&lt;/item&gt;&lt;item&gt;364&lt;/item&gt;&lt;/record-ids&gt;&lt;/item&gt;&lt;/Libraries&gt;"/>
  </w:docVars>
  <w:rsids>
    <w:rsidRoot w:val="002F7313"/>
    <w:rsid w:val="00001E7C"/>
    <w:rsid w:val="000024EB"/>
    <w:rsid w:val="00004C78"/>
    <w:rsid w:val="00007694"/>
    <w:rsid w:val="000103D8"/>
    <w:rsid w:val="00011325"/>
    <w:rsid w:val="000123EA"/>
    <w:rsid w:val="0001301E"/>
    <w:rsid w:val="0001796C"/>
    <w:rsid w:val="00021D5D"/>
    <w:rsid w:val="00022059"/>
    <w:rsid w:val="0002236B"/>
    <w:rsid w:val="0002338D"/>
    <w:rsid w:val="00023F45"/>
    <w:rsid w:val="00026614"/>
    <w:rsid w:val="000313ED"/>
    <w:rsid w:val="0003162F"/>
    <w:rsid w:val="00031773"/>
    <w:rsid w:val="000335A0"/>
    <w:rsid w:val="00033A7B"/>
    <w:rsid w:val="00033BA2"/>
    <w:rsid w:val="00033C0B"/>
    <w:rsid w:val="000343E9"/>
    <w:rsid w:val="000346D1"/>
    <w:rsid w:val="00034BC2"/>
    <w:rsid w:val="000355EC"/>
    <w:rsid w:val="00037BC9"/>
    <w:rsid w:val="0004069F"/>
    <w:rsid w:val="00040FF2"/>
    <w:rsid w:val="00041F9D"/>
    <w:rsid w:val="00042A90"/>
    <w:rsid w:val="00043CE5"/>
    <w:rsid w:val="000461B3"/>
    <w:rsid w:val="00051F26"/>
    <w:rsid w:val="00052D4B"/>
    <w:rsid w:val="00055FA1"/>
    <w:rsid w:val="000566F0"/>
    <w:rsid w:val="0006185A"/>
    <w:rsid w:val="000622BF"/>
    <w:rsid w:val="000656BE"/>
    <w:rsid w:val="00065D66"/>
    <w:rsid w:val="000671AD"/>
    <w:rsid w:val="00070980"/>
    <w:rsid w:val="00071688"/>
    <w:rsid w:val="00071A6F"/>
    <w:rsid w:val="00071FE5"/>
    <w:rsid w:val="000728FF"/>
    <w:rsid w:val="0007386E"/>
    <w:rsid w:val="000759C2"/>
    <w:rsid w:val="00075DAE"/>
    <w:rsid w:val="00076E76"/>
    <w:rsid w:val="0007702E"/>
    <w:rsid w:val="00080EDD"/>
    <w:rsid w:val="00082E7C"/>
    <w:rsid w:val="00084090"/>
    <w:rsid w:val="00085B13"/>
    <w:rsid w:val="00086238"/>
    <w:rsid w:val="00091914"/>
    <w:rsid w:val="000932A3"/>
    <w:rsid w:val="00094DF9"/>
    <w:rsid w:val="00095C6F"/>
    <w:rsid w:val="0009603A"/>
    <w:rsid w:val="000970BF"/>
    <w:rsid w:val="0009744C"/>
    <w:rsid w:val="00097DEF"/>
    <w:rsid w:val="000A6D91"/>
    <w:rsid w:val="000A6EB5"/>
    <w:rsid w:val="000A79F2"/>
    <w:rsid w:val="000B06D4"/>
    <w:rsid w:val="000B08A6"/>
    <w:rsid w:val="000B0947"/>
    <w:rsid w:val="000B17F5"/>
    <w:rsid w:val="000B2D22"/>
    <w:rsid w:val="000B2FB0"/>
    <w:rsid w:val="000B36F7"/>
    <w:rsid w:val="000B398A"/>
    <w:rsid w:val="000B3B2B"/>
    <w:rsid w:val="000C0D6B"/>
    <w:rsid w:val="000C1B7B"/>
    <w:rsid w:val="000C4C16"/>
    <w:rsid w:val="000C77C5"/>
    <w:rsid w:val="000C7A19"/>
    <w:rsid w:val="000D1B3F"/>
    <w:rsid w:val="000D1D8F"/>
    <w:rsid w:val="000D2E26"/>
    <w:rsid w:val="000D651D"/>
    <w:rsid w:val="000E77B8"/>
    <w:rsid w:val="000E78A9"/>
    <w:rsid w:val="000F02AD"/>
    <w:rsid w:val="000F0FE0"/>
    <w:rsid w:val="000F3F57"/>
    <w:rsid w:val="000F44C2"/>
    <w:rsid w:val="000F6477"/>
    <w:rsid w:val="00101A10"/>
    <w:rsid w:val="00101E80"/>
    <w:rsid w:val="001035C9"/>
    <w:rsid w:val="00104178"/>
    <w:rsid w:val="00104DB3"/>
    <w:rsid w:val="001052E4"/>
    <w:rsid w:val="00105817"/>
    <w:rsid w:val="001072AB"/>
    <w:rsid w:val="001072D5"/>
    <w:rsid w:val="00107BA1"/>
    <w:rsid w:val="00110ECD"/>
    <w:rsid w:val="001135CF"/>
    <w:rsid w:val="00113F6F"/>
    <w:rsid w:val="001140CE"/>
    <w:rsid w:val="0011592E"/>
    <w:rsid w:val="00116435"/>
    <w:rsid w:val="00122505"/>
    <w:rsid w:val="00124EF8"/>
    <w:rsid w:val="00126DAC"/>
    <w:rsid w:val="00130211"/>
    <w:rsid w:val="00131252"/>
    <w:rsid w:val="00131946"/>
    <w:rsid w:val="001326FA"/>
    <w:rsid w:val="00132C1F"/>
    <w:rsid w:val="00136839"/>
    <w:rsid w:val="00136B0B"/>
    <w:rsid w:val="0013748C"/>
    <w:rsid w:val="001432CB"/>
    <w:rsid w:val="00144570"/>
    <w:rsid w:val="00144FF3"/>
    <w:rsid w:val="00146F4C"/>
    <w:rsid w:val="001471C3"/>
    <w:rsid w:val="00147950"/>
    <w:rsid w:val="00147F44"/>
    <w:rsid w:val="0015200A"/>
    <w:rsid w:val="00153CF3"/>
    <w:rsid w:val="00154A4E"/>
    <w:rsid w:val="00154CE8"/>
    <w:rsid w:val="00155273"/>
    <w:rsid w:val="00157B64"/>
    <w:rsid w:val="00164C49"/>
    <w:rsid w:val="00167FA8"/>
    <w:rsid w:val="001703CE"/>
    <w:rsid w:val="00170622"/>
    <w:rsid w:val="0017251B"/>
    <w:rsid w:val="00174809"/>
    <w:rsid w:val="0017675F"/>
    <w:rsid w:val="00177556"/>
    <w:rsid w:val="00180938"/>
    <w:rsid w:val="00180C7F"/>
    <w:rsid w:val="001825CE"/>
    <w:rsid w:val="001867BE"/>
    <w:rsid w:val="001912BB"/>
    <w:rsid w:val="0019196B"/>
    <w:rsid w:val="00192422"/>
    <w:rsid w:val="0019287A"/>
    <w:rsid w:val="00192D57"/>
    <w:rsid w:val="00194269"/>
    <w:rsid w:val="001951D7"/>
    <w:rsid w:val="001953C8"/>
    <w:rsid w:val="00197652"/>
    <w:rsid w:val="00197B54"/>
    <w:rsid w:val="001A13C8"/>
    <w:rsid w:val="001A19FC"/>
    <w:rsid w:val="001A29C8"/>
    <w:rsid w:val="001A31D6"/>
    <w:rsid w:val="001A53D5"/>
    <w:rsid w:val="001B1877"/>
    <w:rsid w:val="001B1CEB"/>
    <w:rsid w:val="001B1ECD"/>
    <w:rsid w:val="001B278F"/>
    <w:rsid w:val="001B451C"/>
    <w:rsid w:val="001B4F93"/>
    <w:rsid w:val="001B6165"/>
    <w:rsid w:val="001C0BCD"/>
    <w:rsid w:val="001C1A84"/>
    <w:rsid w:val="001C4D10"/>
    <w:rsid w:val="001C78E2"/>
    <w:rsid w:val="001D0A2B"/>
    <w:rsid w:val="001D1605"/>
    <w:rsid w:val="001D1B5B"/>
    <w:rsid w:val="001D2265"/>
    <w:rsid w:val="001D29B7"/>
    <w:rsid w:val="001D43BB"/>
    <w:rsid w:val="001E04DC"/>
    <w:rsid w:val="001E5C94"/>
    <w:rsid w:val="001E7EBC"/>
    <w:rsid w:val="001F0AA7"/>
    <w:rsid w:val="001F1440"/>
    <w:rsid w:val="001F19D8"/>
    <w:rsid w:val="001F2C85"/>
    <w:rsid w:val="001F3C61"/>
    <w:rsid w:val="001F3D28"/>
    <w:rsid w:val="001F5B66"/>
    <w:rsid w:val="001F6A8B"/>
    <w:rsid w:val="001F7627"/>
    <w:rsid w:val="001F7C9A"/>
    <w:rsid w:val="00203E1F"/>
    <w:rsid w:val="00203F5F"/>
    <w:rsid w:val="0020495E"/>
    <w:rsid w:val="00210D47"/>
    <w:rsid w:val="002117E0"/>
    <w:rsid w:val="00212634"/>
    <w:rsid w:val="00212883"/>
    <w:rsid w:val="002135F9"/>
    <w:rsid w:val="00213E39"/>
    <w:rsid w:val="00213E8D"/>
    <w:rsid w:val="0021536C"/>
    <w:rsid w:val="00216058"/>
    <w:rsid w:val="00217142"/>
    <w:rsid w:val="00221E17"/>
    <w:rsid w:val="002232B0"/>
    <w:rsid w:val="00224172"/>
    <w:rsid w:val="0022485B"/>
    <w:rsid w:val="0022627A"/>
    <w:rsid w:val="00227A85"/>
    <w:rsid w:val="002361C7"/>
    <w:rsid w:val="002374FB"/>
    <w:rsid w:val="00242184"/>
    <w:rsid w:val="00242F1D"/>
    <w:rsid w:val="00242F96"/>
    <w:rsid w:val="002442FD"/>
    <w:rsid w:val="0024743D"/>
    <w:rsid w:val="002504F4"/>
    <w:rsid w:val="002509B3"/>
    <w:rsid w:val="00250C78"/>
    <w:rsid w:val="00251888"/>
    <w:rsid w:val="00251D06"/>
    <w:rsid w:val="0025379F"/>
    <w:rsid w:val="002537E4"/>
    <w:rsid w:val="00256A3A"/>
    <w:rsid w:val="00256DCA"/>
    <w:rsid w:val="0025734B"/>
    <w:rsid w:val="0025742F"/>
    <w:rsid w:val="00257A88"/>
    <w:rsid w:val="002620A1"/>
    <w:rsid w:val="0026649C"/>
    <w:rsid w:val="00266E74"/>
    <w:rsid w:val="00273BF1"/>
    <w:rsid w:val="0027465C"/>
    <w:rsid w:val="00274724"/>
    <w:rsid w:val="0027527E"/>
    <w:rsid w:val="00276BDF"/>
    <w:rsid w:val="00284C0D"/>
    <w:rsid w:val="00286139"/>
    <w:rsid w:val="002872C4"/>
    <w:rsid w:val="002907F2"/>
    <w:rsid w:val="00290C57"/>
    <w:rsid w:val="002913AA"/>
    <w:rsid w:val="00291EB9"/>
    <w:rsid w:val="0029221F"/>
    <w:rsid w:val="00292CCB"/>
    <w:rsid w:val="00294163"/>
    <w:rsid w:val="002B0364"/>
    <w:rsid w:val="002B1D51"/>
    <w:rsid w:val="002B2F53"/>
    <w:rsid w:val="002B6990"/>
    <w:rsid w:val="002B7182"/>
    <w:rsid w:val="002B7F73"/>
    <w:rsid w:val="002C466D"/>
    <w:rsid w:val="002C5A43"/>
    <w:rsid w:val="002C5D96"/>
    <w:rsid w:val="002D1F80"/>
    <w:rsid w:val="002E0892"/>
    <w:rsid w:val="002E107B"/>
    <w:rsid w:val="002E2F69"/>
    <w:rsid w:val="002E321B"/>
    <w:rsid w:val="002E5A33"/>
    <w:rsid w:val="002E615B"/>
    <w:rsid w:val="002E6C06"/>
    <w:rsid w:val="002F1170"/>
    <w:rsid w:val="002F18A5"/>
    <w:rsid w:val="002F2B47"/>
    <w:rsid w:val="002F3781"/>
    <w:rsid w:val="002F3C0F"/>
    <w:rsid w:val="002F48F4"/>
    <w:rsid w:val="002F69B4"/>
    <w:rsid w:val="002F7313"/>
    <w:rsid w:val="00302134"/>
    <w:rsid w:val="003030F4"/>
    <w:rsid w:val="003041ED"/>
    <w:rsid w:val="00305455"/>
    <w:rsid w:val="003061CC"/>
    <w:rsid w:val="00307581"/>
    <w:rsid w:val="0030793A"/>
    <w:rsid w:val="0031394E"/>
    <w:rsid w:val="00315442"/>
    <w:rsid w:val="00315C05"/>
    <w:rsid w:val="0031626F"/>
    <w:rsid w:val="003174C7"/>
    <w:rsid w:val="00320BA8"/>
    <w:rsid w:val="003211B3"/>
    <w:rsid w:val="00322F09"/>
    <w:rsid w:val="003243DB"/>
    <w:rsid w:val="00325EDF"/>
    <w:rsid w:val="0033038B"/>
    <w:rsid w:val="00330F6D"/>
    <w:rsid w:val="00334E85"/>
    <w:rsid w:val="00335CCE"/>
    <w:rsid w:val="00341DC7"/>
    <w:rsid w:val="00343A07"/>
    <w:rsid w:val="00343E4E"/>
    <w:rsid w:val="00344971"/>
    <w:rsid w:val="003465E7"/>
    <w:rsid w:val="00346C9D"/>
    <w:rsid w:val="00350F6D"/>
    <w:rsid w:val="00350FC6"/>
    <w:rsid w:val="00353D50"/>
    <w:rsid w:val="00353EBF"/>
    <w:rsid w:val="00355650"/>
    <w:rsid w:val="00363455"/>
    <w:rsid w:val="00363CBF"/>
    <w:rsid w:val="00365D3C"/>
    <w:rsid w:val="00365E58"/>
    <w:rsid w:val="00366AEA"/>
    <w:rsid w:val="00366D98"/>
    <w:rsid w:val="00367039"/>
    <w:rsid w:val="003677E9"/>
    <w:rsid w:val="003734F6"/>
    <w:rsid w:val="0037384E"/>
    <w:rsid w:val="00375749"/>
    <w:rsid w:val="003760C7"/>
    <w:rsid w:val="003762B5"/>
    <w:rsid w:val="00376FDF"/>
    <w:rsid w:val="0038109A"/>
    <w:rsid w:val="003822D8"/>
    <w:rsid w:val="00383FBE"/>
    <w:rsid w:val="00392066"/>
    <w:rsid w:val="00394008"/>
    <w:rsid w:val="003942B3"/>
    <w:rsid w:val="003954D2"/>
    <w:rsid w:val="00395F81"/>
    <w:rsid w:val="003A2345"/>
    <w:rsid w:val="003A3583"/>
    <w:rsid w:val="003A38B9"/>
    <w:rsid w:val="003B0CDC"/>
    <w:rsid w:val="003B1AC7"/>
    <w:rsid w:val="003B1ADC"/>
    <w:rsid w:val="003B1D02"/>
    <w:rsid w:val="003B216A"/>
    <w:rsid w:val="003B29C7"/>
    <w:rsid w:val="003B3866"/>
    <w:rsid w:val="003B4490"/>
    <w:rsid w:val="003B6236"/>
    <w:rsid w:val="003B65C5"/>
    <w:rsid w:val="003C172C"/>
    <w:rsid w:val="003C1821"/>
    <w:rsid w:val="003C2717"/>
    <w:rsid w:val="003C4052"/>
    <w:rsid w:val="003C51E8"/>
    <w:rsid w:val="003C611A"/>
    <w:rsid w:val="003C62E2"/>
    <w:rsid w:val="003C6DA1"/>
    <w:rsid w:val="003D1538"/>
    <w:rsid w:val="003D41D2"/>
    <w:rsid w:val="003D4C42"/>
    <w:rsid w:val="003D4F85"/>
    <w:rsid w:val="003D5ED6"/>
    <w:rsid w:val="003E1874"/>
    <w:rsid w:val="003E2468"/>
    <w:rsid w:val="003E3D72"/>
    <w:rsid w:val="003E4BA6"/>
    <w:rsid w:val="003E5B3C"/>
    <w:rsid w:val="003E5B65"/>
    <w:rsid w:val="003F030D"/>
    <w:rsid w:val="003F15B6"/>
    <w:rsid w:val="003F4E41"/>
    <w:rsid w:val="003F6039"/>
    <w:rsid w:val="003F797E"/>
    <w:rsid w:val="00400764"/>
    <w:rsid w:val="00401E72"/>
    <w:rsid w:val="004025F3"/>
    <w:rsid w:val="004065C8"/>
    <w:rsid w:val="00413036"/>
    <w:rsid w:val="00414512"/>
    <w:rsid w:val="0041550C"/>
    <w:rsid w:val="00421253"/>
    <w:rsid w:val="004212FA"/>
    <w:rsid w:val="004213A5"/>
    <w:rsid w:val="004221FD"/>
    <w:rsid w:val="00422F84"/>
    <w:rsid w:val="00423A96"/>
    <w:rsid w:val="004256A8"/>
    <w:rsid w:val="004301A9"/>
    <w:rsid w:val="0043300F"/>
    <w:rsid w:val="00436237"/>
    <w:rsid w:val="004378B1"/>
    <w:rsid w:val="00441FC6"/>
    <w:rsid w:val="00442576"/>
    <w:rsid w:val="00442C01"/>
    <w:rsid w:val="0044329F"/>
    <w:rsid w:val="004439D8"/>
    <w:rsid w:val="0044433D"/>
    <w:rsid w:val="00444929"/>
    <w:rsid w:val="0044559E"/>
    <w:rsid w:val="004455D1"/>
    <w:rsid w:val="00445E1C"/>
    <w:rsid w:val="00450333"/>
    <w:rsid w:val="00450419"/>
    <w:rsid w:val="00452A94"/>
    <w:rsid w:val="004548E0"/>
    <w:rsid w:val="00455C10"/>
    <w:rsid w:val="0045617D"/>
    <w:rsid w:val="00456B78"/>
    <w:rsid w:val="004576B6"/>
    <w:rsid w:val="00457BC7"/>
    <w:rsid w:val="004619C3"/>
    <w:rsid w:val="00462672"/>
    <w:rsid w:val="00462A64"/>
    <w:rsid w:val="00462ADB"/>
    <w:rsid w:val="004653EF"/>
    <w:rsid w:val="00467311"/>
    <w:rsid w:val="00467F8E"/>
    <w:rsid w:val="00471125"/>
    <w:rsid w:val="004713D7"/>
    <w:rsid w:val="004717C9"/>
    <w:rsid w:val="00471BC6"/>
    <w:rsid w:val="00471F5E"/>
    <w:rsid w:val="004755CD"/>
    <w:rsid w:val="00475AC4"/>
    <w:rsid w:val="00477A1F"/>
    <w:rsid w:val="00480CEA"/>
    <w:rsid w:val="00482706"/>
    <w:rsid w:val="00487B96"/>
    <w:rsid w:val="00493C55"/>
    <w:rsid w:val="004964B4"/>
    <w:rsid w:val="00496571"/>
    <w:rsid w:val="004978DA"/>
    <w:rsid w:val="004A3860"/>
    <w:rsid w:val="004A3A73"/>
    <w:rsid w:val="004A4353"/>
    <w:rsid w:val="004A55E5"/>
    <w:rsid w:val="004A626A"/>
    <w:rsid w:val="004B03AE"/>
    <w:rsid w:val="004B34B5"/>
    <w:rsid w:val="004B4C16"/>
    <w:rsid w:val="004B5125"/>
    <w:rsid w:val="004B58B2"/>
    <w:rsid w:val="004C29A6"/>
    <w:rsid w:val="004C2D4B"/>
    <w:rsid w:val="004C384F"/>
    <w:rsid w:val="004C467C"/>
    <w:rsid w:val="004D0191"/>
    <w:rsid w:val="004D1420"/>
    <w:rsid w:val="004D5D0B"/>
    <w:rsid w:val="004D6314"/>
    <w:rsid w:val="004D66B5"/>
    <w:rsid w:val="004D6935"/>
    <w:rsid w:val="004E2F09"/>
    <w:rsid w:val="004E3304"/>
    <w:rsid w:val="004E35F1"/>
    <w:rsid w:val="004E488B"/>
    <w:rsid w:val="004F3993"/>
    <w:rsid w:val="004F5341"/>
    <w:rsid w:val="004F5A25"/>
    <w:rsid w:val="004F7116"/>
    <w:rsid w:val="004F7676"/>
    <w:rsid w:val="00500222"/>
    <w:rsid w:val="005024EA"/>
    <w:rsid w:val="005029FE"/>
    <w:rsid w:val="005060BB"/>
    <w:rsid w:val="005069BB"/>
    <w:rsid w:val="0051059C"/>
    <w:rsid w:val="00511BCC"/>
    <w:rsid w:val="00514DF4"/>
    <w:rsid w:val="00517F9E"/>
    <w:rsid w:val="0052319A"/>
    <w:rsid w:val="005238D0"/>
    <w:rsid w:val="00524CEF"/>
    <w:rsid w:val="00524FEB"/>
    <w:rsid w:val="00530F09"/>
    <w:rsid w:val="005312F8"/>
    <w:rsid w:val="00532864"/>
    <w:rsid w:val="00533987"/>
    <w:rsid w:val="00535287"/>
    <w:rsid w:val="00536447"/>
    <w:rsid w:val="0054073C"/>
    <w:rsid w:val="00540C48"/>
    <w:rsid w:val="00541263"/>
    <w:rsid w:val="005413BB"/>
    <w:rsid w:val="00541435"/>
    <w:rsid w:val="005418FE"/>
    <w:rsid w:val="00543072"/>
    <w:rsid w:val="0054453E"/>
    <w:rsid w:val="00545145"/>
    <w:rsid w:val="00546485"/>
    <w:rsid w:val="00547EF3"/>
    <w:rsid w:val="0055077E"/>
    <w:rsid w:val="00552BF2"/>
    <w:rsid w:val="005549F6"/>
    <w:rsid w:val="0055587F"/>
    <w:rsid w:val="005562D3"/>
    <w:rsid w:val="0056144A"/>
    <w:rsid w:val="00562C3A"/>
    <w:rsid w:val="00562F96"/>
    <w:rsid w:val="005640A8"/>
    <w:rsid w:val="005659F7"/>
    <w:rsid w:val="00565EDF"/>
    <w:rsid w:val="0057065F"/>
    <w:rsid w:val="00572326"/>
    <w:rsid w:val="00573D2D"/>
    <w:rsid w:val="00576793"/>
    <w:rsid w:val="00576F43"/>
    <w:rsid w:val="005770DD"/>
    <w:rsid w:val="0057729F"/>
    <w:rsid w:val="005806CA"/>
    <w:rsid w:val="00582298"/>
    <w:rsid w:val="00582344"/>
    <w:rsid w:val="0058292B"/>
    <w:rsid w:val="00583F6E"/>
    <w:rsid w:val="00584B1B"/>
    <w:rsid w:val="0058569F"/>
    <w:rsid w:val="00586310"/>
    <w:rsid w:val="005867B1"/>
    <w:rsid w:val="00591FD5"/>
    <w:rsid w:val="005920E3"/>
    <w:rsid w:val="00592951"/>
    <w:rsid w:val="00592A14"/>
    <w:rsid w:val="00593501"/>
    <w:rsid w:val="00594F0E"/>
    <w:rsid w:val="00594FF8"/>
    <w:rsid w:val="00596139"/>
    <w:rsid w:val="005A0543"/>
    <w:rsid w:val="005A0D39"/>
    <w:rsid w:val="005A1F97"/>
    <w:rsid w:val="005A32A4"/>
    <w:rsid w:val="005A3C06"/>
    <w:rsid w:val="005A3D74"/>
    <w:rsid w:val="005A4EAD"/>
    <w:rsid w:val="005A556B"/>
    <w:rsid w:val="005A67A2"/>
    <w:rsid w:val="005A6CD1"/>
    <w:rsid w:val="005A7201"/>
    <w:rsid w:val="005A74B1"/>
    <w:rsid w:val="005B035A"/>
    <w:rsid w:val="005B1B1E"/>
    <w:rsid w:val="005B3A2F"/>
    <w:rsid w:val="005B3A36"/>
    <w:rsid w:val="005B51E5"/>
    <w:rsid w:val="005B6D57"/>
    <w:rsid w:val="005B7251"/>
    <w:rsid w:val="005C09E3"/>
    <w:rsid w:val="005C0BAF"/>
    <w:rsid w:val="005C1530"/>
    <w:rsid w:val="005C23A8"/>
    <w:rsid w:val="005C31D3"/>
    <w:rsid w:val="005C42D5"/>
    <w:rsid w:val="005C54D5"/>
    <w:rsid w:val="005C7539"/>
    <w:rsid w:val="005C7A60"/>
    <w:rsid w:val="005D1EFF"/>
    <w:rsid w:val="005D23AB"/>
    <w:rsid w:val="005D4727"/>
    <w:rsid w:val="005D51AB"/>
    <w:rsid w:val="005D5CCA"/>
    <w:rsid w:val="005D630A"/>
    <w:rsid w:val="005D6389"/>
    <w:rsid w:val="005D68D0"/>
    <w:rsid w:val="005D6EA3"/>
    <w:rsid w:val="005E0E14"/>
    <w:rsid w:val="005E28C0"/>
    <w:rsid w:val="005E3681"/>
    <w:rsid w:val="005E3CA8"/>
    <w:rsid w:val="005E405F"/>
    <w:rsid w:val="005F23A1"/>
    <w:rsid w:val="005F42FF"/>
    <w:rsid w:val="005F5E91"/>
    <w:rsid w:val="005F61BD"/>
    <w:rsid w:val="005F6D5A"/>
    <w:rsid w:val="005F7A40"/>
    <w:rsid w:val="005F7B0E"/>
    <w:rsid w:val="00601B37"/>
    <w:rsid w:val="0060356D"/>
    <w:rsid w:val="00604DEE"/>
    <w:rsid w:val="00607646"/>
    <w:rsid w:val="00610813"/>
    <w:rsid w:val="006134E0"/>
    <w:rsid w:val="00615C48"/>
    <w:rsid w:val="00616FC6"/>
    <w:rsid w:val="006204F8"/>
    <w:rsid w:val="00622499"/>
    <w:rsid w:val="006224BA"/>
    <w:rsid w:val="00623073"/>
    <w:rsid w:val="00623420"/>
    <w:rsid w:val="00625F84"/>
    <w:rsid w:val="006275D9"/>
    <w:rsid w:val="006304FC"/>
    <w:rsid w:val="0063074D"/>
    <w:rsid w:val="00630C2F"/>
    <w:rsid w:val="00631E01"/>
    <w:rsid w:val="00640345"/>
    <w:rsid w:val="00641E46"/>
    <w:rsid w:val="00646D12"/>
    <w:rsid w:val="00647E52"/>
    <w:rsid w:val="00650726"/>
    <w:rsid w:val="00652F6D"/>
    <w:rsid w:val="00655F16"/>
    <w:rsid w:val="006562EC"/>
    <w:rsid w:val="006617E4"/>
    <w:rsid w:val="00661A6D"/>
    <w:rsid w:val="00661BC8"/>
    <w:rsid w:val="006624F1"/>
    <w:rsid w:val="006628D8"/>
    <w:rsid w:val="006636C7"/>
    <w:rsid w:val="0067038E"/>
    <w:rsid w:val="00670739"/>
    <w:rsid w:val="00671C82"/>
    <w:rsid w:val="006720B2"/>
    <w:rsid w:val="006720CC"/>
    <w:rsid w:val="006727D2"/>
    <w:rsid w:val="00672F76"/>
    <w:rsid w:val="00674202"/>
    <w:rsid w:val="0067471A"/>
    <w:rsid w:val="00675BDD"/>
    <w:rsid w:val="00676A5D"/>
    <w:rsid w:val="00677A03"/>
    <w:rsid w:val="00677F80"/>
    <w:rsid w:val="0068320F"/>
    <w:rsid w:val="00683D11"/>
    <w:rsid w:val="0068486D"/>
    <w:rsid w:val="006861E6"/>
    <w:rsid w:val="00686495"/>
    <w:rsid w:val="006A0B2B"/>
    <w:rsid w:val="006A4DBB"/>
    <w:rsid w:val="006B0CAC"/>
    <w:rsid w:val="006B26F0"/>
    <w:rsid w:val="006B32BA"/>
    <w:rsid w:val="006B3DE5"/>
    <w:rsid w:val="006C0D2F"/>
    <w:rsid w:val="006C12CE"/>
    <w:rsid w:val="006C2569"/>
    <w:rsid w:val="006C25E5"/>
    <w:rsid w:val="006C4D56"/>
    <w:rsid w:val="006C7C85"/>
    <w:rsid w:val="006C7D7A"/>
    <w:rsid w:val="006D148D"/>
    <w:rsid w:val="006D38B8"/>
    <w:rsid w:val="006D3EC7"/>
    <w:rsid w:val="006D5136"/>
    <w:rsid w:val="006D6943"/>
    <w:rsid w:val="006D6B76"/>
    <w:rsid w:val="006D6D65"/>
    <w:rsid w:val="006D7899"/>
    <w:rsid w:val="006E484A"/>
    <w:rsid w:val="006E4CDB"/>
    <w:rsid w:val="006E4E97"/>
    <w:rsid w:val="006E5F72"/>
    <w:rsid w:val="006E6050"/>
    <w:rsid w:val="006E7382"/>
    <w:rsid w:val="006F228B"/>
    <w:rsid w:val="006F4818"/>
    <w:rsid w:val="006F4E8D"/>
    <w:rsid w:val="006F4F98"/>
    <w:rsid w:val="006F5480"/>
    <w:rsid w:val="006F6362"/>
    <w:rsid w:val="006F7701"/>
    <w:rsid w:val="006F7D14"/>
    <w:rsid w:val="00700C34"/>
    <w:rsid w:val="00701C57"/>
    <w:rsid w:val="00702D42"/>
    <w:rsid w:val="007035B2"/>
    <w:rsid w:val="00703DE0"/>
    <w:rsid w:val="0070430B"/>
    <w:rsid w:val="0070462C"/>
    <w:rsid w:val="00704BE2"/>
    <w:rsid w:val="007076A8"/>
    <w:rsid w:val="00710E4F"/>
    <w:rsid w:val="00711586"/>
    <w:rsid w:val="007120F7"/>
    <w:rsid w:val="00712423"/>
    <w:rsid w:val="00713897"/>
    <w:rsid w:val="007143E9"/>
    <w:rsid w:val="00715092"/>
    <w:rsid w:val="007179B3"/>
    <w:rsid w:val="007205B8"/>
    <w:rsid w:val="0072084A"/>
    <w:rsid w:val="00720D91"/>
    <w:rsid w:val="00721F32"/>
    <w:rsid w:val="007222E8"/>
    <w:rsid w:val="00723F41"/>
    <w:rsid w:val="00724F32"/>
    <w:rsid w:val="00727D60"/>
    <w:rsid w:val="00731AF7"/>
    <w:rsid w:val="007324E8"/>
    <w:rsid w:val="00732C4E"/>
    <w:rsid w:val="007339AD"/>
    <w:rsid w:val="00733C26"/>
    <w:rsid w:val="00734262"/>
    <w:rsid w:val="00734F6F"/>
    <w:rsid w:val="0073579F"/>
    <w:rsid w:val="00735A08"/>
    <w:rsid w:val="00736FED"/>
    <w:rsid w:val="0074199E"/>
    <w:rsid w:val="00743044"/>
    <w:rsid w:val="007459E4"/>
    <w:rsid w:val="007462F8"/>
    <w:rsid w:val="00747008"/>
    <w:rsid w:val="00750DBC"/>
    <w:rsid w:val="00752AAC"/>
    <w:rsid w:val="00753CDF"/>
    <w:rsid w:val="00754468"/>
    <w:rsid w:val="0075494F"/>
    <w:rsid w:val="007568BC"/>
    <w:rsid w:val="0076027E"/>
    <w:rsid w:val="00760875"/>
    <w:rsid w:val="00760BF3"/>
    <w:rsid w:val="00760FEB"/>
    <w:rsid w:val="00762F04"/>
    <w:rsid w:val="007630C7"/>
    <w:rsid w:val="0076342E"/>
    <w:rsid w:val="00765944"/>
    <w:rsid w:val="007664D5"/>
    <w:rsid w:val="007670E0"/>
    <w:rsid w:val="00770C85"/>
    <w:rsid w:val="0077204F"/>
    <w:rsid w:val="00772E54"/>
    <w:rsid w:val="00774E3D"/>
    <w:rsid w:val="00775178"/>
    <w:rsid w:val="0077583F"/>
    <w:rsid w:val="00775DDD"/>
    <w:rsid w:val="0077670C"/>
    <w:rsid w:val="0078201F"/>
    <w:rsid w:val="0078402C"/>
    <w:rsid w:val="00784A81"/>
    <w:rsid w:val="00787433"/>
    <w:rsid w:val="00790F87"/>
    <w:rsid w:val="00793A0C"/>
    <w:rsid w:val="0079496D"/>
    <w:rsid w:val="00796A2C"/>
    <w:rsid w:val="00796BEB"/>
    <w:rsid w:val="00796F3B"/>
    <w:rsid w:val="007A126C"/>
    <w:rsid w:val="007A191D"/>
    <w:rsid w:val="007A2E1A"/>
    <w:rsid w:val="007A43E5"/>
    <w:rsid w:val="007A447C"/>
    <w:rsid w:val="007A72B6"/>
    <w:rsid w:val="007A7C9A"/>
    <w:rsid w:val="007B10B2"/>
    <w:rsid w:val="007B2CD7"/>
    <w:rsid w:val="007B51BA"/>
    <w:rsid w:val="007B6591"/>
    <w:rsid w:val="007B7708"/>
    <w:rsid w:val="007B7CF2"/>
    <w:rsid w:val="007C1274"/>
    <w:rsid w:val="007C3026"/>
    <w:rsid w:val="007C40AC"/>
    <w:rsid w:val="007C4C93"/>
    <w:rsid w:val="007C6738"/>
    <w:rsid w:val="007C6948"/>
    <w:rsid w:val="007C7FC1"/>
    <w:rsid w:val="007D0096"/>
    <w:rsid w:val="007D1273"/>
    <w:rsid w:val="007D179F"/>
    <w:rsid w:val="007D298A"/>
    <w:rsid w:val="007D46D2"/>
    <w:rsid w:val="007D5698"/>
    <w:rsid w:val="007D60DA"/>
    <w:rsid w:val="007D632A"/>
    <w:rsid w:val="007D666E"/>
    <w:rsid w:val="007D69FD"/>
    <w:rsid w:val="007D6DA9"/>
    <w:rsid w:val="007E145C"/>
    <w:rsid w:val="007E24ED"/>
    <w:rsid w:val="007E5ED0"/>
    <w:rsid w:val="007E5F36"/>
    <w:rsid w:val="007F0869"/>
    <w:rsid w:val="007F17F3"/>
    <w:rsid w:val="007F199B"/>
    <w:rsid w:val="007F4947"/>
    <w:rsid w:val="007F4D10"/>
    <w:rsid w:val="007F68F5"/>
    <w:rsid w:val="008002AF"/>
    <w:rsid w:val="00800C02"/>
    <w:rsid w:val="00800CC0"/>
    <w:rsid w:val="00802B06"/>
    <w:rsid w:val="0080535D"/>
    <w:rsid w:val="0080743A"/>
    <w:rsid w:val="008100CF"/>
    <w:rsid w:val="008114DB"/>
    <w:rsid w:val="00812FFF"/>
    <w:rsid w:val="00813E1A"/>
    <w:rsid w:val="008154A0"/>
    <w:rsid w:val="00815D9B"/>
    <w:rsid w:val="00816284"/>
    <w:rsid w:val="00816422"/>
    <w:rsid w:val="00816F54"/>
    <w:rsid w:val="0082030F"/>
    <w:rsid w:val="008208C3"/>
    <w:rsid w:val="008229E8"/>
    <w:rsid w:val="00823B9C"/>
    <w:rsid w:val="008243E1"/>
    <w:rsid w:val="00825961"/>
    <w:rsid w:val="00831FA2"/>
    <w:rsid w:val="00836263"/>
    <w:rsid w:val="008362AF"/>
    <w:rsid w:val="00836BAF"/>
    <w:rsid w:val="00837311"/>
    <w:rsid w:val="00840351"/>
    <w:rsid w:val="00840486"/>
    <w:rsid w:val="00843023"/>
    <w:rsid w:val="008457C4"/>
    <w:rsid w:val="00846656"/>
    <w:rsid w:val="00846977"/>
    <w:rsid w:val="00847FCA"/>
    <w:rsid w:val="00850A6B"/>
    <w:rsid w:val="00851250"/>
    <w:rsid w:val="00853D86"/>
    <w:rsid w:val="00857080"/>
    <w:rsid w:val="00857C87"/>
    <w:rsid w:val="0086253C"/>
    <w:rsid w:val="00863334"/>
    <w:rsid w:val="00863E73"/>
    <w:rsid w:val="00864606"/>
    <w:rsid w:val="00865B96"/>
    <w:rsid w:val="00865BF3"/>
    <w:rsid w:val="00866608"/>
    <w:rsid w:val="008669C9"/>
    <w:rsid w:val="00867277"/>
    <w:rsid w:val="00870059"/>
    <w:rsid w:val="00870567"/>
    <w:rsid w:val="00870C6A"/>
    <w:rsid w:val="00871351"/>
    <w:rsid w:val="00872350"/>
    <w:rsid w:val="00875185"/>
    <w:rsid w:val="008760CD"/>
    <w:rsid w:val="00877530"/>
    <w:rsid w:val="00881207"/>
    <w:rsid w:val="00881C55"/>
    <w:rsid w:val="00882196"/>
    <w:rsid w:val="00882DC7"/>
    <w:rsid w:val="00883058"/>
    <w:rsid w:val="00883655"/>
    <w:rsid w:val="0088451A"/>
    <w:rsid w:val="00884A33"/>
    <w:rsid w:val="00884D9B"/>
    <w:rsid w:val="008850E7"/>
    <w:rsid w:val="00887AA6"/>
    <w:rsid w:val="008955CF"/>
    <w:rsid w:val="00895634"/>
    <w:rsid w:val="0089759B"/>
    <w:rsid w:val="008A2B99"/>
    <w:rsid w:val="008A3289"/>
    <w:rsid w:val="008A489D"/>
    <w:rsid w:val="008A599B"/>
    <w:rsid w:val="008A60E8"/>
    <w:rsid w:val="008A7674"/>
    <w:rsid w:val="008B0B2F"/>
    <w:rsid w:val="008B116C"/>
    <w:rsid w:val="008B2DC1"/>
    <w:rsid w:val="008B3A56"/>
    <w:rsid w:val="008B6D27"/>
    <w:rsid w:val="008B6D2C"/>
    <w:rsid w:val="008B6F5E"/>
    <w:rsid w:val="008B7F24"/>
    <w:rsid w:val="008C295A"/>
    <w:rsid w:val="008C2CD2"/>
    <w:rsid w:val="008C2FEA"/>
    <w:rsid w:val="008C3C72"/>
    <w:rsid w:val="008C6455"/>
    <w:rsid w:val="008C6ADF"/>
    <w:rsid w:val="008C79CA"/>
    <w:rsid w:val="008C7AB7"/>
    <w:rsid w:val="008D1E20"/>
    <w:rsid w:val="008D2BD3"/>
    <w:rsid w:val="008D334B"/>
    <w:rsid w:val="008D4DFC"/>
    <w:rsid w:val="008D7E7E"/>
    <w:rsid w:val="008E0479"/>
    <w:rsid w:val="008E0AA8"/>
    <w:rsid w:val="008E3462"/>
    <w:rsid w:val="008E3A04"/>
    <w:rsid w:val="008E3D4A"/>
    <w:rsid w:val="008E639B"/>
    <w:rsid w:val="008E67C8"/>
    <w:rsid w:val="008E7AA2"/>
    <w:rsid w:val="008F1176"/>
    <w:rsid w:val="008F1FAD"/>
    <w:rsid w:val="008F2566"/>
    <w:rsid w:val="008F463D"/>
    <w:rsid w:val="008F4946"/>
    <w:rsid w:val="008F5887"/>
    <w:rsid w:val="008F5D0A"/>
    <w:rsid w:val="008F6025"/>
    <w:rsid w:val="008F7867"/>
    <w:rsid w:val="00900B2B"/>
    <w:rsid w:val="00900C8B"/>
    <w:rsid w:val="00901157"/>
    <w:rsid w:val="00901896"/>
    <w:rsid w:val="0090201B"/>
    <w:rsid w:val="00903499"/>
    <w:rsid w:val="0090394F"/>
    <w:rsid w:val="00903DCD"/>
    <w:rsid w:val="0090441C"/>
    <w:rsid w:val="00905DDB"/>
    <w:rsid w:val="00906070"/>
    <w:rsid w:val="00906B7A"/>
    <w:rsid w:val="00912112"/>
    <w:rsid w:val="00914188"/>
    <w:rsid w:val="00914D35"/>
    <w:rsid w:val="00915BE5"/>
    <w:rsid w:val="0091675F"/>
    <w:rsid w:val="00916E61"/>
    <w:rsid w:val="0092037C"/>
    <w:rsid w:val="00923020"/>
    <w:rsid w:val="0092326B"/>
    <w:rsid w:val="00925231"/>
    <w:rsid w:val="0092677B"/>
    <w:rsid w:val="00926E6B"/>
    <w:rsid w:val="00926FF0"/>
    <w:rsid w:val="00927571"/>
    <w:rsid w:val="00931CDB"/>
    <w:rsid w:val="009342A9"/>
    <w:rsid w:val="00935795"/>
    <w:rsid w:val="0093657E"/>
    <w:rsid w:val="009369E5"/>
    <w:rsid w:val="00940FC6"/>
    <w:rsid w:val="00941806"/>
    <w:rsid w:val="00941A36"/>
    <w:rsid w:val="00942748"/>
    <w:rsid w:val="00943B6E"/>
    <w:rsid w:val="00943E27"/>
    <w:rsid w:val="00943F64"/>
    <w:rsid w:val="00945FD2"/>
    <w:rsid w:val="00946782"/>
    <w:rsid w:val="009473FA"/>
    <w:rsid w:val="00947B46"/>
    <w:rsid w:val="00951C2F"/>
    <w:rsid w:val="00954433"/>
    <w:rsid w:val="00955C3F"/>
    <w:rsid w:val="00965132"/>
    <w:rsid w:val="00965587"/>
    <w:rsid w:val="00965C59"/>
    <w:rsid w:val="00966EC6"/>
    <w:rsid w:val="009677E3"/>
    <w:rsid w:val="009702E9"/>
    <w:rsid w:val="00971385"/>
    <w:rsid w:val="00971BF2"/>
    <w:rsid w:val="0097312F"/>
    <w:rsid w:val="00973A30"/>
    <w:rsid w:val="0097438F"/>
    <w:rsid w:val="00974954"/>
    <w:rsid w:val="00976930"/>
    <w:rsid w:val="00976C5B"/>
    <w:rsid w:val="0097777F"/>
    <w:rsid w:val="009826C1"/>
    <w:rsid w:val="00982F26"/>
    <w:rsid w:val="0098342E"/>
    <w:rsid w:val="00984D04"/>
    <w:rsid w:val="0098582E"/>
    <w:rsid w:val="0099067F"/>
    <w:rsid w:val="00990A27"/>
    <w:rsid w:val="00991369"/>
    <w:rsid w:val="00991BC1"/>
    <w:rsid w:val="00992BEA"/>
    <w:rsid w:val="009942C9"/>
    <w:rsid w:val="00994A05"/>
    <w:rsid w:val="00995077"/>
    <w:rsid w:val="009A1562"/>
    <w:rsid w:val="009A2399"/>
    <w:rsid w:val="009A32CE"/>
    <w:rsid w:val="009A3632"/>
    <w:rsid w:val="009A3EF8"/>
    <w:rsid w:val="009A5A2E"/>
    <w:rsid w:val="009B10C1"/>
    <w:rsid w:val="009B41AB"/>
    <w:rsid w:val="009B5C15"/>
    <w:rsid w:val="009B5EF4"/>
    <w:rsid w:val="009B64A2"/>
    <w:rsid w:val="009B6A19"/>
    <w:rsid w:val="009B6BFF"/>
    <w:rsid w:val="009B6DF1"/>
    <w:rsid w:val="009B71AD"/>
    <w:rsid w:val="009C0DB4"/>
    <w:rsid w:val="009C0E40"/>
    <w:rsid w:val="009C1421"/>
    <w:rsid w:val="009C1F6D"/>
    <w:rsid w:val="009C36F0"/>
    <w:rsid w:val="009C5A3B"/>
    <w:rsid w:val="009C7A97"/>
    <w:rsid w:val="009D21D6"/>
    <w:rsid w:val="009D2CA3"/>
    <w:rsid w:val="009D4E53"/>
    <w:rsid w:val="009D62B9"/>
    <w:rsid w:val="009D7997"/>
    <w:rsid w:val="009E1AFA"/>
    <w:rsid w:val="009E1F0D"/>
    <w:rsid w:val="009E4BAE"/>
    <w:rsid w:val="009E797C"/>
    <w:rsid w:val="009E7AB6"/>
    <w:rsid w:val="009F05E4"/>
    <w:rsid w:val="009F2711"/>
    <w:rsid w:val="009F3188"/>
    <w:rsid w:val="009F73B0"/>
    <w:rsid w:val="00A02244"/>
    <w:rsid w:val="00A02623"/>
    <w:rsid w:val="00A02FF9"/>
    <w:rsid w:val="00A04140"/>
    <w:rsid w:val="00A0625C"/>
    <w:rsid w:val="00A104C5"/>
    <w:rsid w:val="00A129F8"/>
    <w:rsid w:val="00A12E6D"/>
    <w:rsid w:val="00A12FD1"/>
    <w:rsid w:val="00A142F5"/>
    <w:rsid w:val="00A1645A"/>
    <w:rsid w:val="00A178C3"/>
    <w:rsid w:val="00A20613"/>
    <w:rsid w:val="00A20A41"/>
    <w:rsid w:val="00A2316C"/>
    <w:rsid w:val="00A23286"/>
    <w:rsid w:val="00A232C0"/>
    <w:rsid w:val="00A2527B"/>
    <w:rsid w:val="00A25311"/>
    <w:rsid w:val="00A260D5"/>
    <w:rsid w:val="00A305E8"/>
    <w:rsid w:val="00A31528"/>
    <w:rsid w:val="00A317D4"/>
    <w:rsid w:val="00A3302C"/>
    <w:rsid w:val="00A34D21"/>
    <w:rsid w:val="00A40B03"/>
    <w:rsid w:val="00A40E06"/>
    <w:rsid w:val="00A426D1"/>
    <w:rsid w:val="00A43B18"/>
    <w:rsid w:val="00A43B21"/>
    <w:rsid w:val="00A454B2"/>
    <w:rsid w:val="00A45ACC"/>
    <w:rsid w:val="00A46253"/>
    <w:rsid w:val="00A46EC2"/>
    <w:rsid w:val="00A47FDE"/>
    <w:rsid w:val="00A52922"/>
    <w:rsid w:val="00A532A2"/>
    <w:rsid w:val="00A53ABF"/>
    <w:rsid w:val="00A541AD"/>
    <w:rsid w:val="00A556D1"/>
    <w:rsid w:val="00A55BDA"/>
    <w:rsid w:val="00A55D12"/>
    <w:rsid w:val="00A55EE0"/>
    <w:rsid w:val="00A57DD4"/>
    <w:rsid w:val="00A60D1B"/>
    <w:rsid w:val="00A62302"/>
    <w:rsid w:val="00A62E0A"/>
    <w:rsid w:val="00A63469"/>
    <w:rsid w:val="00A634D4"/>
    <w:rsid w:val="00A63EC8"/>
    <w:rsid w:val="00A65063"/>
    <w:rsid w:val="00A65D1E"/>
    <w:rsid w:val="00A705B9"/>
    <w:rsid w:val="00A70FD8"/>
    <w:rsid w:val="00A716DF"/>
    <w:rsid w:val="00A72797"/>
    <w:rsid w:val="00A72CF6"/>
    <w:rsid w:val="00A762F9"/>
    <w:rsid w:val="00A764F3"/>
    <w:rsid w:val="00A81F6E"/>
    <w:rsid w:val="00A8290C"/>
    <w:rsid w:val="00A82993"/>
    <w:rsid w:val="00A82C59"/>
    <w:rsid w:val="00A835B8"/>
    <w:rsid w:val="00A84D67"/>
    <w:rsid w:val="00A84E99"/>
    <w:rsid w:val="00A87622"/>
    <w:rsid w:val="00A914F5"/>
    <w:rsid w:val="00A917DC"/>
    <w:rsid w:val="00A91E8A"/>
    <w:rsid w:val="00A93A1B"/>
    <w:rsid w:val="00A93B1E"/>
    <w:rsid w:val="00A93B47"/>
    <w:rsid w:val="00AA04D9"/>
    <w:rsid w:val="00AA0D13"/>
    <w:rsid w:val="00AA0F64"/>
    <w:rsid w:val="00AA11C1"/>
    <w:rsid w:val="00AA331A"/>
    <w:rsid w:val="00AA3E90"/>
    <w:rsid w:val="00AA5F83"/>
    <w:rsid w:val="00AA6BD1"/>
    <w:rsid w:val="00AA74E8"/>
    <w:rsid w:val="00AB08A7"/>
    <w:rsid w:val="00AB1C98"/>
    <w:rsid w:val="00AB2D84"/>
    <w:rsid w:val="00AB6D9C"/>
    <w:rsid w:val="00AB706B"/>
    <w:rsid w:val="00AB7341"/>
    <w:rsid w:val="00AB79AB"/>
    <w:rsid w:val="00AC105B"/>
    <w:rsid w:val="00AC14A7"/>
    <w:rsid w:val="00AC47C9"/>
    <w:rsid w:val="00AC794C"/>
    <w:rsid w:val="00AC7956"/>
    <w:rsid w:val="00AC79A5"/>
    <w:rsid w:val="00AD0B5F"/>
    <w:rsid w:val="00AD2164"/>
    <w:rsid w:val="00AD789D"/>
    <w:rsid w:val="00AE1F37"/>
    <w:rsid w:val="00AE2283"/>
    <w:rsid w:val="00AE2516"/>
    <w:rsid w:val="00AE2A5A"/>
    <w:rsid w:val="00AE353C"/>
    <w:rsid w:val="00AE395D"/>
    <w:rsid w:val="00AE64A6"/>
    <w:rsid w:val="00AE6C15"/>
    <w:rsid w:val="00AE7826"/>
    <w:rsid w:val="00AE7F73"/>
    <w:rsid w:val="00AF064C"/>
    <w:rsid w:val="00AF4575"/>
    <w:rsid w:val="00AF4B9D"/>
    <w:rsid w:val="00AF6A04"/>
    <w:rsid w:val="00B010F2"/>
    <w:rsid w:val="00B028D4"/>
    <w:rsid w:val="00B02E0E"/>
    <w:rsid w:val="00B032D4"/>
    <w:rsid w:val="00B03AE7"/>
    <w:rsid w:val="00B04AF5"/>
    <w:rsid w:val="00B056AD"/>
    <w:rsid w:val="00B145A9"/>
    <w:rsid w:val="00B15E86"/>
    <w:rsid w:val="00B161E8"/>
    <w:rsid w:val="00B16EBB"/>
    <w:rsid w:val="00B17E03"/>
    <w:rsid w:val="00B17FE5"/>
    <w:rsid w:val="00B20E6B"/>
    <w:rsid w:val="00B23177"/>
    <w:rsid w:val="00B23738"/>
    <w:rsid w:val="00B23C6E"/>
    <w:rsid w:val="00B245BB"/>
    <w:rsid w:val="00B24CB8"/>
    <w:rsid w:val="00B25F90"/>
    <w:rsid w:val="00B2720E"/>
    <w:rsid w:val="00B30203"/>
    <w:rsid w:val="00B30DB0"/>
    <w:rsid w:val="00B31A3D"/>
    <w:rsid w:val="00B33884"/>
    <w:rsid w:val="00B357E0"/>
    <w:rsid w:val="00B371D0"/>
    <w:rsid w:val="00B37BAA"/>
    <w:rsid w:val="00B40DD6"/>
    <w:rsid w:val="00B41266"/>
    <w:rsid w:val="00B41F69"/>
    <w:rsid w:val="00B42BF6"/>
    <w:rsid w:val="00B43AFC"/>
    <w:rsid w:val="00B43DD9"/>
    <w:rsid w:val="00B44EC5"/>
    <w:rsid w:val="00B4588B"/>
    <w:rsid w:val="00B469C4"/>
    <w:rsid w:val="00B46E5D"/>
    <w:rsid w:val="00B46FF3"/>
    <w:rsid w:val="00B476CB"/>
    <w:rsid w:val="00B507CA"/>
    <w:rsid w:val="00B51413"/>
    <w:rsid w:val="00B52C6C"/>
    <w:rsid w:val="00B52FDA"/>
    <w:rsid w:val="00B533AF"/>
    <w:rsid w:val="00B54078"/>
    <w:rsid w:val="00B54C33"/>
    <w:rsid w:val="00B6077C"/>
    <w:rsid w:val="00B62059"/>
    <w:rsid w:val="00B6421F"/>
    <w:rsid w:val="00B64C9D"/>
    <w:rsid w:val="00B65AD5"/>
    <w:rsid w:val="00B66FF0"/>
    <w:rsid w:val="00B674E1"/>
    <w:rsid w:val="00B67FC1"/>
    <w:rsid w:val="00B74B86"/>
    <w:rsid w:val="00B76DF6"/>
    <w:rsid w:val="00B77A79"/>
    <w:rsid w:val="00B803FE"/>
    <w:rsid w:val="00B869B7"/>
    <w:rsid w:val="00B872C2"/>
    <w:rsid w:val="00B9007D"/>
    <w:rsid w:val="00B91ED6"/>
    <w:rsid w:val="00B92AB0"/>
    <w:rsid w:val="00B92C24"/>
    <w:rsid w:val="00B92D3D"/>
    <w:rsid w:val="00B92F40"/>
    <w:rsid w:val="00B94F08"/>
    <w:rsid w:val="00B953EF"/>
    <w:rsid w:val="00B97435"/>
    <w:rsid w:val="00BA138B"/>
    <w:rsid w:val="00BA1F1A"/>
    <w:rsid w:val="00BA4523"/>
    <w:rsid w:val="00BA588F"/>
    <w:rsid w:val="00BA589B"/>
    <w:rsid w:val="00BA6E77"/>
    <w:rsid w:val="00BA7768"/>
    <w:rsid w:val="00BA7DD4"/>
    <w:rsid w:val="00BB0E37"/>
    <w:rsid w:val="00BB1583"/>
    <w:rsid w:val="00BB18DC"/>
    <w:rsid w:val="00BB1C4F"/>
    <w:rsid w:val="00BB2720"/>
    <w:rsid w:val="00BB592A"/>
    <w:rsid w:val="00BB593A"/>
    <w:rsid w:val="00BC047B"/>
    <w:rsid w:val="00BC1491"/>
    <w:rsid w:val="00BC1759"/>
    <w:rsid w:val="00BC183A"/>
    <w:rsid w:val="00BC186B"/>
    <w:rsid w:val="00BC2BD4"/>
    <w:rsid w:val="00BC3E31"/>
    <w:rsid w:val="00BD69BF"/>
    <w:rsid w:val="00BD75C3"/>
    <w:rsid w:val="00BD79B9"/>
    <w:rsid w:val="00BE0025"/>
    <w:rsid w:val="00BE05E8"/>
    <w:rsid w:val="00BE05F4"/>
    <w:rsid w:val="00BE2FDB"/>
    <w:rsid w:val="00BE3779"/>
    <w:rsid w:val="00BE4E95"/>
    <w:rsid w:val="00BE5F8C"/>
    <w:rsid w:val="00BE64B2"/>
    <w:rsid w:val="00BF107C"/>
    <w:rsid w:val="00BF12A3"/>
    <w:rsid w:val="00BF1415"/>
    <w:rsid w:val="00BF2520"/>
    <w:rsid w:val="00BF312E"/>
    <w:rsid w:val="00BF3890"/>
    <w:rsid w:val="00BF3AB2"/>
    <w:rsid w:val="00BF3B65"/>
    <w:rsid w:val="00BF482D"/>
    <w:rsid w:val="00C004FA"/>
    <w:rsid w:val="00C00506"/>
    <w:rsid w:val="00C031B5"/>
    <w:rsid w:val="00C0355B"/>
    <w:rsid w:val="00C03CD9"/>
    <w:rsid w:val="00C066E6"/>
    <w:rsid w:val="00C0715E"/>
    <w:rsid w:val="00C10077"/>
    <w:rsid w:val="00C109A0"/>
    <w:rsid w:val="00C1281E"/>
    <w:rsid w:val="00C13B92"/>
    <w:rsid w:val="00C153EF"/>
    <w:rsid w:val="00C159B0"/>
    <w:rsid w:val="00C16D76"/>
    <w:rsid w:val="00C21930"/>
    <w:rsid w:val="00C22114"/>
    <w:rsid w:val="00C23C7A"/>
    <w:rsid w:val="00C24D38"/>
    <w:rsid w:val="00C30D4A"/>
    <w:rsid w:val="00C30E74"/>
    <w:rsid w:val="00C30F0A"/>
    <w:rsid w:val="00C312E7"/>
    <w:rsid w:val="00C349C7"/>
    <w:rsid w:val="00C34D9D"/>
    <w:rsid w:val="00C35D18"/>
    <w:rsid w:val="00C36B40"/>
    <w:rsid w:val="00C41699"/>
    <w:rsid w:val="00C41900"/>
    <w:rsid w:val="00C42206"/>
    <w:rsid w:val="00C44617"/>
    <w:rsid w:val="00C44BD6"/>
    <w:rsid w:val="00C465FA"/>
    <w:rsid w:val="00C4718C"/>
    <w:rsid w:val="00C47D3E"/>
    <w:rsid w:val="00C5053F"/>
    <w:rsid w:val="00C507E9"/>
    <w:rsid w:val="00C51C10"/>
    <w:rsid w:val="00C526DE"/>
    <w:rsid w:val="00C52D17"/>
    <w:rsid w:val="00C5563D"/>
    <w:rsid w:val="00C55E4D"/>
    <w:rsid w:val="00C566E4"/>
    <w:rsid w:val="00C57916"/>
    <w:rsid w:val="00C57EC4"/>
    <w:rsid w:val="00C60516"/>
    <w:rsid w:val="00C60DE1"/>
    <w:rsid w:val="00C6223F"/>
    <w:rsid w:val="00C626D5"/>
    <w:rsid w:val="00C63567"/>
    <w:rsid w:val="00C63EED"/>
    <w:rsid w:val="00C63EF0"/>
    <w:rsid w:val="00C64965"/>
    <w:rsid w:val="00C6502B"/>
    <w:rsid w:val="00C65C94"/>
    <w:rsid w:val="00C66365"/>
    <w:rsid w:val="00C66F60"/>
    <w:rsid w:val="00C72416"/>
    <w:rsid w:val="00C73A87"/>
    <w:rsid w:val="00C750A3"/>
    <w:rsid w:val="00C75D60"/>
    <w:rsid w:val="00C80BAE"/>
    <w:rsid w:val="00C84E1F"/>
    <w:rsid w:val="00C84E92"/>
    <w:rsid w:val="00C856C0"/>
    <w:rsid w:val="00C87ACE"/>
    <w:rsid w:val="00C918DA"/>
    <w:rsid w:val="00C93863"/>
    <w:rsid w:val="00C9479E"/>
    <w:rsid w:val="00C96071"/>
    <w:rsid w:val="00C97C81"/>
    <w:rsid w:val="00CA0B17"/>
    <w:rsid w:val="00CA2CE7"/>
    <w:rsid w:val="00CA31C7"/>
    <w:rsid w:val="00CA42B8"/>
    <w:rsid w:val="00CA4F3F"/>
    <w:rsid w:val="00CA567F"/>
    <w:rsid w:val="00CA5AAD"/>
    <w:rsid w:val="00CB1070"/>
    <w:rsid w:val="00CB175B"/>
    <w:rsid w:val="00CB33DC"/>
    <w:rsid w:val="00CB4724"/>
    <w:rsid w:val="00CB532B"/>
    <w:rsid w:val="00CB5DDC"/>
    <w:rsid w:val="00CB7138"/>
    <w:rsid w:val="00CC1CDF"/>
    <w:rsid w:val="00CC3162"/>
    <w:rsid w:val="00CC65B8"/>
    <w:rsid w:val="00CC6953"/>
    <w:rsid w:val="00CC7A6A"/>
    <w:rsid w:val="00CD01E5"/>
    <w:rsid w:val="00CD1344"/>
    <w:rsid w:val="00CD48F0"/>
    <w:rsid w:val="00CD6CCC"/>
    <w:rsid w:val="00CD726E"/>
    <w:rsid w:val="00CD7A12"/>
    <w:rsid w:val="00CE3288"/>
    <w:rsid w:val="00CE6310"/>
    <w:rsid w:val="00CF0035"/>
    <w:rsid w:val="00CF0C0B"/>
    <w:rsid w:val="00CF10CF"/>
    <w:rsid w:val="00CF1635"/>
    <w:rsid w:val="00CF1B3E"/>
    <w:rsid w:val="00CF1D7D"/>
    <w:rsid w:val="00CF23C9"/>
    <w:rsid w:val="00CF344C"/>
    <w:rsid w:val="00CF3830"/>
    <w:rsid w:val="00CF479C"/>
    <w:rsid w:val="00CF4987"/>
    <w:rsid w:val="00CF60BD"/>
    <w:rsid w:val="00CF6A3A"/>
    <w:rsid w:val="00D01410"/>
    <w:rsid w:val="00D039F8"/>
    <w:rsid w:val="00D043BE"/>
    <w:rsid w:val="00D04A03"/>
    <w:rsid w:val="00D05863"/>
    <w:rsid w:val="00D072E9"/>
    <w:rsid w:val="00D07F6D"/>
    <w:rsid w:val="00D12699"/>
    <w:rsid w:val="00D130A7"/>
    <w:rsid w:val="00D1328E"/>
    <w:rsid w:val="00D14B3D"/>
    <w:rsid w:val="00D16382"/>
    <w:rsid w:val="00D17E2F"/>
    <w:rsid w:val="00D211A3"/>
    <w:rsid w:val="00D21B20"/>
    <w:rsid w:val="00D246AF"/>
    <w:rsid w:val="00D266E7"/>
    <w:rsid w:val="00D27646"/>
    <w:rsid w:val="00D2769B"/>
    <w:rsid w:val="00D27FE0"/>
    <w:rsid w:val="00D3106F"/>
    <w:rsid w:val="00D3269D"/>
    <w:rsid w:val="00D34BCE"/>
    <w:rsid w:val="00D352B4"/>
    <w:rsid w:val="00D37548"/>
    <w:rsid w:val="00D42A05"/>
    <w:rsid w:val="00D44E8E"/>
    <w:rsid w:val="00D46B9C"/>
    <w:rsid w:val="00D47922"/>
    <w:rsid w:val="00D47D18"/>
    <w:rsid w:val="00D507F5"/>
    <w:rsid w:val="00D51A97"/>
    <w:rsid w:val="00D54C39"/>
    <w:rsid w:val="00D5541F"/>
    <w:rsid w:val="00D60DD5"/>
    <w:rsid w:val="00D642D0"/>
    <w:rsid w:val="00D70EEC"/>
    <w:rsid w:val="00D712CF"/>
    <w:rsid w:val="00D73E84"/>
    <w:rsid w:val="00D75065"/>
    <w:rsid w:val="00D75267"/>
    <w:rsid w:val="00D75EA8"/>
    <w:rsid w:val="00D77E69"/>
    <w:rsid w:val="00D804B2"/>
    <w:rsid w:val="00D80B31"/>
    <w:rsid w:val="00D818AD"/>
    <w:rsid w:val="00D821B7"/>
    <w:rsid w:val="00D82C97"/>
    <w:rsid w:val="00D830F0"/>
    <w:rsid w:val="00D83832"/>
    <w:rsid w:val="00D8519C"/>
    <w:rsid w:val="00D87BAE"/>
    <w:rsid w:val="00D9461A"/>
    <w:rsid w:val="00D949C0"/>
    <w:rsid w:val="00D95C1C"/>
    <w:rsid w:val="00D97E19"/>
    <w:rsid w:val="00DA449B"/>
    <w:rsid w:val="00DA6AAF"/>
    <w:rsid w:val="00DA7F9E"/>
    <w:rsid w:val="00DB263C"/>
    <w:rsid w:val="00DB52BA"/>
    <w:rsid w:val="00DB7BE5"/>
    <w:rsid w:val="00DC004E"/>
    <w:rsid w:val="00DC0DB7"/>
    <w:rsid w:val="00DC2A40"/>
    <w:rsid w:val="00DC2F47"/>
    <w:rsid w:val="00DD067E"/>
    <w:rsid w:val="00DD20BC"/>
    <w:rsid w:val="00DD4AB3"/>
    <w:rsid w:val="00DD5160"/>
    <w:rsid w:val="00DD552B"/>
    <w:rsid w:val="00DD5678"/>
    <w:rsid w:val="00DD67F5"/>
    <w:rsid w:val="00DD7F33"/>
    <w:rsid w:val="00DE1C5D"/>
    <w:rsid w:val="00DE1D2A"/>
    <w:rsid w:val="00DE2B92"/>
    <w:rsid w:val="00DE3208"/>
    <w:rsid w:val="00DE67CA"/>
    <w:rsid w:val="00DF1CE6"/>
    <w:rsid w:val="00DF1E3E"/>
    <w:rsid w:val="00DF1FD8"/>
    <w:rsid w:val="00DF210C"/>
    <w:rsid w:val="00DF3041"/>
    <w:rsid w:val="00DF37CC"/>
    <w:rsid w:val="00DF4102"/>
    <w:rsid w:val="00DF6E0A"/>
    <w:rsid w:val="00E012BA"/>
    <w:rsid w:val="00E033D2"/>
    <w:rsid w:val="00E04141"/>
    <w:rsid w:val="00E06CB3"/>
    <w:rsid w:val="00E07442"/>
    <w:rsid w:val="00E10FAD"/>
    <w:rsid w:val="00E10FEF"/>
    <w:rsid w:val="00E145F6"/>
    <w:rsid w:val="00E147DE"/>
    <w:rsid w:val="00E149EE"/>
    <w:rsid w:val="00E15630"/>
    <w:rsid w:val="00E161EC"/>
    <w:rsid w:val="00E16226"/>
    <w:rsid w:val="00E171DF"/>
    <w:rsid w:val="00E17814"/>
    <w:rsid w:val="00E20BAA"/>
    <w:rsid w:val="00E21F67"/>
    <w:rsid w:val="00E2798B"/>
    <w:rsid w:val="00E27F9A"/>
    <w:rsid w:val="00E33124"/>
    <w:rsid w:val="00E334D5"/>
    <w:rsid w:val="00E33F40"/>
    <w:rsid w:val="00E34DFD"/>
    <w:rsid w:val="00E36645"/>
    <w:rsid w:val="00E4225F"/>
    <w:rsid w:val="00E45188"/>
    <w:rsid w:val="00E45C02"/>
    <w:rsid w:val="00E461A2"/>
    <w:rsid w:val="00E47462"/>
    <w:rsid w:val="00E4799C"/>
    <w:rsid w:val="00E50469"/>
    <w:rsid w:val="00E50D50"/>
    <w:rsid w:val="00E53E0A"/>
    <w:rsid w:val="00E57548"/>
    <w:rsid w:val="00E60460"/>
    <w:rsid w:val="00E6047A"/>
    <w:rsid w:val="00E61CEF"/>
    <w:rsid w:val="00E6226A"/>
    <w:rsid w:val="00E6306B"/>
    <w:rsid w:val="00E63D3A"/>
    <w:rsid w:val="00E6433A"/>
    <w:rsid w:val="00E66054"/>
    <w:rsid w:val="00E671C0"/>
    <w:rsid w:val="00E71E32"/>
    <w:rsid w:val="00E725EE"/>
    <w:rsid w:val="00E73418"/>
    <w:rsid w:val="00E73502"/>
    <w:rsid w:val="00E739D4"/>
    <w:rsid w:val="00E743F8"/>
    <w:rsid w:val="00E74F00"/>
    <w:rsid w:val="00E76879"/>
    <w:rsid w:val="00E7751C"/>
    <w:rsid w:val="00E848D1"/>
    <w:rsid w:val="00E902D0"/>
    <w:rsid w:val="00E90458"/>
    <w:rsid w:val="00E91B97"/>
    <w:rsid w:val="00E92A0D"/>
    <w:rsid w:val="00E937FE"/>
    <w:rsid w:val="00E96DAD"/>
    <w:rsid w:val="00E9741D"/>
    <w:rsid w:val="00E97433"/>
    <w:rsid w:val="00E97679"/>
    <w:rsid w:val="00EA0FCA"/>
    <w:rsid w:val="00EA17DF"/>
    <w:rsid w:val="00EA388A"/>
    <w:rsid w:val="00EA3A86"/>
    <w:rsid w:val="00EA41C7"/>
    <w:rsid w:val="00EA5034"/>
    <w:rsid w:val="00EA5F91"/>
    <w:rsid w:val="00EA63C3"/>
    <w:rsid w:val="00EA77A4"/>
    <w:rsid w:val="00EB23B7"/>
    <w:rsid w:val="00EB3E21"/>
    <w:rsid w:val="00EB4442"/>
    <w:rsid w:val="00EB50F4"/>
    <w:rsid w:val="00EC0E9D"/>
    <w:rsid w:val="00EC15A5"/>
    <w:rsid w:val="00EC7195"/>
    <w:rsid w:val="00ED1962"/>
    <w:rsid w:val="00ED1B84"/>
    <w:rsid w:val="00ED2FCB"/>
    <w:rsid w:val="00ED327E"/>
    <w:rsid w:val="00ED6051"/>
    <w:rsid w:val="00ED642C"/>
    <w:rsid w:val="00ED6B6A"/>
    <w:rsid w:val="00EE29F9"/>
    <w:rsid w:val="00EE6CE5"/>
    <w:rsid w:val="00EE75B2"/>
    <w:rsid w:val="00EF040B"/>
    <w:rsid w:val="00EF0488"/>
    <w:rsid w:val="00EF0AFF"/>
    <w:rsid w:val="00EF2B35"/>
    <w:rsid w:val="00EF2BF5"/>
    <w:rsid w:val="00EF37CB"/>
    <w:rsid w:val="00EF3CAA"/>
    <w:rsid w:val="00EF6295"/>
    <w:rsid w:val="00EF6357"/>
    <w:rsid w:val="00EF6601"/>
    <w:rsid w:val="00EF77AB"/>
    <w:rsid w:val="00F000FC"/>
    <w:rsid w:val="00F00F19"/>
    <w:rsid w:val="00F029BC"/>
    <w:rsid w:val="00F02B2B"/>
    <w:rsid w:val="00F0339C"/>
    <w:rsid w:val="00F05AB6"/>
    <w:rsid w:val="00F07BB8"/>
    <w:rsid w:val="00F07CC8"/>
    <w:rsid w:val="00F07D55"/>
    <w:rsid w:val="00F133D5"/>
    <w:rsid w:val="00F139CA"/>
    <w:rsid w:val="00F16FE2"/>
    <w:rsid w:val="00F17049"/>
    <w:rsid w:val="00F1784F"/>
    <w:rsid w:val="00F2155D"/>
    <w:rsid w:val="00F2240E"/>
    <w:rsid w:val="00F25B66"/>
    <w:rsid w:val="00F272B9"/>
    <w:rsid w:val="00F3122C"/>
    <w:rsid w:val="00F33057"/>
    <w:rsid w:val="00F34626"/>
    <w:rsid w:val="00F3497B"/>
    <w:rsid w:val="00F34BFA"/>
    <w:rsid w:val="00F363BD"/>
    <w:rsid w:val="00F36D22"/>
    <w:rsid w:val="00F37AD6"/>
    <w:rsid w:val="00F40DA1"/>
    <w:rsid w:val="00F42263"/>
    <w:rsid w:val="00F43108"/>
    <w:rsid w:val="00F43861"/>
    <w:rsid w:val="00F43AEF"/>
    <w:rsid w:val="00F45325"/>
    <w:rsid w:val="00F46458"/>
    <w:rsid w:val="00F46B2C"/>
    <w:rsid w:val="00F50830"/>
    <w:rsid w:val="00F529AB"/>
    <w:rsid w:val="00F55681"/>
    <w:rsid w:val="00F561B2"/>
    <w:rsid w:val="00F56AAF"/>
    <w:rsid w:val="00F602E4"/>
    <w:rsid w:val="00F60827"/>
    <w:rsid w:val="00F60A4F"/>
    <w:rsid w:val="00F61E96"/>
    <w:rsid w:val="00F61EAC"/>
    <w:rsid w:val="00F62005"/>
    <w:rsid w:val="00F62D34"/>
    <w:rsid w:val="00F6395B"/>
    <w:rsid w:val="00F706D6"/>
    <w:rsid w:val="00F71FD4"/>
    <w:rsid w:val="00F74D01"/>
    <w:rsid w:val="00F76D33"/>
    <w:rsid w:val="00F80565"/>
    <w:rsid w:val="00F80998"/>
    <w:rsid w:val="00F80EEF"/>
    <w:rsid w:val="00F81475"/>
    <w:rsid w:val="00F81C05"/>
    <w:rsid w:val="00F8202C"/>
    <w:rsid w:val="00F83151"/>
    <w:rsid w:val="00F835A0"/>
    <w:rsid w:val="00F838AE"/>
    <w:rsid w:val="00F85A92"/>
    <w:rsid w:val="00F85FA1"/>
    <w:rsid w:val="00F868F5"/>
    <w:rsid w:val="00F86AF9"/>
    <w:rsid w:val="00F9171D"/>
    <w:rsid w:val="00F92AB1"/>
    <w:rsid w:val="00F93B3D"/>
    <w:rsid w:val="00F93E5D"/>
    <w:rsid w:val="00F97089"/>
    <w:rsid w:val="00F974E8"/>
    <w:rsid w:val="00F97854"/>
    <w:rsid w:val="00FA01C8"/>
    <w:rsid w:val="00FA0597"/>
    <w:rsid w:val="00FA4256"/>
    <w:rsid w:val="00FA59EE"/>
    <w:rsid w:val="00FB2690"/>
    <w:rsid w:val="00FB443C"/>
    <w:rsid w:val="00FB4926"/>
    <w:rsid w:val="00FB4D1F"/>
    <w:rsid w:val="00FB51CF"/>
    <w:rsid w:val="00FB57E9"/>
    <w:rsid w:val="00FB723E"/>
    <w:rsid w:val="00FB7F37"/>
    <w:rsid w:val="00FC0D29"/>
    <w:rsid w:val="00FC17E6"/>
    <w:rsid w:val="00FC2DE6"/>
    <w:rsid w:val="00FC4205"/>
    <w:rsid w:val="00FC57E1"/>
    <w:rsid w:val="00FC5F0A"/>
    <w:rsid w:val="00FC6AA3"/>
    <w:rsid w:val="00FC759A"/>
    <w:rsid w:val="00FD3B09"/>
    <w:rsid w:val="00FD3E58"/>
    <w:rsid w:val="00FD42C5"/>
    <w:rsid w:val="00FD5A0E"/>
    <w:rsid w:val="00FE0A53"/>
    <w:rsid w:val="00FE0D3A"/>
    <w:rsid w:val="00FE19B5"/>
    <w:rsid w:val="00FE293B"/>
    <w:rsid w:val="00FE55B1"/>
    <w:rsid w:val="00FE7E82"/>
    <w:rsid w:val="00FF0860"/>
    <w:rsid w:val="00FF1A44"/>
    <w:rsid w:val="00FF4B83"/>
    <w:rsid w:val="00FF689A"/>
    <w:rsid w:val="00FF7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5992288"/>
  <w14:defaultImageDpi w14:val="0"/>
  <w15:chartTrackingRefBased/>
  <w15:docId w15:val="{6F6BD17E-63BB-494F-BE2E-D0447C6C8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uiPriority="9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List Bullet" w:uiPriority="5" w:qFormat="1"/>
    <w:lsdException w:name="List Bullet 3" w:uiPriority="5"/>
    <w:lsdException w:name="Title" w:qFormat="1"/>
    <w:lsdException w:name="Body Text" w:uiPriority="99" w:qFormat="1"/>
    <w:lsdException w:name="Subtitle" w:qFormat="1"/>
    <w:lsdException w:name="Hyperlink" w:uiPriority="99"/>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unhideWhenUsed/>
    <w:rsid w:val="007664D5"/>
    <w:pPr>
      <w:tabs>
        <w:tab w:val="left" w:pos="720"/>
      </w:tabs>
      <w:spacing w:before="-1" w:after="-1"/>
    </w:pPr>
    <w:rPr>
      <w:rFonts w:ascii="Georgia" w:hAnsi="Georgia"/>
      <w:sz w:val="24"/>
      <w:szCs w:val="24"/>
    </w:rPr>
  </w:style>
  <w:style w:type="paragraph" w:styleId="Heading1">
    <w:name w:val="heading 1"/>
    <w:basedOn w:val="Normal"/>
    <w:next w:val="BodyText"/>
    <w:link w:val="Heading1Char"/>
    <w:uiPriority w:val="9"/>
    <w:qFormat/>
    <w:rsid w:val="002F7313"/>
    <w:pPr>
      <w:keepNext/>
      <w:keepLines/>
      <w:tabs>
        <w:tab w:val="clear" w:pos="720"/>
      </w:tabs>
      <w:spacing w:before="480" w:after="120"/>
      <w:jc w:val="center"/>
      <w:outlineLvl w:val="0"/>
    </w:pPr>
    <w:rPr>
      <w:b/>
      <w:bCs/>
      <w:caps/>
      <w:sz w:val="22"/>
      <w:szCs w:val="28"/>
    </w:rPr>
  </w:style>
  <w:style w:type="paragraph" w:styleId="Heading2">
    <w:name w:val="heading 2"/>
    <w:basedOn w:val="Heading1"/>
    <w:next w:val="BodyText"/>
    <w:link w:val="Heading2Char"/>
    <w:uiPriority w:val="9"/>
    <w:qFormat/>
    <w:rsid w:val="006D5136"/>
    <w:pPr>
      <w:numPr>
        <w:numId w:val="25"/>
      </w:numPr>
      <w:spacing w:before="0"/>
      <w:ind w:left="360" w:hanging="90"/>
      <w:jc w:val="both"/>
      <w:outlineLvl w:val="1"/>
    </w:pPr>
    <w:rPr>
      <w:caps w:val="0"/>
      <w:szCs w:val="26"/>
    </w:rPr>
  </w:style>
  <w:style w:type="paragraph" w:styleId="Heading3">
    <w:name w:val="heading 3"/>
    <w:basedOn w:val="Heading2"/>
    <w:next w:val="BodyText"/>
    <w:link w:val="Heading3Char"/>
    <w:uiPriority w:val="9"/>
    <w:qFormat/>
    <w:rsid w:val="00863E73"/>
    <w:pPr>
      <w:outlineLvl w:val="2"/>
    </w:pPr>
    <w:rPr>
      <w:b w:val="0"/>
      <w:u w:val="single"/>
    </w:rPr>
  </w:style>
  <w:style w:type="paragraph" w:styleId="Heading4">
    <w:name w:val="heading 4"/>
    <w:basedOn w:val="Heading3"/>
    <w:next w:val="BodyText"/>
    <w:link w:val="Heading4Char"/>
    <w:uiPriority w:val="9"/>
    <w:qFormat/>
    <w:rsid w:val="00B953EF"/>
    <w:pPr>
      <w:numPr>
        <w:numId w:val="24"/>
      </w:numPr>
      <w:jc w:val="left"/>
      <w:outlineLvl w:val="3"/>
    </w:pPr>
    <w:rPr>
      <w:b/>
      <w:bCs w:val="0"/>
      <w:iCs/>
      <w:u w:val="none"/>
    </w:rPr>
  </w:style>
  <w:style w:type="paragraph" w:styleId="Heading5">
    <w:name w:val="heading 5"/>
    <w:basedOn w:val="Normal"/>
    <w:next w:val="Normal"/>
    <w:link w:val="Heading5Char"/>
    <w:uiPriority w:val="9"/>
    <w:qFormat/>
    <w:rsid w:val="009D4E53"/>
    <w:pPr>
      <w:keepNext/>
      <w:keepLines/>
      <w:spacing w:before="200" w:after="120"/>
      <w:outlineLvl w:val="4"/>
    </w:pPr>
    <w:rPr>
      <w:i/>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2F7313"/>
    <w:rPr>
      <w:rFonts w:ascii="Georgia" w:hAnsi="Georgia"/>
      <w:b/>
      <w:caps/>
      <w:sz w:val="28"/>
      <w:lang w:val="en-US" w:eastAsia="en-US"/>
    </w:rPr>
  </w:style>
  <w:style w:type="character" w:customStyle="1" w:styleId="Heading2Char">
    <w:name w:val="Heading 2 Char"/>
    <w:link w:val="Heading2"/>
    <w:uiPriority w:val="9"/>
    <w:locked/>
    <w:rsid w:val="006D5136"/>
    <w:rPr>
      <w:rFonts w:ascii="Georgia" w:hAnsi="Georgia"/>
      <w:b/>
      <w:bCs/>
      <w:sz w:val="22"/>
      <w:szCs w:val="26"/>
    </w:rPr>
  </w:style>
  <w:style w:type="character" w:customStyle="1" w:styleId="Heading3Char">
    <w:name w:val="Heading 3 Char"/>
    <w:link w:val="Heading3"/>
    <w:uiPriority w:val="9"/>
    <w:locked/>
    <w:rsid w:val="00863E73"/>
    <w:rPr>
      <w:rFonts w:ascii="Georgia" w:hAnsi="Georgia"/>
      <w:sz w:val="26"/>
      <w:u w:val="single"/>
    </w:rPr>
  </w:style>
  <w:style w:type="character" w:customStyle="1" w:styleId="Heading4Char">
    <w:name w:val="Heading 4 Char"/>
    <w:link w:val="Heading4"/>
    <w:uiPriority w:val="9"/>
    <w:locked/>
    <w:rsid w:val="00B953EF"/>
    <w:rPr>
      <w:rFonts w:ascii="Georgia" w:hAnsi="Georgia"/>
      <w:b/>
      <w:iCs/>
      <w:sz w:val="22"/>
      <w:szCs w:val="26"/>
    </w:rPr>
  </w:style>
  <w:style w:type="character" w:customStyle="1" w:styleId="Heading5Char">
    <w:name w:val="Heading 5 Char"/>
    <w:link w:val="Heading5"/>
    <w:uiPriority w:val="9"/>
    <w:locked/>
    <w:rsid w:val="009D4E53"/>
    <w:rPr>
      <w:rFonts w:ascii="Georgia" w:hAnsi="Georgia"/>
      <w:i/>
      <w:sz w:val="22"/>
      <w:szCs w:val="24"/>
    </w:rPr>
  </w:style>
  <w:style w:type="paragraph" w:styleId="BodyText">
    <w:name w:val="Body Text"/>
    <w:basedOn w:val="Normal"/>
    <w:link w:val="BodyTextChar"/>
    <w:uiPriority w:val="99"/>
    <w:qFormat/>
    <w:rsid w:val="00C60DE1"/>
    <w:pPr>
      <w:tabs>
        <w:tab w:val="clear" w:pos="720"/>
      </w:tabs>
      <w:spacing w:before="0" w:after="120"/>
    </w:pPr>
    <w:rPr>
      <w:sz w:val="22"/>
    </w:rPr>
  </w:style>
  <w:style w:type="character" w:customStyle="1" w:styleId="BodyTextChar">
    <w:name w:val="Body Text Char"/>
    <w:link w:val="BodyText"/>
    <w:locked/>
    <w:rsid w:val="00C60DE1"/>
    <w:rPr>
      <w:rFonts w:ascii="Georgia" w:eastAsia="Times New Roman" w:hAnsi="Georgia"/>
      <w:sz w:val="24"/>
      <w:lang w:val="en-US" w:eastAsia="en-US"/>
    </w:rPr>
  </w:style>
  <w:style w:type="paragraph" w:styleId="ListBullet">
    <w:name w:val="List Bullet"/>
    <w:basedOn w:val="BodyText"/>
    <w:uiPriority w:val="5"/>
    <w:qFormat/>
    <w:rsid w:val="00863E73"/>
    <w:pPr>
      <w:numPr>
        <w:numId w:val="3"/>
      </w:numPr>
    </w:pPr>
  </w:style>
  <w:style w:type="character" w:styleId="Emphasis">
    <w:name w:val="Emphasis"/>
    <w:uiPriority w:val="20"/>
    <w:qFormat/>
    <w:rsid w:val="002F7313"/>
    <w:rPr>
      <w:i/>
    </w:rPr>
  </w:style>
  <w:style w:type="character" w:customStyle="1" w:styleId="StrongEmphasis">
    <w:name w:val="Strong Emphasis"/>
    <w:rsid w:val="002F7313"/>
    <w:rPr>
      <w:b/>
      <w:i/>
    </w:rPr>
  </w:style>
  <w:style w:type="paragraph" w:styleId="Header">
    <w:name w:val="header"/>
    <w:basedOn w:val="Normal"/>
    <w:link w:val="HeaderChar"/>
    <w:uiPriority w:val="99"/>
    <w:rsid w:val="002F7313"/>
    <w:pPr>
      <w:tabs>
        <w:tab w:val="center" w:pos="4320"/>
        <w:tab w:val="right" w:pos="8640"/>
      </w:tabs>
      <w:jc w:val="center"/>
    </w:pPr>
    <w:rPr>
      <w:b/>
      <w:caps/>
    </w:rPr>
  </w:style>
  <w:style w:type="character" w:customStyle="1" w:styleId="HeaderChar">
    <w:name w:val="Header Char"/>
    <w:link w:val="Header"/>
    <w:uiPriority w:val="99"/>
    <w:locked/>
    <w:rsid w:val="002F7313"/>
    <w:rPr>
      <w:rFonts w:ascii="Georgia" w:eastAsia="Times New Roman" w:hAnsi="Georgia"/>
      <w:b/>
      <w:caps/>
      <w:sz w:val="24"/>
    </w:rPr>
  </w:style>
  <w:style w:type="character" w:styleId="Hyperlink">
    <w:name w:val="Hyperlink"/>
    <w:uiPriority w:val="99"/>
    <w:rsid w:val="002F7313"/>
    <w:rPr>
      <w:color w:val="0000FF"/>
      <w:u w:val="single"/>
    </w:rPr>
  </w:style>
  <w:style w:type="paragraph" w:styleId="DocumentMap">
    <w:name w:val="Document Map"/>
    <w:basedOn w:val="Normal"/>
    <w:link w:val="DocumentMapChar"/>
    <w:uiPriority w:val="99"/>
    <w:rsid w:val="002F7313"/>
    <w:rPr>
      <w:rFonts w:ascii="Tahoma" w:hAnsi="Tahoma" w:cs="Tahoma"/>
      <w:sz w:val="16"/>
      <w:szCs w:val="16"/>
    </w:rPr>
  </w:style>
  <w:style w:type="character" w:customStyle="1" w:styleId="DocumentMapChar">
    <w:name w:val="Document Map Char"/>
    <w:link w:val="DocumentMap"/>
    <w:uiPriority w:val="99"/>
    <w:locked/>
    <w:rsid w:val="002F7313"/>
    <w:rPr>
      <w:rFonts w:ascii="Tahoma" w:eastAsia="Times New Roman" w:hAnsi="Tahoma"/>
      <w:sz w:val="16"/>
    </w:rPr>
  </w:style>
  <w:style w:type="paragraph" w:customStyle="1" w:styleId="StyleHeading2Justified">
    <w:name w:val="Style Heading 2 + Justified"/>
    <w:basedOn w:val="Heading2"/>
    <w:rsid w:val="002F7313"/>
    <w:rPr>
      <w:b w:val="0"/>
      <w:i/>
      <w:szCs w:val="20"/>
    </w:rPr>
  </w:style>
  <w:style w:type="paragraph" w:customStyle="1" w:styleId="StyleHeading3Justified">
    <w:name w:val="Style Heading 3 + Justified"/>
    <w:basedOn w:val="Heading3"/>
    <w:rsid w:val="002F7313"/>
    <w:rPr>
      <w:bCs w:val="0"/>
      <w:i/>
      <w:szCs w:val="20"/>
    </w:rPr>
  </w:style>
  <w:style w:type="paragraph" w:customStyle="1" w:styleId="StyleHeading3Justified1">
    <w:name w:val="Style Heading 3 + Justified1"/>
    <w:basedOn w:val="Heading3"/>
    <w:rsid w:val="002F7313"/>
    <w:rPr>
      <w:b/>
      <w:bCs w:val="0"/>
      <w:i/>
      <w:szCs w:val="20"/>
    </w:rPr>
  </w:style>
  <w:style w:type="paragraph" w:customStyle="1" w:styleId="StyleBodyTextJustified">
    <w:name w:val="Style Body Text + Justified"/>
    <w:basedOn w:val="BodyText"/>
    <w:rsid w:val="002F7313"/>
    <w:rPr>
      <w:szCs w:val="20"/>
    </w:rPr>
  </w:style>
  <w:style w:type="paragraph" w:customStyle="1" w:styleId="StyleHeading4Justified">
    <w:name w:val="Style Heading 4 + Justified"/>
    <w:basedOn w:val="Heading4"/>
    <w:rsid w:val="002F7313"/>
    <w:rPr>
      <w:bCs/>
      <w:szCs w:val="20"/>
    </w:rPr>
  </w:style>
  <w:style w:type="character" w:styleId="CommentReference">
    <w:name w:val="annotation reference"/>
    <w:rsid w:val="006D6943"/>
    <w:rPr>
      <w:sz w:val="16"/>
    </w:rPr>
  </w:style>
  <w:style w:type="paragraph" w:styleId="CommentText">
    <w:name w:val="annotation text"/>
    <w:basedOn w:val="Normal"/>
    <w:link w:val="CommentTextChar"/>
    <w:rsid w:val="006D6943"/>
    <w:rPr>
      <w:sz w:val="20"/>
      <w:szCs w:val="20"/>
    </w:rPr>
  </w:style>
  <w:style w:type="character" w:customStyle="1" w:styleId="CommentTextChar">
    <w:name w:val="Comment Text Char"/>
    <w:link w:val="CommentText"/>
    <w:locked/>
    <w:rsid w:val="006D6943"/>
    <w:rPr>
      <w:rFonts w:ascii="Georgia" w:eastAsia="Times New Roman" w:hAnsi="Georgia"/>
    </w:rPr>
  </w:style>
  <w:style w:type="paragraph" w:styleId="CommentSubject">
    <w:name w:val="annotation subject"/>
    <w:basedOn w:val="CommentText"/>
    <w:next w:val="CommentText"/>
    <w:link w:val="CommentSubjectChar"/>
    <w:uiPriority w:val="99"/>
    <w:rsid w:val="006D6943"/>
    <w:rPr>
      <w:b/>
      <w:bCs/>
    </w:rPr>
  </w:style>
  <w:style w:type="character" w:customStyle="1" w:styleId="CommentSubjectChar">
    <w:name w:val="Comment Subject Char"/>
    <w:link w:val="CommentSubject"/>
    <w:uiPriority w:val="99"/>
    <w:locked/>
    <w:rsid w:val="006D6943"/>
    <w:rPr>
      <w:rFonts w:ascii="Georgia" w:eastAsia="Times New Roman" w:hAnsi="Georgia"/>
      <w:b/>
    </w:rPr>
  </w:style>
  <w:style w:type="paragraph" w:styleId="BalloonText">
    <w:name w:val="Balloon Text"/>
    <w:basedOn w:val="Normal"/>
    <w:link w:val="BalloonTextChar"/>
    <w:uiPriority w:val="99"/>
    <w:rsid w:val="006D6943"/>
    <w:pPr>
      <w:spacing w:before="0" w:after="0"/>
    </w:pPr>
    <w:rPr>
      <w:rFonts w:ascii="Tahoma" w:hAnsi="Tahoma" w:cs="Tahoma"/>
      <w:sz w:val="16"/>
      <w:szCs w:val="16"/>
    </w:rPr>
  </w:style>
  <w:style w:type="character" w:customStyle="1" w:styleId="BalloonTextChar">
    <w:name w:val="Balloon Text Char"/>
    <w:link w:val="BalloonText"/>
    <w:uiPriority w:val="99"/>
    <w:locked/>
    <w:rsid w:val="006D6943"/>
    <w:rPr>
      <w:rFonts w:ascii="Tahoma" w:eastAsia="Times New Roman" w:hAnsi="Tahoma"/>
      <w:sz w:val="16"/>
    </w:rPr>
  </w:style>
  <w:style w:type="paragraph" w:styleId="Revision">
    <w:name w:val="Revision"/>
    <w:hidden/>
    <w:uiPriority w:val="99"/>
    <w:semiHidden/>
    <w:rsid w:val="00177556"/>
    <w:rPr>
      <w:rFonts w:ascii="Georgia" w:hAnsi="Georgia"/>
      <w:sz w:val="24"/>
      <w:szCs w:val="24"/>
    </w:rPr>
  </w:style>
  <w:style w:type="paragraph" w:styleId="Footer">
    <w:name w:val="footer"/>
    <w:basedOn w:val="Normal"/>
    <w:link w:val="FooterChar"/>
    <w:uiPriority w:val="99"/>
    <w:rsid w:val="00CA4F3F"/>
    <w:pPr>
      <w:tabs>
        <w:tab w:val="clear" w:pos="720"/>
        <w:tab w:val="center" w:pos="4680"/>
        <w:tab w:val="right" w:pos="9360"/>
      </w:tabs>
    </w:pPr>
  </w:style>
  <w:style w:type="character" w:customStyle="1" w:styleId="FooterChar">
    <w:name w:val="Footer Char"/>
    <w:link w:val="Footer"/>
    <w:uiPriority w:val="99"/>
    <w:locked/>
    <w:rsid w:val="00CA4F3F"/>
    <w:rPr>
      <w:rFonts w:ascii="Georgia" w:eastAsia="Times New Roman" w:hAnsi="Georgia"/>
      <w:sz w:val="24"/>
    </w:rPr>
  </w:style>
  <w:style w:type="character" w:styleId="Strong">
    <w:name w:val="Strong"/>
    <w:uiPriority w:val="22"/>
    <w:qFormat/>
    <w:rsid w:val="00C41699"/>
    <w:rPr>
      <w:b/>
    </w:rPr>
  </w:style>
  <w:style w:type="paragraph" w:styleId="FootnoteText">
    <w:name w:val="footnote text"/>
    <w:basedOn w:val="Normal"/>
    <w:link w:val="FootnoteTextChar"/>
    <w:rsid w:val="00926E6B"/>
    <w:pPr>
      <w:spacing w:before="0" w:after="0"/>
    </w:pPr>
    <w:rPr>
      <w:sz w:val="20"/>
      <w:szCs w:val="20"/>
    </w:rPr>
  </w:style>
  <w:style w:type="character" w:customStyle="1" w:styleId="FootnoteTextChar">
    <w:name w:val="Footnote Text Char"/>
    <w:link w:val="FootnoteText"/>
    <w:locked/>
    <w:rsid w:val="00926E6B"/>
    <w:rPr>
      <w:rFonts w:ascii="Georgia" w:eastAsia="Times New Roman" w:hAnsi="Georgia"/>
    </w:rPr>
  </w:style>
  <w:style w:type="character" w:styleId="FootnoteReference">
    <w:name w:val="footnote reference"/>
    <w:rsid w:val="00926E6B"/>
    <w:rPr>
      <w:vertAlign w:val="superscript"/>
    </w:rPr>
  </w:style>
  <w:style w:type="paragraph" w:styleId="ListBullet3">
    <w:name w:val="List Bullet 3"/>
    <w:basedOn w:val="Normal"/>
    <w:uiPriority w:val="5"/>
    <w:rsid w:val="009A3EF8"/>
    <w:pPr>
      <w:numPr>
        <w:numId w:val="8"/>
      </w:numPr>
    </w:pPr>
  </w:style>
  <w:style w:type="paragraph" w:customStyle="1" w:styleId="Default">
    <w:name w:val="Default"/>
    <w:rsid w:val="009A3EF8"/>
    <w:pPr>
      <w:autoSpaceDE w:val="0"/>
      <w:autoSpaceDN w:val="0"/>
      <w:adjustRightInd w:val="0"/>
    </w:pPr>
    <w:rPr>
      <w:color w:val="000000"/>
      <w:sz w:val="24"/>
      <w:szCs w:val="24"/>
    </w:rPr>
  </w:style>
  <w:style w:type="paragraph" w:customStyle="1" w:styleId="StyleHeading4Subscript">
    <w:name w:val="Style Heading 4 + Subscript"/>
    <w:basedOn w:val="Heading5"/>
    <w:rsid w:val="007664D5"/>
    <w:rPr>
      <w:rFonts w:ascii="Cambria" w:hAnsi="Cambria"/>
      <w:bCs/>
      <w:iCs/>
      <w:color w:val="243F60"/>
      <w:vertAlign w:val="subscript"/>
    </w:rPr>
  </w:style>
  <w:style w:type="character" w:customStyle="1" w:styleId="StyleGeorgia12ptBlack">
    <w:name w:val="Style Georgia 12 pt Black"/>
    <w:rsid w:val="00242F1D"/>
    <w:rPr>
      <w:rFonts w:ascii="Georgia" w:hAnsi="Georgia"/>
      <w:color w:val="000000"/>
    </w:rPr>
  </w:style>
  <w:style w:type="paragraph" w:styleId="ListParagraph">
    <w:name w:val="List Paragraph"/>
    <w:basedOn w:val="Normal"/>
    <w:uiPriority w:val="34"/>
    <w:qFormat/>
    <w:rsid w:val="000C0D6B"/>
    <w:pPr>
      <w:spacing w:before="0" w:after="0"/>
      <w:ind w:left="720"/>
      <w:contextualSpacing/>
    </w:pPr>
    <w:rPr>
      <w:rFonts w:ascii="Times New Roman" w:hAnsi="Times New Roman"/>
    </w:rPr>
  </w:style>
  <w:style w:type="paragraph" w:styleId="Quote">
    <w:name w:val="Quote"/>
    <w:basedOn w:val="Normal"/>
    <w:next w:val="Normal"/>
    <w:link w:val="QuoteChar"/>
    <w:uiPriority w:val="29"/>
    <w:qFormat/>
    <w:rsid w:val="000C0D6B"/>
    <w:pPr>
      <w:spacing w:before="0" w:after="0"/>
    </w:pPr>
    <w:rPr>
      <w:rFonts w:ascii="Times New Roman" w:hAnsi="Times New Roman"/>
      <w:i/>
      <w:iCs/>
      <w:color w:val="000000"/>
    </w:rPr>
  </w:style>
  <w:style w:type="character" w:customStyle="1" w:styleId="QuoteChar">
    <w:name w:val="Quote Char"/>
    <w:link w:val="Quote"/>
    <w:uiPriority w:val="29"/>
    <w:locked/>
    <w:rsid w:val="000C0D6B"/>
    <w:rPr>
      <w:rFonts w:eastAsia="Times New Roman"/>
      <w:i/>
      <w:color w:val="000000"/>
      <w:sz w:val="24"/>
    </w:rPr>
  </w:style>
  <w:style w:type="table" w:styleId="TableGrid">
    <w:name w:val="Table Grid"/>
    <w:basedOn w:val="TableNormal"/>
    <w:uiPriority w:val="59"/>
    <w:rsid w:val="002B7182"/>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rsid w:val="008A599B"/>
    <w:rPr>
      <w:color w:val="800080"/>
      <w:u w:val="single"/>
    </w:rPr>
  </w:style>
  <w:style w:type="character" w:customStyle="1" w:styleId="element-citation">
    <w:name w:val="element-citation"/>
    <w:rsid w:val="00BF482D"/>
  </w:style>
  <w:style w:type="character" w:customStyle="1" w:styleId="ref-journal">
    <w:name w:val="ref-journal"/>
    <w:rsid w:val="00BF482D"/>
  </w:style>
  <w:style w:type="character" w:customStyle="1" w:styleId="ref-vol">
    <w:name w:val="ref-vol"/>
    <w:rsid w:val="00BF482D"/>
  </w:style>
  <w:style w:type="character" w:customStyle="1" w:styleId="nowrap">
    <w:name w:val="nowrap"/>
    <w:rsid w:val="00BF482D"/>
  </w:style>
  <w:style w:type="paragraph" w:styleId="Title">
    <w:name w:val="Title"/>
    <w:basedOn w:val="Normal"/>
    <w:next w:val="Normal"/>
    <w:link w:val="TitleChar"/>
    <w:qFormat/>
    <w:rsid w:val="00935795"/>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935795"/>
    <w:rPr>
      <w:rFonts w:ascii="Calibri Light" w:eastAsia="Times New Roman" w:hAnsi="Calibri Light" w:cs="Times New Roman"/>
      <w:b/>
      <w:bCs/>
      <w:kern w:val="28"/>
      <w:sz w:val="32"/>
      <w:szCs w:val="32"/>
    </w:rPr>
  </w:style>
  <w:style w:type="character" w:styleId="SubtleEmphasis">
    <w:name w:val="Subtle Emphasis"/>
    <w:basedOn w:val="DefaultParagraphFont"/>
    <w:uiPriority w:val="19"/>
    <w:qFormat/>
    <w:rsid w:val="00846977"/>
    <w:rPr>
      <w:i/>
      <w:iCs/>
      <w:color w:val="404040" w:themeColor="text1" w:themeTint="BF"/>
    </w:rPr>
  </w:style>
  <w:style w:type="character" w:styleId="UnresolvedMention">
    <w:name w:val="Unresolved Mention"/>
    <w:basedOn w:val="DefaultParagraphFont"/>
    <w:uiPriority w:val="99"/>
    <w:semiHidden/>
    <w:unhideWhenUsed/>
    <w:rsid w:val="005659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33166">
      <w:bodyDiv w:val="1"/>
      <w:marLeft w:val="0"/>
      <w:marRight w:val="0"/>
      <w:marTop w:val="0"/>
      <w:marBottom w:val="0"/>
      <w:divBdr>
        <w:top w:val="none" w:sz="0" w:space="0" w:color="auto"/>
        <w:left w:val="none" w:sz="0" w:space="0" w:color="auto"/>
        <w:bottom w:val="none" w:sz="0" w:space="0" w:color="auto"/>
        <w:right w:val="none" w:sz="0" w:space="0" w:color="auto"/>
      </w:divBdr>
    </w:div>
    <w:div w:id="344401824">
      <w:bodyDiv w:val="1"/>
      <w:marLeft w:val="0"/>
      <w:marRight w:val="0"/>
      <w:marTop w:val="0"/>
      <w:marBottom w:val="0"/>
      <w:divBdr>
        <w:top w:val="none" w:sz="0" w:space="0" w:color="auto"/>
        <w:left w:val="none" w:sz="0" w:space="0" w:color="auto"/>
        <w:bottom w:val="none" w:sz="0" w:space="0" w:color="auto"/>
        <w:right w:val="none" w:sz="0" w:space="0" w:color="auto"/>
      </w:divBdr>
      <w:divsChild>
        <w:div w:id="1280842414">
          <w:marLeft w:val="0"/>
          <w:marRight w:val="0"/>
          <w:marTop w:val="0"/>
          <w:marBottom w:val="0"/>
          <w:divBdr>
            <w:top w:val="single" w:sz="48" w:space="0" w:color="435258"/>
            <w:left w:val="single" w:sz="48" w:space="0" w:color="435258"/>
            <w:bottom w:val="single" w:sz="48" w:space="0" w:color="435258"/>
            <w:right w:val="single" w:sz="48" w:space="0" w:color="435258"/>
          </w:divBdr>
          <w:divsChild>
            <w:div w:id="1084840902">
              <w:marLeft w:val="0"/>
              <w:marRight w:val="0"/>
              <w:marTop w:val="0"/>
              <w:marBottom w:val="0"/>
              <w:divBdr>
                <w:top w:val="none" w:sz="0" w:space="0" w:color="auto"/>
                <w:left w:val="none" w:sz="0" w:space="0" w:color="auto"/>
                <w:bottom w:val="none" w:sz="0" w:space="0" w:color="auto"/>
                <w:right w:val="none" w:sz="0" w:space="0" w:color="auto"/>
              </w:divBdr>
              <w:divsChild>
                <w:div w:id="1159151448">
                  <w:marLeft w:val="150"/>
                  <w:marRight w:val="150"/>
                  <w:marTop w:val="0"/>
                  <w:marBottom w:val="0"/>
                  <w:divBdr>
                    <w:top w:val="none" w:sz="0" w:space="0" w:color="auto"/>
                    <w:left w:val="none" w:sz="0" w:space="0" w:color="auto"/>
                    <w:bottom w:val="none" w:sz="0" w:space="0" w:color="auto"/>
                    <w:right w:val="none" w:sz="0" w:space="0" w:color="auto"/>
                  </w:divBdr>
                  <w:divsChild>
                    <w:div w:id="1325625904">
                      <w:marLeft w:val="0"/>
                      <w:marRight w:val="0"/>
                      <w:marTop w:val="0"/>
                      <w:marBottom w:val="0"/>
                      <w:divBdr>
                        <w:top w:val="none" w:sz="0" w:space="0" w:color="auto"/>
                        <w:left w:val="none" w:sz="0" w:space="0" w:color="auto"/>
                        <w:bottom w:val="none" w:sz="0" w:space="0" w:color="auto"/>
                        <w:right w:val="none" w:sz="0" w:space="0" w:color="auto"/>
                      </w:divBdr>
                      <w:divsChild>
                        <w:div w:id="71466098">
                          <w:marLeft w:val="0"/>
                          <w:marRight w:val="0"/>
                          <w:marTop w:val="0"/>
                          <w:marBottom w:val="0"/>
                          <w:divBdr>
                            <w:top w:val="none" w:sz="0" w:space="0" w:color="auto"/>
                            <w:left w:val="none" w:sz="0" w:space="0" w:color="auto"/>
                            <w:bottom w:val="none" w:sz="0" w:space="0" w:color="auto"/>
                            <w:right w:val="none" w:sz="0" w:space="0" w:color="auto"/>
                          </w:divBdr>
                          <w:divsChild>
                            <w:div w:id="2108504925">
                              <w:marLeft w:val="0"/>
                              <w:marRight w:val="0"/>
                              <w:marTop w:val="0"/>
                              <w:marBottom w:val="0"/>
                              <w:divBdr>
                                <w:top w:val="none" w:sz="0" w:space="0" w:color="auto"/>
                                <w:left w:val="none" w:sz="0" w:space="0" w:color="auto"/>
                                <w:bottom w:val="none" w:sz="0" w:space="0" w:color="auto"/>
                                <w:right w:val="none" w:sz="0" w:space="0" w:color="auto"/>
                              </w:divBdr>
                              <w:divsChild>
                                <w:div w:id="728041469">
                                  <w:marLeft w:val="0"/>
                                  <w:marRight w:val="0"/>
                                  <w:marTop w:val="0"/>
                                  <w:marBottom w:val="0"/>
                                  <w:divBdr>
                                    <w:top w:val="none" w:sz="0" w:space="0" w:color="auto"/>
                                    <w:left w:val="none" w:sz="0" w:space="0" w:color="auto"/>
                                    <w:bottom w:val="none" w:sz="0" w:space="0" w:color="auto"/>
                                    <w:right w:val="none" w:sz="0" w:space="0" w:color="auto"/>
                                  </w:divBdr>
                                  <w:divsChild>
                                    <w:div w:id="1824618218">
                                      <w:marLeft w:val="0"/>
                                      <w:marRight w:val="0"/>
                                      <w:marTop w:val="0"/>
                                      <w:marBottom w:val="0"/>
                                      <w:divBdr>
                                        <w:top w:val="none" w:sz="0" w:space="0" w:color="auto"/>
                                        <w:left w:val="none" w:sz="0" w:space="0" w:color="auto"/>
                                        <w:bottom w:val="none" w:sz="0" w:space="0" w:color="auto"/>
                                        <w:right w:val="none" w:sz="0" w:space="0" w:color="auto"/>
                                      </w:divBdr>
                                      <w:divsChild>
                                        <w:div w:id="90598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6795798">
      <w:bodyDiv w:val="1"/>
      <w:marLeft w:val="0"/>
      <w:marRight w:val="0"/>
      <w:marTop w:val="0"/>
      <w:marBottom w:val="0"/>
      <w:divBdr>
        <w:top w:val="none" w:sz="0" w:space="0" w:color="auto"/>
        <w:left w:val="none" w:sz="0" w:space="0" w:color="auto"/>
        <w:bottom w:val="none" w:sz="0" w:space="0" w:color="auto"/>
        <w:right w:val="none" w:sz="0" w:space="0" w:color="auto"/>
      </w:divBdr>
    </w:div>
    <w:div w:id="550505612">
      <w:marLeft w:val="60"/>
      <w:marRight w:val="60"/>
      <w:marTop w:val="60"/>
      <w:marBottom w:val="15"/>
      <w:divBdr>
        <w:top w:val="none" w:sz="0" w:space="0" w:color="auto"/>
        <w:left w:val="none" w:sz="0" w:space="0" w:color="auto"/>
        <w:bottom w:val="none" w:sz="0" w:space="0" w:color="auto"/>
        <w:right w:val="none" w:sz="0" w:space="0" w:color="auto"/>
      </w:divBdr>
      <w:divsChild>
        <w:div w:id="550505614">
          <w:marLeft w:val="0"/>
          <w:marRight w:val="0"/>
          <w:marTop w:val="0"/>
          <w:marBottom w:val="0"/>
          <w:divBdr>
            <w:top w:val="none" w:sz="0" w:space="0" w:color="auto"/>
            <w:left w:val="none" w:sz="0" w:space="0" w:color="auto"/>
            <w:bottom w:val="none" w:sz="0" w:space="0" w:color="auto"/>
            <w:right w:val="none" w:sz="0" w:space="0" w:color="auto"/>
          </w:divBdr>
        </w:div>
      </w:divsChild>
    </w:div>
    <w:div w:id="550505613">
      <w:marLeft w:val="60"/>
      <w:marRight w:val="60"/>
      <w:marTop w:val="60"/>
      <w:marBottom w:val="15"/>
      <w:divBdr>
        <w:top w:val="none" w:sz="0" w:space="0" w:color="auto"/>
        <w:left w:val="none" w:sz="0" w:space="0" w:color="auto"/>
        <w:bottom w:val="none" w:sz="0" w:space="0" w:color="auto"/>
        <w:right w:val="none" w:sz="0" w:space="0" w:color="auto"/>
      </w:divBdr>
      <w:divsChild>
        <w:div w:id="550505611">
          <w:marLeft w:val="0"/>
          <w:marRight w:val="0"/>
          <w:marTop w:val="0"/>
          <w:marBottom w:val="0"/>
          <w:divBdr>
            <w:top w:val="none" w:sz="0" w:space="0" w:color="auto"/>
            <w:left w:val="none" w:sz="0" w:space="0" w:color="auto"/>
            <w:bottom w:val="none" w:sz="0" w:space="0" w:color="auto"/>
            <w:right w:val="none" w:sz="0" w:space="0" w:color="auto"/>
          </w:divBdr>
        </w:div>
      </w:divsChild>
    </w:div>
    <w:div w:id="550505615">
      <w:marLeft w:val="0"/>
      <w:marRight w:val="0"/>
      <w:marTop w:val="0"/>
      <w:marBottom w:val="0"/>
      <w:divBdr>
        <w:top w:val="none" w:sz="0" w:space="0" w:color="auto"/>
        <w:left w:val="none" w:sz="0" w:space="0" w:color="auto"/>
        <w:bottom w:val="none" w:sz="0" w:space="0" w:color="auto"/>
        <w:right w:val="none" w:sz="0" w:space="0" w:color="auto"/>
      </w:divBdr>
    </w:div>
    <w:div w:id="622003337">
      <w:bodyDiv w:val="1"/>
      <w:marLeft w:val="0"/>
      <w:marRight w:val="0"/>
      <w:marTop w:val="0"/>
      <w:marBottom w:val="0"/>
      <w:divBdr>
        <w:top w:val="none" w:sz="0" w:space="0" w:color="auto"/>
        <w:left w:val="none" w:sz="0" w:space="0" w:color="auto"/>
        <w:bottom w:val="none" w:sz="0" w:space="0" w:color="auto"/>
        <w:right w:val="none" w:sz="0" w:space="0" w:color="auto"/>
      </w:divBdr>
    </w:div>
    <w:div w:id="659844146">
      <w:bodyDiv w:val="1"/>
      <w:marLeft w:val="0"/>
      <w:marRight w:val="0"/>
      <w:marTop w:val="0"/>
      <w:marBottom w:val="0"/>
      <w:divBdr>
        <w:top w:val="none" w:sz="0" w:space="0" w:color="auto"/>
        <w:left w:val="none" w:sz="0" w:space="0" w:color="auto"/>
        <w:bottom w:val="none" w:sz="0" w:space="0" w:color="auto"/>
        <w:right w:val="none" w:sz="0" w:space="0" w:color="auto"/>
      </w:divBdr>
    </w:div>
    <w:div w:id="808286218">
      <w:bodyDiv w:val="1"/>
      <w:marLeft w:val="0"/>
      <w:marRight w:val="0"/>
      <w:marTop w:val="0"/>
      <w:marBottom w:val="0"/>
      <w:divBdr>
        <w:top w:val="none" w:sz="0" w:space="0" w:color="auto"/>
        <w:left w:val="none" w:sz="0" w:space="0" w:color="auto"/>
        <w:bottom w:val="none" w:sz="0" w:space="0" w:color="auto"/>
        <w:right w:val="none" w:sz="0" w:space="0" w:color="auto"/>
      </w:divBdr>
    </w:div>
    <w:div w:id="994528338">
      <w:bodyDiv w:val="1"/>
      <w:marLeft w:val="0"/>
      <w:marRight w:val="0"/>
      <w:marTop w:val="0"/>
      <w:marBottom w:val="0"/>
      <w:divBdr>
        <w:top w:val="none" w:sz="0" w:space="0" w:color="auto"/>
        <w:left w:val="none" w:sz="0" w:space="0" w:color="auto"/>
        <w:bottom w:val="none" w:sz="0" w:space="0" w:color="auto"/>
        <w:right w:val="none" w:sz="0" w:space="0" w:color="auto"/>
      </w:divBdr>
    </w:div>
    <w:div w:id="1198930445">
      <w:bodyDiv w:val="1"/>
      <w:marLeft w:val="0"/>
      <w:marRight w:val="0"/>
      <w:marTop w:val="0"/>
      <w:marBottom w:val="0"/>
      <w:divBdr>
        <w:top w:val="none" w:sz="0" w:space="0" w:color="auto"/>
        <w:left w:val="none" w:sz="0" w:space="0" w:color="auto"/>
        <w:bottom w:val="none" w:sz="0" w:space="0" w:color="auto"/>
        <w:right w:val="none" w:sz="0" w:space="0" w:color="auto"/>
      </w:divBdr>
      <w:divsChild>
        <w:div w:id="1305426796">
          <w:marLeft w:val="0"/>
          <w:marRight w:val="1"/>
          <w:marTop w:val="0"/>
          <w:marBottom w:val="0"/>
          <w:divBdr>
            <w:top w:val="none" w:sz="0" w:space="0" w:color="auto"/>
            <w:left w:val="none" w:sz="0" w:space="0" w:color="auto"/>
            <w:bottom w:val="none" w:sz="0" w:space="0" w:color="auto"/>
            <w:right w:val="none" w:sz="0" w:space="0" w:color="auto"/>
          </w:divBdr>
          <w:divsChild>
            <w:div w:id="768280735">
              <w:marLeft w:val="0"/>
              <w:marRight w:val="0"/>
              <w:marTop w:val="0"/>
              <w:marBottom w:val="0"/>
              <w:divBdr>
                <w:top w:val="none" w:sz="0" w:space="0" w:color="auto"/>
                <w:left w:val="none" w:sz="0" w:space="0" w:color="auto"/>
                <w:bottom w:val="none" w:sz="0" w:space="0" w:color="auto"/>
                <w:right w:val="none" w:sz="0" w:space="0" w:color="auto"/>
              </w:divBdr>
              <w:divsChild>
                <w:div w:id="1477838779">
                  <w:marLeft w:val="0"/>
                  <w:marRight w:val="1"/>
                  <w:marTop w:val="0"/>
                  <w:marBottom w:val="0"/>
                  <w:divBdr>
                    <w:top w:val="none" w:sz="0" w:space="0" w:color="auto"/>
                    <w:left w:val="none" w:sz="0" w:space="0" w:color="auto"/>
                    <w:bottom w:val="none" w:sz="0" w:space="0" w:color="auto"/>
                    <w:right w:val="none" w:sz="0" w:space="0" w:color="auto"/>
                  </w:divBdr>
                  <w:divsChild>
                    <w:div w:id="1504708868">
                      <w:marLeft w:val="0"/>
                      <w:marRight w:val="0"/>
                      <w:marTop w:val="0"/>
                      <w:marBottom w:val="0"/>
                      <w:divBdr>
                        <w:top w:val="none" w:sz="0" w:space="0" w:color="auto"/>
                        <w:left w:val="none" w:sz="0" w:space="0" w:color="auto"/>
                        <w:bottom w:val="none" w:sz="0" w:space="0" w:color="auto"/>
                        <w:right w:val="none" w:sz="0" w:space="0" w:color="auto"/>
                      </w:divBdr>
                      <w:divsChild>
                        <w:div w:id="492724193">
                          <w:marLeft w:val="0"/>
                          <w:marRight w:val="0"/>
                          <w:marTop w:val="0"/>
                          <w:marBottom w:val="0"/>
                          <w:divBdr>
                            <w:top w:val="none" w:sz="0" w:space="0" w:color="auto"/>
                            <w:left w:val="none" w:sz="0" w:space="0" w:color="auto"/>
                            <w:bottom w:val="none" w:sz="0" w:space="0" w:color="auto"/>
                            <w:right w:val="none" w:sz="0" w:space="0" w:color="auto"/>
                          </w:divBdr>
                          <w:divsChild>
                            <w:div w:id="363868551">
                              <w:marLeft w:val="0"/>
                              <w:marRight w:val="0"/>
                              <w:marTop w:val="120"/>
                              <w:marBottom w:val="360"/>
                              <w:divBdr>
                                <w:top w:val="none" w:sz="0" w:space="0" w:color="auto"/>
                                <w:left w:val="none" w:sz="0" w:space="0" w:color="auto"/>
                                <w:bottom w:val="none" w:sz="0" w:space="0" w:color="auto"/>
                                <w:right w:val="none" w:sz="0" w:space="0" w:color="auto"/>
                              </w:divBdr>
                              <w:divsChild>
                                <w:div w:id="38744845">
                                  <w:marLeft w:val="0"/>
                                  <w:marRight w:val="0"/>
                                  <w:marTop w:val="0"/>
                                  <w:marBottom w:val="0"/>
                                  <w:divBdr>
                                    <w:top w:val="none" w:sz="0" w:space="0" w:color="auto"/>
                                    <w:left w:val="none" w:sz="0" w:space="0" w:color="auto"/>
                                    <w:bottom w:val="none" w:sz="0" w:space="0" w:color="auto"/>
                                    <w:right w:val="none" w:sz="0" w:space="0" w:color="auto"/>
                                  </w:divBdr>
                                  <w:divsChild>
                                    <w:div w:id="34008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4114522">
      <w:bodyDiv w:val="1"/>
      <w:marLeft w:val="0"/>
      <w:marRight w:val="0"/>
      <w:marTop w:val="0"/>
      <w:marBottom w:val="0"/>
      <w:divBdr>
        <w:top w:val="none" w:sz="0" w:space="0" w:color="auto"/>
        <w:left w:val="none" w:sz="0" w:space="0" w:color="auto"/>
        <w:bottom w:val="none" w:sz="0" w:space="0" w:color="auto"/>
        <w:right w:val="none" w:sz="0" w:space="0" w:color="auto"/>
      </w:divBdr>
    </w:div>
    <w:div w:id="1891453137">
      <w:bodyDiv w:val="1"/>
      <w:marLeft w:val="0"/>
      <w:marRight w:val="0"/>
      <w:marTop w:val="0"/>
      <w:marBottom w:val="0"/>
      <w:divBdr>
        <w:top w:val="none" w:sz="0" w:space="0" w:color="auto"/>
        <w:left w:val="none" w:sz="0" w:space="0" w:color="auto"/>
        <w:bottom w:val="none" w:sz="0" w:space="0" w:color="auto"/>
        <w:right w:val="none" w:sz="0" w:space="0" w:color="auto"/>
      </w:divBdr>
      <w:divsChild>
        <w:div w:id="180165116">
          <w:marLeft w:val="0"/>
          <w:marRight w:val="0"/>
          <w:marTop w:val="0"/>
          <w:marBottom w:val="0"/>
          <w:divBdr>
            <w:top w:val="single" w:sz="48" w:space="0" w:color="435258"/>
            <w:left w:val="single" w:sz="48" w:space="0" w:color="435258"/>
            <w:bottom w:val="single" w:sz="48" w:space="0" w:color="435258"/>
            <w:right w:val="single" w:sz="48" w:space="0" w:color="435258"/>
          </w:divBdr>
          <w:divsChild>
            <w:div w:id="593586714">
              <w:marLeft w:val="0"/>
              <w:marRight w:val="0"/>
              <w:marTop w:val="0"/>
              <w:marBottom w:val="0"/>
              <w:divBdr>
                <w:top w:val="none" w:sz="0" w:space="0" w:color="auto"/>
                <w:left w:val="none" w:sz="0" w:space="0" w:color="auto"/>
                <w:bottom w:val="none" w:sz="0" w:space="0" w:color="auto"/>
                <w:right w:val="none" w:sz="0" w:space="0" w:color="auto"/>
              </w:divBdr>
              <w:divsChild>
                <w:div w:id="505904838">
                  <w:marLeft w:val="150"/>
                  <w:marRight w:val="150"/>
                  <w:marTop w:val="0"/>
                  <w:marBottom w:val="0"/>
                  <w:divBdr>
                    <w:top w:val="none" w:sz="0" w:space="0" w:color="auto"/>
                    <w:left w:val="none" w:sz="0" w:space="0" w:color="auto"/>
                    <w:bottom w:val="none" w:sz="0" w:space="0" w:color="auto"/>
                    <w:right w:val="none" w:sz="0" w:space="0" w:color="auto"/>
                  </w:divBdr>
                  <w:divsChild>
                    <w:div w:id="1847360915">
                      <w:marLeft w:val="0"/>
                      <w:marRight w:val="0"/>
                      <w:marTop w:val="0"/>
                      <w:marBottom w:val="0"/>
                      <w:divBdr>
                        <w:top w:val="none" w:sz="0" w:space="0" w:color="auto"/>
                        <w:left w:val="none" w:sz="0" w:space="0" w:color="auto"/>
                        <w:bottom w:val="none" w:sz="0" w:space="0" w:color="auto"/>
                        <w:right w:val="none" w:sz="0" w:space="0" w:color="auto"/>
                      </w:divBdr>
                      <w:divsChild>
                        <w:div w:id="2070764056">
                          <w:marLeft w:val="0"/>
                          <w:marRight w:val="0"/>
                          <w:marTop w:val="0"/>
                          <w:marBottom w:val="0"/>
                          <w:divBdr>
                            <w:top w:val="none" w:sz="0" w:space="0" w:color="auto"/>
                            <w:left w:val="none" w:sz="0" w:space="0" w:color="auto"/>
                            <w:bottom w:val="none" w:sz="0" w:space="0" w:color="auto"/>
                            <w:right w:val="none" w:sz="0" w:space="0" w:color="auto"/>
                          </w:divBdr>
                          <w:divsChild>
                            <w:div w:id="2069038210">
                              <w:marLeft w:val="0"/>
                              <w:marRight w:val="0"/>
                              <w:marTop w:val="0"/>
                              <w:marBottom w:val="0"/>
                              <w:divBdr>
                                <w:top w:val="none" w:sz="0" w:space="0" w:color="auto"/>
                                <w:left w:val="none" w:sz="0" w:space="0" w:color="auto"/>
                                <w:bottom w:val="none" w:sz="0" w:space="0" w:color="auto"/>
                                <w:right w:val="none" w:sz="0" w:space="0" w:color="auto"/>
                              </w:divBdr>
                              <w:divsChild>
                                <w:div w:id="1502621285">
                                  <w:marLeft w:val="0"/>
                                  <w:marRight w:val="0"/>
                                  <w:marTop w:val="0"/>
                                  <w:marBottom w:val="0"/>
                                  <w:divBdr>
                                    <w:top w:val="none" w:sz="0" w:space="0" w:color="auto"/>
                                    <w:left w:val="none" w:sz="0" w:space="0" w:color="auto"/>
                                    <w:bottom w:val="none" w:sz="0" w:space="0" w:color="auto"/>
                                    <w:right w:val="none" w:sz="0" w:space="0" w:color="auto"/>
                                  </w:divBdr>
                                  <w:divsChild>
                                    <w:div w:id="1073550910">
                                      <w:marLeft w:val="0"/>
                                      <w:marRight w:val="0"/>
                                      <w:marTop w:val="0"/>
                                      <w:marBottom w:val="0"/>
                                      <w:divBdr>
                                        <w:top w:val="none" w:sz="0" w:space="0" w:color="auto"/>
                                        <w:left w:val="none" w:sz="0" w:space="0" w:color="auto"/>
                                        <w:bottom w:val="none" w:sz="0" w:space="0" w:color="auto"/>
                                        <w:right w:val="none" w:sz="0" w:space="0" w:color="auto"/>
                                      </w:divBdr>
                                      <w:divsChild>
                                        <w:div w:id="125004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3709931">
      <w:bodyDiv w:val="1"/>
      <w:marLeft w:val="0"/>
      <w:marRight w:val="0"/>
      <w:marTop w:val="0"/>
      <w:marBottom w:val="0"/>
      <w:divBdr>
        <w:top w:val="none" w:sz="0" w:space="0" w:color="auto"/>
        <w:left w:val="none" w:sz="0" w:space="0" w:color="auto"/>
        <w:bottom w:val="none" w:sz="0" w:space="0" w:color="auto"/>
        <w:right w:val="none" w:sz="0" w:space="0" w:color="auto"/>
      </w:divBdr>
      <w:divsChild>
        <w:div w:id="247347023">
          <w:marLeft w:val="0"/>
          <w:marRight w:val="0"/>
          <w:marTop w:val="0"/>
          <w:marBottom w:val="0"/>
          <w:divBdr>
            <w:top w:val="single" w:sz="48" w:space="0" w:color="435258"/>
            <w:left w:val="single" w:sz="48" w:space="0" w:color="435258"/>
            <w:bottom w:val="single" w:sz="48" w:space="0" w:color="435258"/>
            <w:right w:val="single" w:sz="48" w:space="0" w:color="435258"/>
          </w:divBdr>
          <w:divsChild>
            <w:div w:id="123349736">
              <w:marLeft w:val="0"/>
              <w:marRight w:val="0"/>
              <w:marTop w:val="0"/>
              <w:marBottom w:val="0"/>
              <w:divBdr>
                <w:top w:val="none" w:sz="0" w:space="0" w:color="auto"/>
                <w:left w:val="none" w:sz="0" w:space="0" w:color="auto"/>
                <w:bottom w:val="none" w:sz="0" w:space="0" w:color="auto"/>
                <w:right w:val="none" w:sz="0" w:space="0" w:color="auto"/>
              </w:divBdr>
              <w:divsChild>
                <w:div w:id="1264649410">
                  <w:marLeft w:val="150"/>
                  <w:marRight w:val="150"/>
                  <w:marTop w:val="0"/>
                  <w:marBottom w:val="0"/>
                  <w:divBdr>
                    <w:top w:val="none" w:sz="0" w:space="0" w:color="auto"/>
                    <w:left w:val="none" w:sz="0" w:space="0" w:color="auto"/>
                    <w:bottom w:val="none" w:sz="0" w:space="0" w:color="auto"/>
                    <w:right w:val="none" w:sz="0" w:space="0" w:color="auto"/>
                  </w:divBdr>
                  <w:divsChild>
                    <w:div w:id="1733238131">
                      <w:marLeft w:val="0"/>
                      <w:marRight w:val="0"/>
                      <w:marTop w:val="0"/>
                      <w:marBottom w:val="0"/>
                      <w:divBdr>
                        <w:top w:val="none" w:sz="0" w:space="0" w:color="auto"/>
                        <w:left w:val="none" w:sz="0" w:space="0" w:color="auto"/>
                        <w:bottom w:val="none" w:sz="0" w:space="0" w:color="auto"/>
                        <w:right w:val="none" w:sz="0" w:space="0" w:color="auto"/>
                      </w:divBdr>
                      <w:divsChild>
                        <w:div w:id="1479883085">
                          <w:marLeft w:val="0"/>
                          <w:marRight w:val="0"/>
                          <w:marTop w:val="0"/>
                          <w:marBottom w:val="0"/>
                          <w:divBdr>
                            <w:top w:val="none" w:sz="0" w:space="0" w:color="auto"/>
                            <w:left w:val="none" w:sz="0" w:space="0" w:color="auto"/>
                            <w:bottom w:val="none" w:sz="0" w:space="0" w:color="auto"/>
                            <w:right w:val="none" w:sz="0" w:space="0" w:color="auto"/>
                          </w:divBdr>
                          <w:divsChild>
                            <w:div w:id="622275863">
                              <w:marLeft w:val="0"/>
                              <w:marRight w:val="0"/>
                              <w:marTop w:val="0"/>
                              <w:marBottom w:val="0"/>
                              <w:divBdr>
                                <w:top w:val="none" w:sz="0" w:space="0" w:color="auto"/>
                                <w:left w:val="none" w:sz="0" w:space="0" w:color="auto"/>
                                <w:bottom w:val="none" w:sz="0" w:space="0" w:color="auto"/>
                                <w:right w:val="none" w:sz="0" w:space="0" w:color="auto"/>
                              </w:divBdr>
                              <w:divsChild>
                                <w:div w:id="204172370">
                                  <w:marLeft w:val="0"/>
                                  <w:marRight w:val="0"/>
                                  <w:marTop w:val="0"/>
                                  <w:marBottom w:val="0"/>
                                  <w:divBdr>
                                    <w:top w:val="none" w:sz="0" w:space="0" w:color="auto"/>
                                    <w:left w:val="none" w:sz="0" w:space="0" w:color="auto"/>
                                    <w:bottom w:val="none" w:sz="0" w:space="0" w:color="auto"/>
                                    <w:right w:val="none" w:sz="0" w:space="0" w:color="auto"/>
                                  </w:divBdr>
                                  <w:divsChild>
                                    <w:div w:id="1545022007">
                                      <w:marLeft w:val="0"/>
                                      <w:marRight w:val="0"/>
                                      <w:marTop w:val="0"/>
                                      <w:marBottom w:val="0"/>
                                      <w:divBdr>
                                        <w:top w:val="none" w:sz="0" w:space="0" w:color="auto"/>
                                        <w:left w:val="none" w:sz="0" w:space="0" w:color="auto"/>
                                        <w:bottom w:val="none" w:sz="0" w:space="0" w:color="auto"/>
                                        <w:right w:val="none" w:sz="0" w:space="0" w:color="auto"/>
                                      </w:divBdr>
                                      <w:divsChild>
                                        <w:div w:id="18723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0639696">
      <w:bodyDiv w:val="1"/>
      <w:marLeft w:val="0"/>
      <w:marRight w:val="0"/>
      <w:marTop w:val="0"/>
      <w:marBottom w:val="0"/>
      <w:divBdr>
        <w:top w:val="none" w:sz="0" w:space="0" w:color="auto"/>
        <w:left w:val="none" w:sz="0" w:space="0" w:color="auto"/>
        <w:bottom w:val="none" w:sz="0" w:space="0" w:color="auto"/>
        <w:right w:val="none" w:sz="0" w:space="0" w:color="auto"/>
      </w:divBdr>
    </w:div>
    <w:div w:id="2124808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semite.epa.gov/sab/sabproduct.nsf/681D8D5ABE7AE4818525848100769D92/$File/North+Preliminary+Response+to+Questions+9-26-2019.pdf" TargetMode="External"/><Relationship Id="rId18" Type="http://schemas.openxmlformats.org/officeDocument/2006/relationships/hyperlink" Target="http://www.healtheffects.org/system/files/UpdateSummer2013.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ncbi.nlm.nih.gov/pmc/articles/PMC5015312/pdf/JAH3-5-e003947.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yosemite.epa.gov/sab/sabproduct.nsf/LookupWebReportsLastMonthCASAC/6CBCBBC3025E13B4852583D90047B352/$File/EPA-CASAC-19-002+.pdf" TargetMode="External"/><Relationship Id="rId20" Type="http://schemas.openxmlformats.org/officeDocument/2006/relationships/hyperlink" Target="https://doi.org/10.1016/j.yrtph.2018.05.01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1038/s41370-018-0080-7" TargetMode="External"/><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www.who.int/ipcs/publications/methods/harmonization/exposure_assessment.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semite.epa.gov/sab/sabproduct.nsf/681D8D5ABE7AE4818525848100769D92/$File/North+Preliminary+Response+to+Questions+9-26-2019.pdf"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F5C1EE-99EF-48E4-A282-2B46E68B7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390</TotalTime>
  <Pages>29</Pages>
  <Words>12881</Words>
  <Characters>73423</Characters>
  <Application>Microsoft Office Word</Application>
  <DocSecurity>0</DocSecurity>
  <Lines>611</Lines>
  <Paragraphs>172</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Comments by the Texas Commission on Environmental Quality Regarding the Septembe</vt:lpstr>
      <vt:lpstr>EPA Docket ID NO. EPA-HQ–OAR–2015–0072</vt:lpstr>
      <vt:lpstr>    Summary of Proposed Action</vt:lpstr>
      <vt:lpstr>    General Comments</vt:lpstr>
      <vt:lpstr>    Mass of PM is a poor toxicity surrogate for PM2.5</vt:lpstr>
      <vt:lpstr>    Uncertainty Analysis </vt:lpstr>
      <vt:lpstr>    Biological Plausibility and Causality</vt:lpstr>
      <vt:lpstr>    Technical Comments Related to Respiratory Effects</vt:lpstr>
      <vt:lpstr>    Technical Comments Related to Cardiovascular Effects</vt:lpstr>
      <vt:lpstr>    Recommended Methodological Improvements</vt:lpstr>
      <vt:lpstr>    References Cited in These Comments </vt:lpstr>
    </vt:vector>
  </TitlesOfParts>
  <Company>TCEQ</Company>
  <LinksUpToDate>false</LinksUpToDate>
  <CharactersWithSpaces>86132</CharactersWithSpaces>
  <SharedDoc>false</SharedDoc>
  <HLinks>
    <vt:vector size="6" baseType="variant">
      <vt:variant>
        <vt:i4>4522002</vt:i4>
      </vt:variant>
      <vt:variant>
        <vt:i4>5</vt:i4>
      </vt:variant>
      <vt:variant>
        <vt:i4>0</vt:i4>
      </vt:variant>
      <vt:variant>
        <vt:i4>5</vt:i4>
      </vt:variant>
      <vt:variant>
        <vt:lpwstr>https://yosemite.epa.gov/sab/sabproduct.nsf/681D8D5ABE7AE4818525848100769D92/$File/North+Preliminary+Response+to+Questions+9-26-2019.pdf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Kuskie</dc:creator>
  <cp:keywords/>
  <dc:description/>
  <cp:lastModifiedBy>Allison Jenkins</cp:lastModifiedBy>
  <cp:revision>7</cp:revision>
  <cp:lastPrinted>2016-06-07T14:38:00Z</cp:lastPrinted>
  <dcterms:created xsi:type="dcterms:W3CDTF">2019-10-21T14:58:00Z</dcterms:created>
  <dcterms:modified xsi:type="dcterms:W3CDTF">2019-10-21T21:51:00Z</dcterms:modified>
</cp:coreProperties>
</file>