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016E9" w14:textId="4BA2FDD3" w:rsidR="00971E10" w:rsidRPr="00B02CD3" w:rsidRDefault="003218CF" w:rsidP="000B773F">
      <w:pPr>
        <w:pStyle w:val="Heading1"/>
        <w:jc w:val="center"/>
        <w:rPr>
          <w:rFonts w:ascii="Lucida Bright" w:hAnsi="Lucida Bright"/>
          <w:sz w:val="16"/>
          <w:szCs w:val="16"/>
        </w:rPr>
      </w:pPr>
      <w:bookmarkStart w:id="0" w:name="_GoBack"/>
      <w:bookmarkEnd w:id="0"/>
      <w:r>
        <w:rPr>
          <w:rFonts w:ascii="Lucida Bright" w:hAnsi="Lucida Bright"/>
          <w:noProof/>
        </w:rPr>
        <w:drawing>
          <wp:anchor distT="0" distB="0" distL="114300" distR="114300" simplePos="0" relativeHeight="251657728" behindDoc="0" locked="0" layoutInCell="1" allowOverlap="1" wp14:anchorId="61EED7CC" wp14:editId="1420DBF5">
            <wp:simplePos x="0" y="0"/>
            <wp:positionH relativeFrom="column">
              <wp:align>left</wp:align>
            </wp:positionH>
            <wp:positionV relativeFrom="paragraph">
              <wp:posOffset>0</wp:posOffset>
            </wp:positionV>
            <wp:extent cx="619125" cy="1066800"/>
            <wp:effectExtent l="0" t="0" r="0" b="0"/>
            <wp:wrapSquare wrapText="right"/>
            <wp:docPr id="3" name="Picture 3"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EQ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00DA4BA8" w:rsidRPr="00B02CD3">
        <w:rPr>
          <w:rFonts w:ascii="Lucida Bright" w:hAnsi="Lucida Bright"/>
        </w:rPr>
        <w:t>National Comments</w:t>
      </w:r>
    </w:p>
    <w:p w14:paraId="06ABAE8E" w14:textId="77777777" w:rsidR="00971E10" w:rsidRPr="00B02CD3" w:rsidRDefault="00DA4BA8" w:rsidP="00100843">
      <w:pPr>
        <w:pStyle w:val="Heading1"/>
        <w:spacing w:after="120"/>
        <w:jc w:val="center"/>
        <w:rPr>
          <w:rFonts w:ascii="Lucida Bright" w:hAnsi="Lucida Bright"/>
        </w:rPr>
      </w:pPr>
      <w:r w:rsidRPr="00B02CD3">
        <w:rPr>
          <w:rFonts w:ascii="Lucida Bright" w:hAnsi="Lucida Bright"/>
        </w:rPr>
        <w:t>Executive Review Summary</w:t>
      </w:r>
    </w:p>
    <w:p w14:paraId="03544320" w14:textId="77777777" w:rsidR="00971E10" w:rsidRPr="000B773F" w:rsidRDefault="00971E10">
      <w:pPr>
        <w:jc w:val="center"/>
        <w:rPr>
          <w:rFonts w:ascii="Georgia" w:hAnsi="Georgia"/>
          <w:b/>
          <w:bCs/>
          <w:sz w:val="30"/>
          <w:szCs w:val="30"/>
        </w:rPr>
      </w:pPr>
    </w:p>
    <w:p w14:paraId="529FC551" w14:textId="77777777" w:rsidR="000B773F" w:rsidRPr="000B773F" w:rsidRDefault="000B773F">
      <w:pPr>
        <w:jc w:val="center"/>
        <w:rPr>
          <w:rFonts w:ascii="Georgia" w:hAnsi="Georgia"/>
          <w:b/>
          <w:bCs/>
          <w:sz w:val="30"/>
          <w:szCs w:val="30"/>
        </w:rPr>
      </w:pPr>
    </w:p>
    <w:p w14:paraId="782E48C7" w14:textId="33D6E44D" w:rsidR="00155F25" w:rsidRPr="00B02CD3" w:rsidRDefault="00DA4BA8" w:rsidP="000E4FDC">
      <w:pPr>
        <w:spacing w:after="120"/>
        <w:rPr>
          <w:rStyle w:val="Strong"/>
          <w:rFonts w:ascii="Lucida Bright" w:hAnsi="Lucida Bright"/>
          <w:sz w:val="22"/>
          <w:szCs w:val="22"/>
        </w:rPr>
      </w:pPr>
      <w:r w:rsidRPr="00B02CD3">
        <w:rPr>
          <w:rStyle w:val="Strong"/>
          <w:rFonts w:ascii="Lucida Bright" w:hAnsi="Lucida Bright"/>
          <w:sz w:val="22"/>
          <w:szCs w:val="22"/>
        </w:rPr>
        <w:t>TCEQ Proposed Comments On</w:t>
      </w:r>
      <w:r w:rsidR="00C21680" w:rsidRPr="00B02CD3">
        <w:rPr>
          <w:rStyle w:val="Strong"/>
          <w:rFonts w:ascii="Lucida Bright" w:hAnsi="Lucida Bright"/>
          <w:sz w:val="22"/>
          <w:szCs w:val="22"/>
        </w:rPr>
        <w:t>:</w:t>
      </w:r>
      <w:r w:rsidR="004F4503" w:rsidRPr="00B02CD3">
        <w:rPr>
          <w:rStyle w:val="Strong"/>
          <w:rFonts w:ascii="Lucida Bright" w:hAnsi="Lucida Bright"/>
          <w:sz w:val="22"/>
          <w:szCs w:val="22"/>
        </w:rPr>
        <w:t xml:space="preserve">  </w:t>
      </w:r>
      <w:r w:rsidR="00B02CD3" w:rsidRPr="00B02CD3">
        <w:rPr>
          <w:rFonts w:ascii="Lucida Bright" w:hAnsi="Lucida Bright"/>
          <w:sz w:val="22"/>
          <w:szCs w:val="22"/>
        </w:rPr>
        <w:t xml:space="preserve">United States </w:t>
      </w:r>
      <w:r w:rsidR="00BD12E9">
        <w:rPr>
          <w:rFonts w:ascii="Lucida Bright" w:hAnsi="Lucida Bright"/>
          <w:sz w:val="22"/>
          <w:szCs w:val="22"/>
        </w:rPr>
        <w:t xml:space="preserve">Environmental Protection Agency </w:t>
      </w:r>
      <w:r w:rsidR="00B02CD3" w:rsidRPr="00B02CD3">
        <w:rPr>
          <w:rFonts w:ascii="Lucida Bright" w:hAnsi="Lucida Bright"/>
          <w:sz w:val="22"/>
          <w:szCs w:val="22"/>
        </w:rPr>
        <w:t>(</w:t>
      </w:r>
      <w:r w:rsidR="00BD12E9">
        <w:rPr>
          <w:rFonts w:ascii="Lucida Bright" w:hAnsi="Lucida Bright"/>
          <w:sz w:val="22"/>
          <w:szCs w:val="22"/>
        </w:rPr>
        <w:t>EPA</w:t>
      </w:r>
      <w:r w:rsidR="00B02CD3" w:rsidRPr="00B02CD3">
        <w:rPr>
          <w:rFonts w:ascii="Lucida Bright" w:hAnsi="Lucida Bright"/>
          <w:sz w:val="22"/>
          <w:szCs w:val="22"/>
        </w:rPr>
        <w:t xml:space="preserve">); </w:t>
      </w:r>
      <w:r w:rsidR="004B0830" w:rsidRPr="004B0830">
        <w:rPr>
          <w:rFonts w:ascii="Lucida Bright" w:hAnsi="Lucida Bright"/>
          <w:sz w:val="22"/>
          <w:szCs w:val="22"/>
        </w:rPr>
        <w:t>Oil and Natural Gas Sector: Emission Standards for New, Reconstructed, and Modified Sources Reconsideration</w:t>
      </w:r>
      <w:r w:rsidR="004B0830">
        <w:rPr>
          <w:rFonts w:ascii="Lucida Bright" w:hAnsi="Lucida Bright"/>
          <w:sz w:val="22"/>
          <w:szCs w:val="22"/>
        </w:rPr>
        <w:t xml:space="preserve">; </w:t>
      </w:r>
      <w:r w:rsidR="00100843">
        <w:rPr>
          <w:rFonts w:ascii="Lucida Bright" w:hAnsi="Lucida Bright"/>
          <w:sz w:val="22"/>
          <w:szCs w:val="22"/>
        </w:rPr>
        <w:t xml:space="preserve">EPA Docket ID No. </w:t>
      </w:r>
      <w:r w:rsidR="00100843" w:rsidRPr="00100843">
        <w:rPr>
          <w:rFonts w:ascii="Lucida Bright" w:hAnsi="Lucida Bright"/>
          <w:sz w:val="22"/>
          <w:szCs w:val="22"/>
        </w:rPr>
        <w:t>EPA-HQ-OAR-2017-0483</w:t>
      </w:r>
    </w:p>
    <w:p w14:paraId="22AB04FD" w14:textId="20B8566E" w:rsidR="00971E10" w:rsidRDefault="00DA4BA8" w:rsidP="00100843">
      <w:pPr>
        <w:rPr>
          <w:rStyle w:val="Strong"/>
          <w:rFonts w:ascii="Lucida Bright" w:hAnsi="Lucida Bright"/>
          <w:sz w:val="22"/>
          <w:szCs w:val="22"/>
        </w:rPr>
      </w:pPr>
      <w:r w:rsidRPr="00B02CD3">
        <w:rPr>
          <w:rStyle w:val="Strong"/>
          <w:rFonts w:ascii="Lucida Bright" w:hAnsi="Lucida Bright"/>
          <w:sz w:val="22"/>
          <w:szCs w:val="22"/>
        </w:rPr>
        <w:t xml:space="preserve">Overview of </w:t>
      </w:r>
      <w:r w:rsidR="00100843">
        <w:rPr>
          <w:rStyle w:val="Strong"/>
          <w:rFonts w:ascii="Lucida Bright" w:hAnsi="Lucida Bright"/>
          <w:sz w:val="22"/>
          <w:szCs w:val="22"/>
        </w:rPr>
        <w:t>Proposal</w:t>
      </w:r>
      <w:r w:rsidR="00C21680" w:rsidRPr="00B02CD3">
        <w:rPr>
          <w:rStyle w:val="Strong"/>
          <w:rFonts w:ascii="Lucida Bright" w:hAnsi="Lucida Bright"/>
          <w:sz w:val="22"/>
          <w:szCs w:val="22"/>
        </w:rPr>
        <w:t>:</w:t>
      </w:r>
    </w:p>
    <w:p w14:paraId="15EB19C8" w14:textId="5EF91C2B" w:rsidR="00E64E02" w:rsidRPr="00B02CD3" w:rsidRDefault="006C7AC0" w:rsidP="00100843">
      <w:pPr>
        <w:rPr>
          <w:rStyle w:val="Strong"/>
          <w:rFonts w:ascii="Lucida Bright" w:hAnsi="Lucida Bright"/>
          <w:b w:val="0"/>
          <w:bCs w:val="0"/>
          <w:sz w:val="22"/>
          <w:szCs w:val="22"/>
        </w:rPr>
      </w:pPr>
      <w:r w:rsidRPr="00053D5A">
        <w:rPr>
          <w:rFonts w:ascii="Lucida Bright" w:hAnsi="Lucida Bright"/>
          <w:sz w:val="22"/>
          <w:szCs w:val="22"/>
        </w:rPr>
        <w:t xml:space="preserve">On </w:t>
      </w:r>
      <w:r w:rsidR="004B0830">
        <w:rPr>
          <w:rFonts w:ascii="Lucida Bright" w:hAnsi="Lucida Bright"/>
          <w:sz w:val="22"/>
          <w:szCs w:val="22"/>
        </w:rPr>
        <w:t>October</w:t>
      </w:r>
      <w:r w:rsidR="006B37B8">
        <w:rPr>
          <w:rFonts w:ascii="Lucida Bright" w:hAnsi="Lucida Bright"/>
          <w:sz w:val="22"/>
          <w:szCs w:val="22"/>
        </w:rPr>
        <w:t xml:space="preserve"> </w:t>
      </w:r>
      <w:r w:rsidR="004B0830">
        <w:rPr>
          <w:rFonts w:ascii="Lucida Bright" w:hAnsi="Lucida Bright"/>
          <w:sz w:val="22"/>
          <w:szCs w:val="22"/>
        </w:rPr>
        <w:t>15</w:t>
      </w:r>
      <w:r w:rsidR="006B37B8">
        <w:rPr>
          <w:rFonts w:ascii="Lucida Bright" w:hAnsi="Lucida Bright"/>
          <w:sz w:val="22"/>
          <w:szCs w:val="22"/>
        </w:rPr>
        <w:t xml:space="preserve">, 2018, </w:t>
      </w:r>
      <w:r w:rsidRPr="00053D5A">
        <w:rPr>
          <w:rFonts w:ascii="Lucida Bright" w:hAnsi="Lucida Bright"/>
          <w:sz w:val="22"/>
          <w:szCs w:val="22"/>
        </w:rPr>
        <w:t>the EPA</w:t>
      </w:r>
      <w:r w:rsidR="006B37B8">
        <w:rPr>
          <w:rFonts w:ascii="Lucida Bright" w:hAnsi="Lucida Bright"/>
          <w:sz w:val="22"/>
          <w:szCs w:val="22"/>
        </w:rPr>
        <w:t xml:space="preserve"> </w:t>
      </w:r>
      <w:r w:rsidR="004B0830" w:rsidRPr="004B0830">
        <w:rPr>
          <w:rFonts w:ascii="Lucida Bright" w:hAnsi="Lucida Bright"/>
          <w:sz w:val="22"/>
          <w:szCs w:val="22"/>
        </w:rPr>
        <w:t>proposed amendments to the 40 Co</w:t>
      </w:r>
      <w:r w:rsidR="000E4FDC">
        <w:rPr>
          <w:rFonts w:ascii="Lucida Bright" w:hAnsi="Lucida Bright"/>
          <w:sz w:val="22"/>
          <w:szCs w:val="22"/>
        </w:rPr>
        <w:t xml:space="preserve">de of Federal Regulations </w:t>
      </w:r>
      <w:r w:rsidR="004B0830" w:rsidRPr="004B0830">
        <w:rPr>
          <w:rFonts w:ascii="Lucida Bright" w:hAnsi="Lucida Bright"/>
          <w:sz w:val="22"/>
          <w:szCs w:val="22"/>
        </w:rPr>
        <w:t>Part 60, Subpart OOOOa new source performance standards (NSPS) for new and modified sources in the oil and natural gas sector (83 FR 52056). The EPA proposed these amendments in response to petitions for reconsideration of certain aspects of the standards, which were originally adopted in 2016. The EPA granted reconsideration on three issues: (1) Fugitive emissions requirements</w:t>
      </w:r>
      <w:r w:rsidR="004B0830">
        <w:rPr>
          <w:rFonts w:ascii="Lucida Bright" w:hAnsi="Lucida Bright"/>
          <w:sz w:val="22"/>
          <w:szCs w:val="22"/>
        </w:rPr>
        <w:t>;</w:t>
      </w:r>
      <w:r w:rsidR="004B0830" w:rsidRPr="004B0830">
        <w:rPr>
          <w:rFonts w:ascii="Lucida Bright" w:hAnsi="Lucida Bright"/>
          <w:sz w:val="22"/>
          <w:szCs w:val="22"/>
        </w:rPr>
        <w:t xml:space="preserve"> (2) well site pneumatic pump standards</w:t>
      </w:r>
      <w:r w:rsidR="004B0830">
        <w:rPr>
          <w:rFonts w:ascii="Lucida Bright" w:hAnsi="Lucida Bright"/>
          <w:sz w:val="22"/>
          <w:szCs w:val="22"/>
        </w:rPr>
        <w:t>;</w:t>
      </w:r>
      <w:r w:rsidR="004B0830" w:rsidRPr="004B0830">
        <w:rPr>
          <w:rFonts w:ascii="Lucida Bright" w:hAnsi="Lucida Bright"/>
          <w:sz w:val="22"/>
          <w:szCs w:val="22"/>
        </w:rPr>
        <w:t xml:space="preserve"> and (3) the requirements for certification of closed vent systems by a professional engineer. The proposed amendments primarily relate to these three subject areas, but the EP</w:t>
      </w:r>
      <w:r w:rsidR="004B0830">
        <w:rPr>
          <w:rFonts w:ascii="Lucida Bright" w:hAnsi="Lucida Bright"/>
          <w:sz w:val="22"/>
          <w:szCs w:val="22"/>
        </w:rPr>
        <w:t xml:space="preserve">A </w:t>
      </w:r>
      <w:r w:rsidR="004B0830" w:rsidRPr="004B0830">
        <w:rPr>
          <w:rFonts w:ascii="Lucida Bright" w:hAnsi="Lucida Bright"/>
          <w:sz w:val="22"/>
          <w:szCs w:val="22"/>
        </w:rPr>
        <w:t>also proposed amendments to make other technical corrections and clarifications</w:t>
      </w:r>
      <w:r w:rsidR="006B37B8" w:rsidRPr="006B37B8">
        <w:rPr>
          <w:rFonts w:ascii="Lucida Bright" w:hAnsi="Lucida Bright"/>
          <w:sz w:val="22"/>
          <w:szCs w:val="22"/>
        </w:rPr>
        <w:t>.</w:t>
      </w:r>
      <w:r w:rsidR="000E4FDC">
        <w:rPr>
          <w:rFonts w:ascii="Lucida Bright" w:hAnsi="Lucida Bright"/>
          <w:sz w:val="22"/>
          <w:szCs w:val="22"/>
        </w:rPr>
        <w:t xml:space="preserve"> The TCEQ and the Railroad Commission of Texas (RRC) are submitting joint comments on the proposed changes.</w:t>
      </w:r>
    </w:p>
    <w:p w14:paraId="7748C626" w14:textId="77777777" w:rsidR="004F4503" w:rsidRPr="00B02CD3" w:rsidRDefault="004F4503" w:rsidP="00C21680">
      <w:pPr>
        <w:rPr>
          <w:rFonts w:ascii="Lucida Bright" w:hAnsi="Lucida Bright"/>
          <w:sz w:val="22"/>
          <w:szCs w:val="22"/>
        </w:rPr>
      </w:pPr>
    </w:p>
    <w:p w14:paraId="3DE69E5C" w14:textId="77777777" w:rsidR="009508E1" w:rsidRPr="00A409D7" w:rsidRDefault="00DA4BA8" w:rsidP="00D608E8">
      <w:pPr>
        <w:spacing w:after="240"/>
        <w:rPr>
          <w:rFonts w:ascii="Lucida Bright" w:hAnsi="Lucida Bright"/>
          <w:sz w:val="22"/>
          <w:szCs w:val="22"/>
        </w:rPr>
      </w:pPr>
      <w:r w:rsidRPr="00A409D7">
        <w:rPr>
          <w:rStyle w:val="Strong"/>
          <w:rFonts w:ascii="Lucida Bright" w:hAnsi="Lucida Bright"/>
          <w:sz w:val="22"/>
          <w:szCs w:val="22"/>
        </w:rPr>
        <w:t>Summary of Comments</w:t>
      </w:r>
      <w:r w:rsidR="00C21680" w:rsidRPr="00A409D7">
        <w:rPr>
          <w:rStyle w:val="Strong"/>
          <w:rFonts w:ascii="Lucida Bright" w:hAnsi="Lucida Bright"/>
          <w:sz w:val="22"/>
          <w:szCs w:val="22"/>
        </w:rPr>
        <w:t>:</w:t>
      </w:r>
    </w:p>
    <w:p w14:paraId="0A574FF9" w14:textId="1449B43B" w:rsidR="005E11F2" w:rsidRPr="006B37B8" w:rsidRDefault="000E4FDC" w:rsidP="009C213C">
      <w:pPr>
        <w:numPr>
          <w:ilvl w:val="0"/>
          <w:numId w:val="3"/>
        </w:numPr>
        <w:spacing w:after="120"/>
        <w:ind w:left="360"/>
        <w:rPr>
          <w:rFonts w:ascii="Lucida Bright" w:hAnsi="Lucida Bright"/>
          <w:bCs/>
          <w:sz w:val="22"/>
          <w:szCs w:val="22"/>
        </w:rPr>
      </w:pPr>
      <w:r w:rsidRPr="000E4FDC">
        <w:rPr>
          <w:rFonts w:ascii="Lucida Bright" w:hAnsi="Lucida Bright"/>
          <w:bCs/>
          <w:sz w:val="22"/>
          <w:szCs w:val="22"/>
        </w:rPr>
        <w:t>The TCEQ support</w:t>
      </w:r>
      <w:r>
        <w:rPr>
          <w:rFonts w:ascii="Lucida Bright" w:hAnsi="Lucida Bright"/>
          <w:bCs/>
          <w:sz w:val="22"/>
          <w:szCs w:val="22"/>
        </w:rPr>
        <w:t>s</w:t>
      </w:r>
      <w:r w:rsidRPr="000E4FDC">
        <w:rPr>
          <w:rFonts w:ascii="Lucida Bright" w:hAnsi="Lucida Bright"/>
          <w:bCs/>
          <w:sz w:val="22"/>
          <w:szCs w:val="22"/>
        </w:rPr>
        <w:t xml:space="preserve"> the EPA's proposed approach of allowing certain state-based fugitive emission monitoring programs to be used as an alternative to the default fugitive emission monitoring requirements of the standards</w:t>
      </w:r>
      <w:r w:rsidR="005E11F2" w:rsidRPr="006B37B8">
        <w:rPr>
          <w:rFonts w:ascii="Lucida Bright" w:hAnsi="Lucida Bright"/>
          <w:bCs/>
          <w:sz w:val="22"/>
          <w:szCs w:val="22"/>
        </w:rPr>
        <w:t>.</w:t>
      </w:r>
      <w:r w:rsidR="006B37B8">
        <w:rPr>
          <w:rFonts w:ascii="Lucida Bright" w:hAnsi="Lucida Bright"/>
          <w:bCs/>
          <w:sz w:val="22"/>
          <w:szCs w:val="22"/>
        </w:rPr>
        <w:t xml:space="preserve"> </w:t>
      </w:r>
    </w:p>
    <w:p w14:paraId="6638F37A" w14:textId="403B78DD" w:rsidR="00D57DB0" w:rsidRPr="00D57DB0" w:rsidRDefault="000E4FDC" w:rsidP="009C213C">
      <w:pPr>
        <w:numPr>
          <w:ilvl w:val="0"/>
          <w:numId w:val="3"/>
        </w:numPr>
        <w:spacing w:after="120"/>
        <w:ind w:left="360"/>
        <w:rPr>
          <w:rFonts w:ascii="Lucida Bright" w:hAnsi="Lucida Bright"/>
          <w:bCs/>
          <w:sz w:val="22"/>
          <w:szCs w:val="22"/>
        </w:rPr>
      </w:pPr>
      <w:r>
        <w:rPr>
          <w:rFonts w:ascii="Lucida Bright" w:hAnsi="Lucida Bright"/>
          <w:sz w:val="22"/>
          <w:szCs w:val="22"/>
        </w:rPr>
        <w:t xml:space="preserve">The TCEQ supports the EPA's proposed finding that certain </w:t>
      </w:r>
      <w:r w:rsidR="006B37B8" w:rsidRPr="006B37B8">
        <w:rPr>
          <w:rFonts w:ascii="Lucida Bright" w:hAnsi="Lucida Bright"/>
          <w:sz w:val="22"/>
          <w:szCs w:val="22"/>
        </w:rPr>
        <w:t>TCEQ</w:t>
      </w:r>
      <w:r>
        <w:rPr>
          <w:rFonts w:ascii="Lucida Bright" w:hAnsi="Lucida Bright"/>
          <w:sz w:val="22"/>
          <w:szCs w:val="22"/>
        </w:rPr>
        <w:t xml:space="preserve"> </w:t>
      </w:r>
      <w:r w:rsidRPr="000E4FDC">
        <w:rPr>
          <w:rFonts w:ascii="Lucida Bright" w:hAnsi="Lucida Bright"/>
          <w:sz w:val="22"/>
          <w:szCs w:val="22"/>
        </w:rPr>
        <w:t>fugitive emission monitoring programs are substantially equivalent to the default fugitive emission monitoring requirements in Subpart OOOOa</w:t>
      </w:r>
      <w:r>
        <w:rPr>
          <w:rFonts w:ascii="Lucida Bright" w:hAnsi="Lucida Bright"/>
          <w:sz w:val="22"/>
          <w:szCs w:val="22"/>
        </w:rPr>
        <w:t xml:space="preserve">, but notes that the EPA should include components at compressor stations within the scope of </w:t>
      </w:r>
      <w:r w:rsidR="009C213C">
        <w:rPr>
          <w:rFonts w:ascii="Lucida Bright" w:hAnsi="Lucida Bright"/>
          <w:sz w:val="22"/>
          <w:szCs w:val="22"/>
        </w:rPr>
        <w:t xml:space="preserve">the </w:t>
      </w:r>
      <w:r>
        <w:rPr>
          <w:rFonts w:ascii="Lucida Bright" w:hAnsi="Lucida Bright"/>
          <w:sz w:val="22"/>
          <w:szCs w:val="22"/>
        </w:rPr>
        <w:t>EPA's proposed determination of equivalency</w:t>
      </w:r>
      <w:r w:rsidR="00D57DB0" w:rsidRPr="00D57DB0">
        <w:rPr>
          <w:rFonts w:ascii="Lucida Bright" w:hAnsi="Lucida Bright"/>
          <w:sz w:val="22"/>
          <w:szCs w:val="22"/>
        </w:rPr>
        <w:t>.</w:t>
      </w:r>
    </w:p>
    <w:p w14:paraId="03B6B5E3" w14:textId="7D256FD5" w:rsidR="00D57DB0" w:rsidRPr="00D57DB0" w:rsidRDefault="006B37B8" w:rsidP="009C213C">
      <w:pPr>
        <w:numPr>
          <w:ilvl w:val="0"/>
          <w:numId w:val="3"/>
        </w:numPr>
        <w:spacing w:after="120"/>
        <w:ind w:left="360"/>
        <w:rPr>
          <w:rStyle w:val="Strong"/>
          <w:rFonts w:ascii="Lucida Bright" w:hAnsi="Lucida Bright"/>
          <w:b w:val="0"/>
          <w:sz w:val="22"/>
          <w:szCs w:val="22"/>
        </w:rPr>
      </w:pPr>
      <w:r>
        <w:rPr>
          <w:rStyle w:val="Strong"/>
          <w:rFonts w:ascii="Lucida Bright" w:hAnsi="Lucida Bright"/>
          <w:b w:val="0"/>
          <w:sz w:val="22"/>
          <w:szCs w:val="22"/>
        </w:rPr>
        <w:t xml:space="preserve">The </w:t>
      </w:r>
      <w:r w:rsidR="000E4FDC">
        <w:rPr>
          <w:rStyle w:val="Strong"/>
          <w:rFonts w:ascii="Lucida Bright" w:hAnsi="Lucida Bright"/>
          <w:b w:val="0"/>
          <w:sz w:val="22"/>
          <w:szCs w:val="22"/>
        </w:rPr>
        <w:t xml:space="preserve">TCEQ </w:t>
      </w:r>
      <w:r w:rsidR="000E4FDC" w:rsidRPr="000E4FDC">
        <w:rPr>
          <w:rStyle w:val="Strong"/>
          <w:rFonts w:ascii="Lucida Bright" w:hAnsi="Lucida Bright"/>
          <w:b w:val="0"/>
          <w:sz w:val="22"/>
          <w:szCs w:val="22"/>
        </w:rPr>
        <w:t>continue</w:t>
      </w:r>
      <w:r w:rsidR="000E4FDC">
        <w:rPr>
          <w:rStyle w:val="Strong"/>
          <w:rFonts w:ascii="Lucida Bright" w:hAnsi="Lucida Bright"/>
          <w:b w:val="0"/>
          <w:sz w:val="22"/>
          <w:szCs w:val="22"/>
        </w:rPr>
        <w:t>s</w:t>
      </w:r>
      <w:r w:rsidR="000E4FDC" w:rsidRPr="000E4FDC">
        <w:rPr>
          <w:rStyle w:val="Strong"/>
          <w:rFonts w:ascii="Lucida Bright" w:hAnsi="Lucida Bright"/>
          <w:b w:val="0"/>
          <w:sz w:val="22"/>
          <w:szCs w:val="22"/>
        </w:rPr>
        <w:t xml:space="preserve"> to support withdrawal of the Control Techniques Guidelines (CTG) for the Oil and Natural Gas Industry. At a minimum, the EPA should delay any state CTG submission requirements until finalization of the proposed NSPS revisions</w:t>
      </w:r>
      <w:r w:rsidR="00D57DB0" w:rsidRPr="00D57DB0">
        <w:rPr>
          <w:rStyle w:val="Strong"/>
          <w:rFonts w:ascii="Lucida Bright" w:hAnsi="Lucida Bright"/>
          <w:b w:val="0"/>
          <w:sz w:val="22"/>
          <w:szCs w:val="22"/>
        </w:rPr>
        <w:t>.</w:t>
      </w:r>
    </w:p>
    <w:p w14:paraId="5A043F04" w14:textId="77777777" w:rsidR="000E4FDC" w:rsidRPr="00A409D7" w:rsidRDefault="000E4FDC" w:rsidP="00C21680">
      <w:pPr>
        <w:rPr>
          <w:rStyle w:val="Strong"/>
          <w:rFonts w:ascii="Lucida Bright" w:hAnsi="Lucida Bright"/>
          <w:sz w:val="22"/>
          <w:szCs w:val="22"/>
        </w:rPr>
      </w:pPr>
    </w:p>
    <w:p w14:paraId="7DE6AB4F" w14:textId="17C882AE" w:rsidR="00EC6F43" w:rsidRDefault="00DA4BA8" w:rsidP="00EC6F43">
      <w:pPr>
        <w:rPr>
          <w:rStyle w:val="Strong"/>
          <w:rFonts w:ascii="Lucida Bright" w:hAnsi="Lucida Bright"/>
          <w:b w:val="0"/>
          <w:sz w:val="22"/>
          <w:szCs w:val="22"/>
        </w:rPr>
      </w:pPr>
      <w:r w:rsidRPr="00A409D7">
        <w:rPr>
          <w:rStyle w:val="Strong"/>
          <w:rFonts w:ascii="Lucida Bright" w:hAnsi="Lucida Bright"/>
          <w:sz w:val="22"/>
          <w:szCs w:val="22"/>
        </w:rPr>
        <w:t>Lea</w:t>
      </w:r>
      <w:r w:rsidRPr="00B02CD3">
        <w:rPr>
          <w:rStyle w:val="Strong"/>
          <w:rFonts w:ascii="Lucida Bright" w:hAnsi="Lucida Bright"/>
          <w:sz w:val="22"/>
          <w:szCs w:val="22"/>
        </w:rPr>
        <w:t>d Office</w:t>
      </w:r>
      <w:r w:rsidR="00C21680" w:rsidRPr="00B02CD3">
        <w:rPr>
          <w:rStyle w:val="Strong"/>
          <w:rFonts w:ascii="Lucida Bright" w:hAnsi="Lucida Bright"/>
          <w:sz w:val="22"/>
          <w:szCs w:val="22"/>
        </w:rPr>
        <w:t>:</w:t>
      </w:r>
      <w:r w:rsidR="00100843">
        <w:rPr>
          <w:rStyle w:val="Strong"/>
          <w:rFonts w:ascii="Lucida Bright" w:hAnsi="Lucida Bright"/>
          <w:sz w:val="22"/>
          <w:szCs w:val="22"/>
        </w:rPr>
        <w:t xml:space="preserve"> </w:t>
      </w:r>
      <w:r w:rsidR="000E4FDC" w:rsidRPr="000E4FDC">
        <w:rPr>
          <w:rStyle w:val="Strong"/>
          <w:rFonts w:ascii="Lucida Bright" w:hAnsi="Lucida Bright"/>
          <w:b w:val="0"/>
          <w:sz w:val="22"/>
          <w:szCs w:val="22"/>
        </w:rPr>
        <w:t>David Reyna</w:t>
      </w:r>
      <w:r w:rsidR="009508E1" w:rsidRPr="007B00E2">
        <w:rPr>
          <w:rStyle w:val="Strong"/>
          <w:rFonts w:ascii="Lucida Bright" w:hAnsi="Lucida Bright"/>
          <w:b w:val="0"/>
          <w:sz w:val="22"/>
          <w:szCs w:val="22"/>
        </w:rPr>
        <w:t>,</w:t>
      </w:r>
      <w:r w:rsidR="009508E1" w:rsidRPr="00B02CD3">
        <w:rPr>
          <w:rStyle w:val="Strong"/>
          <w:rFonts w:ascii="Lucida Bright" w:hAnsi="Lucida Bright"/>
          <w:b w:val="0"/>
          <w:sz w:val="22"/>
          <w:szCs w:val="22"/>
        </w:rPr>
        <w:t xml:space="preserve"> </w:t>
      </w:r>
      <w:r w:rsidR="00EC6F43">
        <w:rPr>
          <w:rStyle w:val="Strong"/>
          <w:rFonts w:ascii="Lucida Bright" w:hAnsi="Lucida Bright"/>
          <w:b w:val="0"/>
          <w:sz w:val="22"/>
          <w:szCs w:val="22"/>
        </w:rPr>
        <w:t xml:space="preserve">Air </w:t>
      </w:r>
      <w:r w:rsidR="007B00E2">
        <w:rPr>
          <w:rStyle w:val="Strong"/>
          <w:rFonts w:ascii="Lucida Bright" w:hAnsi="Lucida Bright"/>
          <w:b w:val="0"/>
          <w:sz w:val="22"/>
          <w:szCs w:val="22"/>
        </w:rPr>
        <w:t xml:space="preserve">Permits </w:t>
      </w:r>
      <w:r w:rsidR="00EC6F43">
        <w:rPr>
          <w:rStyle w:val="Strong"/>
          <w:rFonts w:ascii="Lucida Bright" w:hAnsi="Lucida Bright"/>
          <w:b w:val="0"/>
          <w:sz w:val="22"/>
          <w:szCs w:val="22"/>
        </w:rPr>
        <w:t xml:space="preserve">Division, </w:t>
      </w:r>
      <w:r w:rsidR="009508E1" w:rsidRPr="00B02CD3">
        <w:rPr>
          <w:rStyle w:val="Strong"/>
          <w:rFonts w:ascii="Lucida Bright" w:hAnsi="Lucida Bright"/>
          <w:b w:val="0"/>
          <w:sz w:val="22"/>
          <w:szCs w:val="22"/>
        </w:rPr>
        <w:t>Office of Air</w:t>
      </w:r>
      <w:r w:rsidR="006C7AC0">
        <w:rPr>
          <w:rStyle w:val="Strong"/>
          <w:rFonts w:ascii="Lucida Bright" w:hAnsi="Lucida Bright"/>
          <w:b w:val="0"/>
          <w:sz w:val="22"/>
          <w:szCs w:val="22"/>
        </w:rPr>
        <w:t xml:space="preserve"> </w:t>
      </w:r>
    </w:p>
    <w:p w14:paraId="3E99C3B4" w14:textId="77777777" w:rsidR="00100843" w:rsidRDefault="00100843" w:rsidP="00EC6F43">
      <w:pPr>
        <w:rPr>
          <w:rStyle w:val="Strong"/>
          <w:rFonts w:ascii="Lucida Bright" w:hAnsi="Lucida Bright"/>
          <w:b w:val="0"/>
          <w:sz w:val="22"/>
          <w:szCs w:val="22"/>
        </w:rPr>
      </w:pPr>
    </w:p>
    <w:p w14:paraId="014E1FD7" w14:textId="25ADB0EC" w:rsidR="00100843" w:rsidRDefault="00100843" w:rsidP="00EC6F43">
      <w:pPr>
        <w:rPr>
          <w:rStyle w:val="Strong"/>
          <w:rFonts w:ascii="Lucida Bright" w:hAnsi="Lucida Bright"/>
          <w:b w:val="0"/>
          <w:sz w:val="22"/>
          <w:szCs w:val="22"/>
        </w:rPr>
      </w:pPr>
      <w:r w:rsidRPr="007E5D71">
        <w:rPr>
          <w:rStyle w:val="Strong"/>
          <w:rFonts w:ascii="Lucida Bright" w:hAnsi="Lucida Bright"/>
          <w:sz w:val="22"/>
          <w:szCs w:val="22"/>
        </w:rPr>
        <w:t>Internal Coordination:</w:t>
      </w:r>
      <w:r w:rsidRPr="007E5D71">
        <w:rPr>
          <w:rFonts w:ascii="Lucida Bright" w:hAnsi="Lucida Bright"/>
          <w:sz w:val="22"/>
          <w:szCs w:val="22"/>
        </w:rPr>
        <w:t xml:space="preserve"> </w:t>
      </w:r>
      <w:r>
        <w:rPr>
          <w:rStyle w:val="Strong"/>
          <w:rFonts w:ascii="Lucida Bright" w:hAnsi="Lucida Bright"/>
          <w:b w:val="0"/>
          <w:sz w:val="22"/>
          <w:szCs w:val="22"/>
        </w:rPr>
        <w:t>Michael Wilhoit</w:t>
      </w:r>
      <w:r w:rsidRPr="007E5D71">
        <w:rPr>
          <w:rStyle w:val="Strong"/>
          <w:rFonts w:ascii="Lucida Bright" w:hAnsi="Lucida Bright"/>
          <w:b w:val="0"/>
          <w:sz w:val="22"/>
          <w:szCs w:val="22"/>
        </w:rPr>
        <w:t xml:space="preserve">, </w:t>
      </w:r>
      <w:r>
        <w:rPr>
          <w:rStyle w:val="Strong"/>
          <w:rFonts w:ascii="Lucida Bright" w:hAnsi="Lucida Bright"/>
          <w:b w:val="0"/>
          <w:sz w:val="22"/>
          <w:szCs w:val="22"/>
        </w:rPr>
        <w:t xml:space="preserve">Air Permits Division, </w:t>
      </w:r>
      <w:r w:rsidRPr="007E5D71">
        <w:rPr>
          <w:rStyle w:val="Strong"/>
          <w:rFonts w:ascii="Lucida Bright" w:hAnsi="Lucida Bright"/>
          <w:b w:val="0"/>
          <w:sz w:val="22"/>
          <w:szCs w:val="22"/>
        </w:rPr>
        <w:t>Office of Air</w:t>
      </w:r>
    </w:p>
    <w:p w14:paraId="603AC7B5" w14:textId="77777777" w:rsidR="00C21680" w:rsidRPr="00B02CD3" w:rsidRDefault="00C21680" w:rsidP="00C21680">
      <w:pPr>
        <w:rPr>
          <w:rFonts w:ascii="Lucida Bright" w:hAnsi="Lucida Bright"/>
          <w:sz w:val="22"/>
          <w:szCs w:val="22"/>
        </w:rPr>
      </w:pPr>
    </w:p>
    <w:p w14:paraId="4A0C44AB" w14:textId="7276B7F8" w:rsidR="00C21680" w:rsidRPr="00B02CD3" w:rsidRDefault="00DA4BA8" w:rsidP="00C21680">
      <w:pPr>
        <w:rPr>
          <w:rFonts w:ascii="Lucida Bright" w:hAnsi="Lucida Bright"/>
          <w:sz w:val="22"/>
          <w:szCs w:val="22"/>
        </w:rPr>
      </w:pPr>
      <w:r w:rsidRPr="00B02CD3">
        <w:rPr>
          <w:rStyle w:val="Strong"/>
          <w:rFonts w:ascii="Lucida Bright" w:hAnsi="Lucida Bright"/>
          <w:sz w:val="22"/>
          <w:szCs w:val="22"/>
        </w:rPr>
        <w:t>Office of Legal Services</w:t>
      </w:r>
      <w:r w:rsidR="00C21680" w:rsidRPr="00B02CD3">
        <w:rPr>
          <w:rStyle w:val="Strong"/>
          <w:rFonts w:ascii="Lucida Bright" w:hAnsi="Lucida Bright"/>
          <w:sz w:val="22"/>
          <w:szCs w:val="22"/>
        </w:rPr>
        <w:t>:</w:t>
      </w:r>
      <w:r w:rsidR="007B00E2">
        <w:rPr>
          <w:rStyle w:val="Strong"/>
          <w:rFonts w:ascii="Lucida Bright" w:hAnsi="Lucida Bright"/>
          <w:sz w:val="22"/>
          <w:szCs w:val="22"/>
        </w:rPr>
        <w:t xml:space="preserve"> </w:t>
      </w:r>
      <w:r w:rsidR="004B0830">
        <w:rPr>
          <w:rStyle w:val="Strong"/>
          <w:rFonts w:ascii="Lucida Bright" w:hAnsi="Lucida Bright"/>
          <w:b w:val="0"/>
          <w:sz w:val="22"/>
          <w:szCs w:val="22"/>
        </w:rPr>
        <w:t>Booker Harrison</w:t>
      </w:r>
      <w:r w:rsidR="00AF2AEB" w:rsidRPr="00AF2AEB">
        <w:rPr>
          <w:rFonts w:ascii="Lucida Bright" w:hAnsi="Lucida Bright"/>
          <w:sz w:val="22"/>
          <w:szCs w:val="22"/>
        </w:rPr>
        <w:t>,</w:t>
      </w:r>
      <w:r w:rsidR="004F4503" w:rsidRPr="00B02CD3">
        <w:rPr>
          <w:rFonts w:ascii="Lucida Bright" w:hAnsi="Lucida Bright"/>
          <w:sz w:val="22"/>
          <w:szCs w:val="22"/>
        </w:rPr>
        <w:t xml:space="preserve"> Environmental Law Division</w:t>
      </w:r>
    </w:p>
    <w:p w14:paraId="53B33839" w14:textId="77777777" w:rsidR="00C21680" w:rsidRPr="00B02CD3" w:rsidRDefault="00C21680" w:rsidP="00C21680">
      <w:pPr>
        <w:rPr>
          <w:rFonts w:ascii="Lucida Bright" w:hAnsi="Lucida Bright"/>
          <w:sz w:val="22"/>
          <w:szCs w:val="22"/>
        </w:rPr>
      </w:pPr>
    </w:p>
    <w:p w14:paraId="1D80D653" w14:textId="588F35DE" w:rsidR="00C21680" w:rsidRPr="00B02CD3" w:rsidRDefault="00DA4BA8" w:rsidP="00C21680">
      <w:pPr>
        <w:rPr>
          <w:rFonts w:ascii="Lucida Bright" w:hAnsi="Lucida Bright"/>
          <w:sz w:val="22"/>
          <w:szCs w:val="22"/>
        </w:rPr>
      </w:pPr>
      <w:r w:rsidRPr="00B02CD3">
        <w:rPr>
          <w:rStyle w:val="Strong"/>
          <w:rFonts w:ascii="Lucida Bright" w:hAnsi="Lucida Bright"/>
          <w:sz w:val="22"/>
          <w:szCs w:val="22"/>
        </w:rPr>
        <w:t>Deputy Director Approval</w:t>
      </w:r>
      <w:r w:rsidR="00C21680" w:rsidRPr="00B02CD3">
        <w:rPr>
          <w:rStyle w:val="Strong"/>
          <w:rFonts w:ascii="Lucida Bright" w:hAnsi="Lucida Bright"/>
          <w:sz w:val="22"/>
          <w:szCs w:val="22"/>
        </w:rPr>
        <w:t>:</w:t>
      </w:r>
      <w:r w:rsidR="004F4503" w:rsidRPr="00B02CD3">
        <w:rPr>
          <w:rStyle w:val="Strong"/>
          <w:rFonts w:ascii="Lucida Bright" w:hAnsi="Lucida Bright"/>
          <w:sz w:val="22"/>
          <w:szCs w:val="22"/>
        </w:rPr>
        <w:t xml:space="preserve"> </w:t>
      </w:r>
      <w:r w:rsidR="009508E1" w:rsidRPr="00B02CD3">
        <w:rPr>
          <w:rStyle w:val="Strong"/>
          <w:rFonts w:ascii="Lucida Bright" w:hAnsi="Lucida Bright"/>
          <w:b w:val="0"/>
          <w:sz w:val="22"/>
          <w:szCs w:val="22"/>
        </w:rPr>
        <w:t>Steve Hagle</w:t>
      </w:r>
      <w:r w:rsidR="004F4503" w:rsidRPr="00B02CD3">
        <w:rPr>
          <w:rStyle w:val="Strong"/>
          <w:rFonts w:ascii="Lucida Bright" w:hAnsi="Lucida Bright"/>
          <w:b w:val="0"/>
          <w:sz w:val="22"/>
          <w:szCs w:val="22"/>
        </w:rPr>
        <w:t>, P.E.</w:t>
      </w:r>
      <w:r w:rsidR="00332CC5">
        <w:rPr>
          <w:rStyle w:val="Strong"/>
          <w:rFonts w:ascii="Lucida Bright" w:hAnsi="Lucida Bright"/>
          <w:b w:val="0"/>
          <w:sz w:val="22"/>
          <w:szCs w:val="22"/>
        </w:rPr>
        <w:t>, Office of Air</w:t>
      </w:r>
    </w:p>
    <w:p w14:paraId="72AAEC0A" w14:textId="77777777" w:rsidR="00C21680" w:rsidRPr="00B02CD3" w:rsidRDefault="00C21680" w:rsidP="00C21680">
      <w:pPr>
        <w:rPr>
          <w:rFonts w:ascii="Lucida Bright" w:hAnsi="Lucida Bright"/>
          <w:sz w:val="22"/>
          <w:szCs w:val="22"/>
        </w:rPr>
      </w:pPr>
    </w:p>
    <w:p w14:paraId="62EE1029" w14:textId="0E3D2DA8" w:rsidR="00971E10" w:rsidRPr="00B02CD3" w:rsidRDefault="00DA4BA8" w:rsidP="00C21680">
      <w:pPr>
        <w:rPr>
          <w:rFonts w:ascii="Lucida Bright" w:hAnsi="Lucida Bright"/>
          <w:sz w:val="22"/>
          <w:szCs w:val="22"/>
        </w:rPr>
      </w:pPr>
      <w:r w:rsidRPr="00100843">
        <w:rPr>
          <w:rStyle w:val="Strong"/>
          <w:rFonts w:ascii="Lucida Bright" w:hAnsi="Lucida Bright"/>
          <w:sz w:val="22"/>
          <w:szCs w:val="22"/>
        </w:rPr>
        <w:t>Deadline</w:t>
      </w:r>
      <w:r w:rsidR="006800B8" w:rsidRPr="00100843">
        <w:rPr>
          <w:rStyle w:val="Strong"/>
          <w:rFonts w:ascii="Lucida Bright" w:hAnsi="Lucida Bright"/>
          <w:sz w:val="22"/>
          <w:szCs w:val="22"/>
        </w:rPr>
        <w:t xml:space="preserve"> (Submittal Due Date)</w:t>
      </w:r>
      <w:r w:rsidR="00C21680" w:rsidRPr="00100843">
        <w:rPr>
          <w:rStyle w:val="Strong"/>
          <w:rFonts w:ascii="Lucida Bright" w:hAnsi="Lucida Bright"/>
          <w:sz w:val="22"/>
          <w:szCs w:val="22"/>
        </w:rPr>
        <w:t>:</w:t>
      </w:r>
      <w:r w:rsidR="007B00E2" w:rsidRPr="00100843">
        <w:rPr>
          <w:rStyle w:val="Strong"/>
          <w:rFonts w:ascii="Lucida Bright" w:hAnsi="Lucida Bright"/>
          <w:sz w:val="22"/>
          <w:szCs w:val="22"/>
        </w:rPr>
        <w:t xml:space="preserve"> </w:t>
      </w:r>
      <w:r w:rsidR="00100843" w:rsidRPr="00100843">
        <w:rPr>
          <w:rStyle w:val="Strong"/>
          <w:rFonts w:ascii="Lucida Bright" w:hAnsi="Lucida Bright"/>
          <w:b w:val="0"/>
          <w:sz w:val="22"/>
          <w:szCs w:val="22"/>
        </w:rPr>
        <w:t>December</w:t>
      </w:r>
      <w:r w:rsidR="00D84601" w:rsidRPr="00100843">
        <w:rPr>
          <w:rStyle w:val="Strong"/>
          <w:rFonts w:ascii="Lucida Bright" w:hAnsi="Lucida Bright"/>
          <w:b w:val="0"/>
          <w:sz w:val="22"/>
          <w:szCs w:val="22"/>
        </w:rPr>
        <w:t xml:space="preserve"> </w:t>
      </w:r>
      <w:r w:rsidR="00100843" w:rsidRPr="00100843">
        <w:rPr>
          <w:rStyle w:val="Strong"/>
          <w:rFonts w:ascii="Lucida Bright" w:hAnsi="Lucida Bright"/>
          <w:b w:val="0"/>
          <w:sz w:val="22"/>
          <w:szCs w:val="22"/>
        </w:rPr>
        <w:t>17</w:t>
      </w:r>
      <w:r w:rsidR="006C7AC0" w:rsidRPr="00100843">
        <w:rPr>
          <w:rFonts w:ascii="Lucida Bright" w:hAnsi="Lucida Bright"/>
          <w:sz w:val="22"/>
          <w:szCs w:val="22"/>
        </w:rPr>
        <w:t>, 2018</w:t>
      </w:r>
    </w:p>
    <w:sectPr w:rsidR="00971E10" w:rsidRPr="00B02CD3" w:rsidSect="00BC7F91">
      <w:footerReference w:type="default" r:id="rId8"/>
      <w:pgSz w:w="12240" w:h="15840"/>
      <w:pgMar w:top="1440" w:right="1440" w:bottom="1440" w:left="1440" w:header="1008"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83BF2" w14:textId="77777777" w:rsidR="0072447E" w:rsidRDefault="0072447E">
      <w:r>
        <w:separator/>
      </w:r>
    </w:p>
  </w:endnote>
  <w:endnote w:type="continuationSeparator" w:id="0">
    <w:p w14:paraId="52CB9D13" w14:textId="77777777" w:rsidR="0072447E" w:rsidRDefault="0072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B1D7" w14:textId="77777777" w:rsidR="00BC7F91" w:rsidRDefault="00BC7F91">
    <w:pPr>
      <w:rPr>
        <w:rFonts w:ascii="Georgia" w:hAnsi="Georgia" w:cs="Tahoma"/>
        <w:sz w:val="16"/>
        <w:szCs w:val="16"/>
      </w:rPr>
    </w:pPr>
  </w:p>
  <w:p w14:paraId="34FF6A09" w14:textId="77777777" w:rsidR="00BC7F91" w:rsidRDefault="00BC7F91">
    <w:pPr>
      <w:rPr>
        <w:rFonts w:ascii="Georgia" w:hAnsi="Georgia" w:cs="Tahoma"/>
        <w:sz w:val="16"/>
        <w:szCs w:val="16"/>
      </w:rPr>
    </w:pPr>
  </w:p>
  <w:p w14:paraId="4593A885" w14:textId="72AFDB50" w:rsidR="00971E10" w:rsidRPr="00BC7F91" w:rsidRDefault="00971E10">
    <w:pPr>
      <w:rPr>
        <w:rFonts w:ascii="Georgia" w:hAnsi="Georgia"/>
        <w:sz w:val="20"/>
        <w:szCs w:val="20"/>
      </w:rPr>
    </w:pPr>
    <w:r w:rsidRPr="00BC7F91">
      <w:rPr>
        <w:rFonts w:ascii="Georgia" w:hAnsi="Georgia" w:cs="Tahoma"/>
        <w:sz w:val="20"/>
        <w:szCs w:val="20"/>
      </w:rPr>
      <w:t xml:space="preserve">TCEQ 20374 (Rev. </w:t>
    </w:r>
    <w:r w:rsidR="00B02E65" w:rsidRPr="00BC7F91">
      <w:rPr>
        <w:rFonts w:ascii="Georgia" w:hAnsi="Georgia" w:cs="Tahoma"/>
        <w:sz w:val="20"/>
        <w:szCs w:val="20"/>
      </w:rPr>
      <w:t>1</w:t>
    </w:r>
    <w:r w:rsidRPr="00BC7F91">
      <w:rPr>
        <w:rFonts w:ascii="Georgia" w:hAnsi="Georgia" w:cs="Tahoma"/>
        <w:sz w:val="20"/>
        <w:szCs w:val="20"/>
      </w:rPr>
      <w:t>/20</w:t>
    </w:r>
    <w:r w:rsidR="00B02E65" w:rsidRPr="00BC7F91">
      <w:rPr>
        <w:rFonts w:ascii="Georgia" w:hAnsi="Georgia" w:cs="Tahoma"/>
        <w:sz w:val="20"/>
        <w:szCs w:val="20"/>
      </w:rPr>
      <w:t>11</w:t>
    </w:r>
    <w:r w:rsidR="00BC7F91" w:rsidRPr="00BC7F91">
      <w:rPr>
        <w:rFonts w:ascii="Georgia" w:hAnsi="Georgia" w:cs="Tahoma"/>
        <w:sz w:val="20"/>
        <w:szCs w:val="20"/>
      </w:rPr>
      <w:t>)</w:t>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00BC7F91" w:rsidRPr="00BC7F91">
      <w:rPr>
        <w:rFonts w:ascii="Georgia" w:hAnsi="Georgia" w:cs="Tahoma"/>
        <w:sz w:val="20"/>
        <w:szCs w:val="20"/>
      </w:rPr>
      <w:tab/>
    </w:r>
    <w:r w:rsidRPr="00BC7F91">
      <w:rPr>
        <w:rFonts w:ascii="Georgia" w:hAnsi="Georgia" w:cs="Tahoma"/>
        <w:sz w:val="20"/>
        <w:szCs w:val="20"/>
      </w:rPr>
      <w:t xml:space="preserve">Page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PAGE </w:instrText>
    </w:r>
    <w:r w:rsidR="000D0959" w:rsidRPr="00BC7F91">
      <w:rPr>
        <w:rStyle w:val="PageNumber"/>
        <w:rFonts w:ascii="Georgia" w:hAnsi="Georgia"/>
        <w:sz w:val="20"/>
        <w:szCs w:val="20"/>
      </w:rPr>
      <w:fldChar w:fldCharType="separate"/>
    </w:r>
    <w:r w:rsidR="00210FD6">
      <w:rPr>
        <w:rStyle w:val="PageNumber"/>
        <w:rFonts w:ascii="Georgia" w:hAnsi="Georgia"/>
        <w:noProof/>
        <w:sz w:val="20"/>
        <w:szCs w:val="20"/>
      </w:rPr>
      <w:t>2</w:t>
    </w:r>
    <w:r w:rsidR="000D0959" w:rsidRPr="00BC7F91">
      <w:rPr>
        <w:rStyle w:val="PageNumber"/>
        <w:rFonts w:ascii="Georgia" w:hAnsi="Georgia"/>
        <w:sz w:val="20"/>
        <w:szCs w:val="20"/>
      </w:rPr>
      <w:fldChar w:fldCharType="end"/>
    </w:r>
    <w:r w:rsidRPr="00BC7F91">
      <w:rPr>
        <w:rStyle w:val="PageNumber"/>
        <w:rFonts w:ascii="Georgia" w:hAnsi="Georgia"/>
        <w:sz w:val="20"/>
        <w:szCs w:val="20"/>
      </w:rPr>
      <w:t xml:space="preserve"> of </w:t>
    </w:r>
    <w:r w:rsidR="000D0959" w:rsidRPr="00BC7F91">
      <w:rPr>
        <w:rStyle w:val="PageNumber"/>
        <w:rFonts w:ascii="Georgia" w:hAnsi="Georgia"/>
        <w:sz w:val="20"/>
        <w:szCs w:val="20"/>
      </w:rPr>
      <w:fldChar w:fldCharType="begin"/>
    </w:r>
    <w:r w:rsidRPr="00BC7F91">
      <w:rPr>
        <w:rStyle w:val="PageNumber"/>
        <w:rFonts w:ascii="Georgia" w:hAnsi="Georgia"/>
        <w:sz w:val="20"/>
        <w:szCs w:val="20"/>
      </w:rPr>
      <w:instrText xml:space="preserve"> NUMPAGES </w:instrText>
    </w:r>
    <w:r w:rsidR="000D0959" w:rsidRPr="00BC7F91">
      <w:rPr>
        <w:rStyle w:val="PageNumber"/>
        <w:rFonts w:ascii="Georgia" w:hAnsi="Georgia"/>
        <w:sz w:val="20"/>
        <w:szCs w:val="20"/>
      </w:rPr>
      <w:fldChar w:fldCharType="separate"/>
    </w:r>
    <w:r w:rsidR="00210FD6">
      <w:rPr>
        <w:rStyle w:val="PageNumber"/>
        <w:rFonts w:ascii="Georgia" w:hAnsi="Georgia"/>
        <w:noProof/>
        <w:sz w:val="20"/>
        <w:szCs w:val="20"/>
      </w:rPr>
      <w:t>2</w:t>
    </w:r>
    <w:r w:rsidR="000D0959" w:rsidRPr="00BC7F91">
      <w:rPr>
        <w:rStyle w:val="PageNumber"/>
        <w:rFonts w:ascii="Georgia" w:hAnsi="Georgi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166D" w14:textId="77777777" w:rsidR="0072447E" w:rsidRDefault="0072447E">
      <w:r>
        <w:separator/>
      </w:r>
    </w:p>
  </w:footnote>
  <w:footnote w:type="continuationSeparator" w:id="0">
    <w:p w14:paraId="09E2B52C" w14:textId="77777777" w:rsidR="0072447E" w:rsidRDefault="0072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77A933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2261CDA"/>
    <w:multiLevelType w:val="hybridMultilevel"/>
    <w:tmpl w:val="FF5E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0670A"/>
    <w:multiLevelType w:val="hybridMultilevel"/>
    <w:tmpl w:val="9020C09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3F"/>
    <w:rsid w:val="0000372A"/>
    <w:rsid w:val="00007C27"/>
    <w:rsid w:val="00025F39"/>
    <w:rsid w:val="00026D74"/>
    <w:rsid w:val="0002715B"/>
    <w:rsid w:val="00027864"/>
    <w:rsid w:val="0003094B"/>
    <w:rsid w:val="00036AFA"/>
    <w:rsid w:val="000470B1"/>
    <w:rsid w:val="00054195"/>
    <w:rsid w:val="000613A9"/>
    <w:rsid w:val="0006671E"/>
    <w:rsid w:val="00067562"/>
    <w:rsid w:val="00074AF2"/>
    <w:rsid w:val="00081A75"/>
    <w:rsid w:val="00087DD2"/>
    <w:rsid w:val="00097CDD"/>
    <w:rsid w:val="000A451E"/>
    <w:rsid w:val="000B773F"/>
    <w:rsid w:val="000D0959"/>
    <w:rsid w:val="000D528E"/>
    <w:rsid w:val="000E3759"/>
    <w:rsid w:val="000E4FDC"/>
    <w:rsid w:val="000F14C0"/>
    <w:rsid w:val="000F312B"/>
    <w:rsid w:val="00100843"/>
    <w:rsid w:val="0010303F"/>
    <w:rsid w:val="00103F6E"/>
    <w:rsid w:val="00104596"/>
    <w:rsid w:val="00120A98"/>
    <w:rsid w:val="001362A0"/>
    <w:rsid w:val="00136CD7"/>
    <w:rsid w:val="001508CD"/>
    <w:rsid w:val="00155F25"/>
    <w:rsid w:val="00165C5C"/>
    <w:rsid w:val="00187E2A"/>
    <w:rsid w:val="00195174"/>
    <w:rsid w:val="001A43E1"/>
    <w:rsid w:val="001A7C93"/>
    <w:rsid w:val="001B52A2"/>
    <w:rsid w:val="001E5479"/>
    <w:rsid w:val="00203615"/>
    <w:rsid w:val="00210FD6"/>
    <w:rsid w:val="0021557A"/>
    <w:rsid w:val="00222D23"/>
    <w:rsid w:val="002404EB"/>
    <w:rsid w:val="00240980"/>
    <w:rsid w:val="00250C63"/>
    <w:rsid w:val="00255A36"/>
    <w:rsid w:val="00261F8B"/>
    <w:rsid w:val="002646FD"/>
    <w:rsid w:val="00264C41"/>
    <w:rsid w:val="00274751"/>
    <w:rsid w:val="00281CA0"/>
    <w:rsid w:val="00292B3D"/>
    <w:rsid w:val="0029448A"/>
    <w:rsid w:val="002945EF"/>
    <w:rsid w:val="002B1AF8"/>
    <w:rsid w:val="002B68DF"/>
    <w:rsid w:val="002C2372"/>
    <w:rsid w:val="002E1660"/>
    <w:rsid w:val="002E4815"/>
    <w:rsid w:val="002E5467"/>
    <w:rsid w:val="00313FD3"/>
    <w:rsid w:val="003218CF"/>
    <w:rsid w:val="0033098B"/>
    <w:rsid w:val="00330A59"/>
    <w:rsid w:val="00332CC5"/>
    <w:rsid w:val="003415A2"/>
    <w:rsid w:val="00344DF3"/>
    <w:rsid w:val="003540A3"/>
    <w:rsid w:val="003847BD"/>
    <w:rsid w:val="003849D6"/>
    <w:rsid w:val="00396E4A"/>
    <w:rsid w:val="0039737C"/>
    <w:rsid w:val="003A194A"/>
    <w:rsid w:val="003C2A97"/>
    <w:rsid w:val="003D1C1C"/>
    <w:rsid w:val="003E7802"/>
    <w:rsid w:val="00410ADF"/>
    <w:rsid w:val="00425301"/>
    <w:rsid w:val="00434823"/>
    <w:rsid w:val="00447F05"/>
    <w:rsid w:val="004662A9"/>
    <w:rsid w:val="00491559"/>
    <w:rsid w:val="004A7101"/>
    <w:rsid w:val="004B0830"/>
    <w:rsid w:val="004E5E58"/>
    <w:rsid w:val="004F4503"/>
    <w:rsid w:val="00500636"/>
    <w:rsid w:val="005047F9"/>
    <w:rsid w:val="005048B5"/>
    <w:rsid w:val="00530C5B"/>
    <w:rsid w:val="005314BB"/>
    <w:rsid w:val="00532167"/>
    <w:rsid w:val="0053293D"/>
    <w:rsid w:val="00553D4F"/>
    <w:rsid w:val="00562B46"/>
    <w:rsid w:val="0057696A"/>
    <w:rsid w:val="00583686"/>
    <w:rsid w:val="00586610"/>
    <w:rsid w:val="005879BE"/>
    <w:rsid w:val="00587FF9"/>
    <w:rsid w:val="0059298D"/>
    <w:rsid w:val="00594703"/>
    <w:rsid w:val="005A77A9"/>
    <w:rsid w:val="005D0DF5"/>
    <w:rsid w:val="005E11F2"/>
    <w:rsid w:val="005E5D41"/>
    <w:rsid w:val="005E60E9"/>
    <w:rsid w:val="00612423"/>
    <w:rsid w:val="00641B16"/>
    <w:rsid w:val="0065100D"/>
    <w:rsid w:val="00665F7A"/>
    <w:rsid w:val="00667D35"/>
    <w:rsid w:val="00673370"/>
    <w:rsid w:val="006800B8"/>
    <w:rsid w:val="0068360D"/>
    <w:rsid w:val="00684FED"/>
    <w:rsid w:val="006A7C58"/>
    <w:rsid w:val="006B2D82"/>
    <w:rsid w:val="006B37B8"/>
    <w:rsid w:val="006C6372"/>
    <w:rsid w:val="006C7AC0"/>
    <w:rsid w:val="006D060D"/>
    <w:rsid w:val="006E3246"/>
    <w:rsid w:val="00715687"/>
    <w:rsid w:val="00717775"/>
    <w:rsid w:val="007215FB"/>
    <w:rsid w:val="0072447E"/>
    <w:rsid w:val="00745CB9"/>
    <w:rsid w:val="00781EB9"/>
    <w:rsid w:val="007B00E2"/>
    <w:rsid w:val="007D2371"/>
    <w:rsid w:val="007D23B4"/>
    <w:rsid w:val="007D2BE5"/>
    <w:rsid w:val="007E0459"/>
    <w:rsid w:val="007E7A27"/>
    <w:rsid w:val="007F7912"/>
    <w:rsid w:val="008063E9"/>
    <w:rsid w:val="00815985"/>
    <w:rsid w:val="00817270"/>
    <w:rsid w:val="008406FA"/>
    <w:rsid w:val="008521BD"/>
    <w:rsid w:val="008609DD"/>
    <w:rsid w:val="00865429"/>
    <w:rsid w:val="00866A7B"/>
    <w:rsid w:val="008A28C1"/>
    <w:rsid w:val="008A694C"/>
    <w:rsid w:val="008C1D46"/>
    <w:rsid w:val="008C7D94"/>
    <w:rsid w:val="008E2BBC"/>
    <w:rsid w:val="008F1602"/>
    <w:rsid w:val="0091323B"/>
    <w:rsid w:val="00923CA1"/>
    <w:rsid w:val="0092593F"/>
    <w:rsid w:val="00936F01"/>
    <w:rsid w:val="009508E1"/>
    <w:rsid w:val="00971E10"/>
    <w:rsid w:val="009764F3"/>
    <w:rsid w:val="0098083C"/>
    <w:rsid w:val="00981500"/>
    <w:rsid w:val="00990AD7"/>
    <w:rsid w:val="0099496B"/>
    <w:rsid w:val="009C11EF"/>
    <w:rsid w:val="009C213C"/>
    <w:rsid w:val="009C6B21"/>
    <w:rsid w:val="009C771F"/>
    <w:rsid w:val="009C7C17"/>
    <w:rsid w:val="009D1449"/>
    <w:rsid w:val="009D41CD"/>
    <w:rsid w:val="009D703C"/>
    <w:rsid w:val="009F794E"/>
    <w:rsid w:val="00A34F4A"/>
    <w:rsid w:val="00A377B4"/>
    <w:rsid w:val="00A409D7"/>
    <w:rsid w:val="00A44983"/>
    <w:rsid w:val="00A52063"/>
    <w:rsid w:val="00A55362"/>
    <w:rsid w:val="00A92979"/>
    <w:rsid w:val="00A97B70"/>
    <w:rsid w:val="00AA41AD"/>
    <w:rsid w:val="00AD2E8B"/>
    <w:rsid w:val="00AE00C5"/>
    <w:rsid w:val="00AF2AEB"/>
    <w:rsid w:val="00B00612"/>
    <w:rsid w:val="00B00EB6"/>
    <w:rsid w:val="00B02CD3"/>
    <w:rsid w:val="00B02E65"/>
    <w:rsid w:val="00B05D28"/>
    <w:rsid w:val="00B0690A"/>
    <w:rsid w:val="00B11736"/>
    <w:rsid w:val="00B26950"/>
    <w:rsid w:val="00B35D93"/>
    <w:rsid w:val="00B36EB0"/>
    <w:rsid w:val="00B40128"/>
    <w:rsid w:val="00B4215B"/>
    <w:rsid w:val="00B4781D"/>
    <w:rsid w:val="00B500A8"/>
    <w:rsid w:val="00B5071C"/>
    <w:rsid w:val="00B51D18"/>
    <w:rsid w:val="00B57CBE"/>
    <w:rsid w:val="00B845D9"/>
    <w:rsid w:val="00BC7F91"/>
    <w:rsid w:val="00BD12E9"/>
    <w:rsid w:val="00BE2799"/>
    <w:rsid w:val="00BE3206"/>
    <w:rsid w:val="00BF339A"/>
    <w:rsid w:val="00C012CA"/>
    <w:rsid w:val="00C21680"/>
    <w:rsid w:val="00C60D79"/>
    <w:rsid w:val="00C70402"/>
    <w:rsid w:val="00C746D8"/>
    <w:rsid w:val="00CA4C9E"/>
    <w:rsid w:val="00CC4F6A"/>
    <w:rsid w:val="00CE67F4"/>
    <w:rsid w:val="00D32565"/>
    <w:rsid w:val="00D43938"/>
    <w:rsid w:val="00D46BE6"/>
    <w:rsid w:val="00D47E7D"/>
    <w:rsid w:val="00D52E09"/>
    <w:rsid w:val="00D54785"/>
    <w:rsid w:val="00D57DB0"/>
    <w:rsid w:val="00D608E8"/>
    <w:rsid w:val="00D672D0"/>
    <w:rsid w:val="00D834C8"/>
    <w:rsid w:val="00D84601"/>
    <w:rsid w:val="00D87CB8"/>
    <w:rsid w:val="00DA4BA8"/>
    <w:rsid w:val="00DC640F"/>
    <w:rsid w:val="00DE06A8"/>
    <w:rsid w:val="00DE3317"/>
    <w:rsid w:val="00DE387B"/>
    <w:rsid w:val="00DE7BD8"/>
    <w:rsid w:val="00DF73AB"/>
    <w:rsid w:val="00E12233"/>
    <w:rsid w:val="00E33DD5"/>
    <w:rsid w:val="00E361DA"/>
    <w:rsid w:val="00E41F04"/>
    <w:rsid w:val="00E45090"/>
    <w:rsid w:val="00E61469"/>
    <w:rsid w:val="00E64E02"/>
    <w:rsid w:val="00E65A7C"/>
    <w:rsid w:val="00E72853"/>
    <w:rsid w:val="00EA608A"/>
    <w:rsid w:val="00EB5057"/>
    <w:rsid w:val="00EC21A4"/>
    <w:rsid w:val="00EC6F43"/>
    <w:rsid w:val="00ED11B1"/>
    <w:rsid w:val="00EE0D2B"/>
    <w:rsid w:val="00EE1642"/>
    <w:rsid w:val="00F06E9C"/>
    <w:rsid w:val="00F07570"/>
    <w:rsid w:val="00F22AE2"/>
    <w:rsid w:val="00F23FE2"/>
    <w:rsid w:val="00F3199D"/>
    <w:rsid w:val="00F33197"/>
    <w:rsid w:val="00F34460"/>
    <w:rsid w:val="00F806B9"/>
    <w:rsid w:val="00F80E67"/>
    <w:rsid w:val="00F81DA7"/>
    <w:rsid w:val="00F838A3"/>
    <w:rsid w:val="00F95DB1"/>
    <w:rsid w:val="00FB6233"/>
    <w:rsid w:val="00FC7FD3"/>
    <w:rsid w:val="00FE4A5A"/>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3BC1891"/>
  <w15:docId w15:val="{CF982828-9393-4456-9D58-C9A29CA8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098B"/>
    <w:pPr>
      <w:widowControl w:val="0"/>
      <w:autoSpaceDE w:val="0"/>
      <w:autoSpaceDN w:val="0"/>
      <w:adjustRightInd w:val="0"/>
    </w:pPr>
    <w:rPr>
      <w:sz w:val="24"/>
      <w:szCs w:val="24"/>
    </w:rPr>
  </w:style>
  <w:style w:type="paragraph" w:styleId="Heading1">
    <w:name w:val="heading 1"/>
    <w:basedOn w:val="Normal"/>
    <w:next w:val="Normal"/>
    <w:link w:val="Heading1Char"/>
    <w:qFormat/>
    <w:rsid w:val="000B773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377B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F450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A409D7"/>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4F4503"/>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098B"/>
  </w:style>
  <w:style w:type="paragraph" w:styleId="Header">
    <w:name w:val="header"/>
    <w:basedOn w:val="Normal"/>
    <w:rsid w:val="0033098B"/>
    <w:pPr>
      <w:tabs>
        <w:tab w:val="center" w:pos="4320"/>
        <w:tab w:val="right" w:pos="8640"/>
      </w:tabs>
    </w:pPr>
  </w:style>
  <w:style w:type="paragraph" w:styleId="Footer">
    <w:name w:val="footer"/>
    <w:basedOn w:val="Normal"/>
    <w:rsid w:val="0033098B"/>
    <w:pPr>
      <w:tabs>
        <w:tab w:val="center" w:pos="4320"/>
        <w:tab w:val="right" w:pos="8640"/>
      </w:tabs>
    </w:pPr>
  </w:style>
  <w:style w:type="character" w:styleId="PageNumber">
    <w:name w:val="page number"/>
    <w:basedOn w:val="DefaultParagraphFont"/>
    <w:rsid w:val="0033098B"/>
  </w:style>
  <w:style w:type="character" w:customStyle="1" w:styleId="Heading1Char">
    <w:name w:val="Heading 1 Char"/>
    <w:link w:val="Heading1"/>
    <w:rsid w:val="000B773F"/>
    <w:rPr>
      <w:rFonts w:ascii="Cambria" w:eastAsia="Times New Roman" w:hAnsi="Cambria" w:cs="Times New Roman"/>
      <w:b/>
      <w:bCs/>
      <w:kern w:val="32"/>
      <w:sz w:val="32"/>
      <w:szCs w:val="32"/>
    </w:rPr>
  </w:style>
  <w:style w:type="character" w:styleId="Strong">
    <w:name w:val="Strong"/>
    <w:qFormat/>
    <w:rsid w:val="000B773F"/>
    <w:rPr>
      <w:b/>
      <w:bCs/>
    </w:rPr>
  </w:style>
  <w:style w:type="table" w:styleId="TableGrid">
    <w:name w:val="Table Grid"/>
    <w:basedOn w:val="TableNormal"/>
    <w:rsid w:val="00C21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qFormat/>
    <w:rsid w:val="00A377B4"/>
    <w:rPr>
      <w:rFonts w:ascii="Georgia" w:hAnsi="Georgia"/>
    </w:rPr>
  </w:style>
  <w:style w:type="paragraph" w:customStyle="1" w:styleId="Style2">
    <w:name w:val="Style2"/>
    <w:basedOn w:val="Heading2"/>
    <w:qFormat/>
    <w:rsid w:val="00A377B4"/>
    <w:rPr>
      <w:i w:val="0"/>
      <w:iCs w:val="0"/>
      <w:sz w:val="24"/>
    </w:rPr>
  </w:style>
  <w:style w:type="character" w:customStyle="1" w:styleId="Heading2Char">
    <w:name w:val="Heading 2 Char"/>
    <w:link w:val="Heading2"/>
    <w:semiHidden/>
    <w:rsid w:val="00A377B4"/>
    <w:rPr>
      <w:rFonts w:ascii="Cambria" w:eastAsia="Times New Roman" w:hAnsi="Cambria" w:cs="Times New Roman"/>
      <w:b/>
      <w:bCs/>
      <w:i/>
      <w:iCs/>
      <w:sz w:val="28"/>
      <w:szCs w:val="28"/>
    </w:rPr>
  </w:style>
  <w:style w:type="paragraph" w:customStyle="1" w:styleId="Style3">
    <w:name w:val="Style3"/>
    <w:basedOn w:val="Heading2"/>
    <w:qFormat/>
    <w:rsid w:val="00DA4BA8"/>
    <w:rPr>
      <w:rFonts w:ascii="Georgia" w:hAnsi="Georgia"/>
      <w:iCs w:val="0"/>
    </w:rPr>
  </w:style>
  <w:style w:type="character" w:customStyle="1" w:styleId="Heading3Char">
    <w:name w:val="Heading 3 Char"/>
    <w:link w:val="Heading3"/>
    <w:rsid w:val="004F4503"/>
    <w:rPr>
      <w:rFonts w:ascii="Cambria" w:hAnsi="Cambria"/>
      <w:b/>
      <w:bCs/>
      <w:sz w:val="26"/>
      <w:szCs w:val="26"/>
    </w:rPr>
  </w:style>
  <w:style w:type="character" w:customStyle="1" w:styleId="Heading5Char">
    <w:name w:val="Heading 5 Char"/>
    <w:link w:val="Heading5"/>
    <w:rsid w:val="004F4503"/>
    <w:rPr>
      <w:rFonts w:ascii="Calibri" w:hAnsi="Calibri"/>
      <w:b/>
      <w:bCs/>
      <w:i/>
      <w:iCs/>
      <w:sz w:val="26"/>
      <w:szCs w:val="26"/>
    </w:rPr>
  </w:style>
  <w:style w:type="paragraph" w:styleId="BodyText">
    <w:name w:val="Body Text"/>
    <w:link w:val="BodyTextChar"/>
    <w:uiPriority w:val="99"/>
    <w:qFormat/>
    <w:rsid w:val="004F4503"/>
    <w:pPr>
      <w:spacing w:after="240"/>
    </w:pPr>
    <w:rPr>
      <w:rFonts w:ascii="Georgia" w:hAnsi="Georgia"/>
      <w:sz w:val="24"/>
      <w:szCs w:val="24"/>
    </w:rPr>
  </w:style>
  <w:style w:type="character" w:customStyle="1" w:styleId="BodyTextChar">
    <w:name w:val="Body Text Char"/>
    <w:link w:val="BodyText"/>
    <w:uiPriority w:val="99"/>
    <w:rsid w:val="004F4503"/>
    <w:rPr>
      <w:rFonts w:ascii="Georgia" w:hAnsi="Georgia"/>
      <w:sz w:val="24"/>
      <w:szCs w:val="24"/>
      <w:lang w:val="en-US" w:eastAsia="en-US" w:bidi="ar-SA"/>
    </w:rPr>
  </w:style>
  <w:style w:type="character" w:styleId="Emphasis">
    <w:name w:val="Emphasis"/>
    <w:uiPriority w:val="2"/>
    <w:qFormat/>
    <w:rsid w:val="004F4503"/>
    <w:rPr>
      <w:i/>
      <w:iCs/>
    </w:rPr>
  </w:style>
  <w:style w:type="paragraph" w:styleId="ListBullet">
    <w:name w:val="List Bullet"/>
    <w:basedOn w:val="BodyText"/>
    <w:uiPriority w:val="5"/>
    <w:qFormat/>
    <w:rsid w:val="004F4503"/>
    <w:pPr>
      <w:numPr>
        <w:numId w:val="1"/>
      </w:numPr>
      <w:contextualSpacing/>
    </w:pPr>
  </w:style>
  <w:style w:type="character" w:styleId="CommentReference">
    <w:name w:val="annotation reference"/>
    <w:rsid w:val="00532167"/>
    <w:rPr>
      <w:sz w:val="16"/>
      <w:szCs w:val="16"/>
    </w:rPr>
  </w:style>
  <w:style w:type="paragraph" w:styleId="CommentText">
    <w:name w:val="annotation text"/>
    <w:basedOn w:val="Heading2"/>
    <w:link w:val="CommentTextChar"/>
    <w:rsid w:val="00532167"/>
    <w:pPr>
      <w:widowControl/>
      <w:autoSpaceDE/>
      <w:autoSpaceDN/>
      <w:adjustRightInd/>
      <w:spacing w:before="0" w:after="240"/>
      <w:contextualSpacing/>
    </w:pPr>
    <w:rPr>
      <w:rFonts w:ascii="Times New Roman" w:hAnsi="Times New Roman" w:cs="Arial"/>
      <w:b w:val="0"/>
      <w:sz w:val="22"/>
    </w:rPr>
  </w:style>
  <w:style w:type="character" w:customStyle="1" w:styleId="CommentTextChar">
    <w:name w:val="Comment Text Char"/>
    <w:link w:val="CommentText"/>
    <w:rsid w:val="00532167"/>
    <w:rPr>
      <w:rFonts w:cs="Arial"/>
      <w:bCs/>
      <w:i/>
      <w:iCs/>
      <w:sz w:val="22"/>
      <w:szCs w:val="28"/>
    </w:rPr>
  </w:style>
  <w:style w:type="paragraph" w:styleId="BalloonText">
    <w:name w:val="Balloon Text"/>
    <w:basedOn w:val="Normal"/>
    <w:link w:val="BalloonTextChar"/>
    <w:rsid w:val="00532167"/>
    <w:rPr>
      <w:rFonts w:ascii="Tahoma" w:hAnsi="Tahoma" w:cs="Tahoma"/>
      <w:sz w:val="16"/>
      <w:szCs w:val="16"/>
    </w:rPr>
  </w:style>
  <w:style w:type="character" w:customStyle="1" w:styleId="BalloonTextChar">
    <w:name w:val="Balloon Text Char"/>
    <w:link w:val="BalloonText"/>
    <w:rsid w:val="00532167"/>
    <w:rPr>
      <w:rFonts w:ascii="Tahoma" w:hAnsi="Tahoma" w:cs="Tahoma"/>
      <w:sz w:val="16"/>
      <w:szCs w:val="16"/>
    </w:rPr>
  </w:style>
  <w:style w:type="character" w:customStyle="1" w:styleId="Heading4Char">
    <w:name w:val="Heading 4 Char"/>
    <w:link w:val="Heading4"/>
    <w:rsid w:val="00A409D7"/>
    <w:rPr>
      <w:rFonts w:ascii="Calibri" w:eastAsia="Times New Roman" w:hAnsi="Calibri" w:cs="Times New Roman"/>
      <w:b/>
      <w:bCs/>
      <w:sz w:val="28"/>
      <w:szCs w:val="28"/>
    </w:rPr>
  </w:style>
  <w:style w:type="paragraph" w:styleId="CommentSubject">
    <w:name w:val="annotation subject"/>
    <w:basedOn w:val="CommentText"/>
    <w:next w:val="CommentText"/>
    <w:link w:val="CommentSubjectChar"/>
    <w:semiHidden/>
    <w:unhideWhenUsed/>
    <w:rsid w:val="0003094B"/>
    <w:pPr>
      <w:keepNext w:val="0"/>
      <w:widowControl w:val="0"/>
      <w:autoSpaceDE w:val="0"/>
      <w:autoSpaceDN w:val="0"/>
      <w:adjustRightInd w:val="0"/>
      <w:spacing w:after="0"/>
      <w:contextualSpacing w:val="0"/>
      <w:outlineLvl w:val="9"/>
    </w:pPr>
    <w:rPr>
      <w:rFonts w:cs="Times New Roman"/>
      <w:b/>
      <w:i w:val="0"/>
      <w:iCs w:val="0"/>
      <w:sz w:val="20"/>
      <w:szCs w:val="20"/>
    </w:rPr>
  </w:style>
  <w:style w:type="character" w:customStyle="1" w:styleId="CommentSubjectChar">
    <w:name w:val="Comment Subject Char"/>
    <w:link w:val="CommentSubject"/>
    <w:semiHidden/>
    <w:rsid w:val="0003094B"/>
    <w:rPr>
      <w:rFonts w:cs="Arial"/>
      <w:b/>
      <w:bCs/>
      <w:i w:val="0"/>
      <w:iCs w:val="0"/>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5280">
      <w:bodyDiv w:val="1"/>
      <w:marLeft w:val="0"/>
      <w:marRight w:val="0"/>
      <w:marTop w:val="0"/>
      <w:marBottom w:val="0"/>
      <w:divBdr>
        <w:top w:val="none" w:sz="0" w:space="0" w:color="auto"/>
        <w:left w:val="none" w:sz="0" w:space="0" w:color="auto"/>
        <w:bottom w:val="none" w:sz="0" w:space="0" w:color="auto"/>
        <w:right w:val="none" w:sz="0" w:space="0" w:color="auto"/>
      </w:divBdr>
    </w:div>
    <w:div w:id="207496022">
      <w:bodyDiv w:val="1"/>
      <w:marLeft w:val="0"/>
      <w:marRight w:val="0"/>
      <w:marTop w:val="0"/>
      <w:marBottom w:val="0"/>
      <w:divBdr>
        <w:top w:val="none" w:sz="0" w:space="0" w:color="auto"/>
        <w:left w:val="none" w:sz="0" w:space="0" w:color="auto"/>
        <w:bottom w:val="none" w:sz="0" w:space="0" w:color="auto"/>
        <w:right w:val="none" w:sz="0" w:space="0" w:color="auto"/>
      </w:divBdr>
    </w:div>
    <w:div w:id="7004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2324</CharactersWithSpaces>
  <SharedDoc>false</SharedDoc>
  <HLinks>
    <vt:vector size="6" baseType="variant">
      <vt:variant>
        <vt:i4>4259868</vt:i4>
      </vt:variant>
      <vt:variant>
        <vt:i4>-1</vt:i4>
      </vt:variant>
      <vt:variant>
        <vt:i4>1027</vt:i4>
      </vt:variant>
      <vt:variant>
        <vt:i4>1</vt:i4>
      </vt:variant>
      <vt:variant>
        <vt:lpwstr>http://home.tnrcc.state.tx.us/internal/exec/communication/gif/3C-TCEQ.gif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Ken Sherry</cp:lastModifiedBy>
  <cp:revision>2</cp:revision>
  <cp:lastPrinted>2018-06-26T20:09:00Z</cp:lastPrinted>
  <dcterms:created xsi:type="dcterms:W3CDTF">2018-12-17T15:07:00Z</dcterms:created>
  <dcterms:modified xsi:type="dcterms:W3CDTF">2018-12-17T15:07:00Z</dcterms:modified>
</cp:coreProperties>
</file>