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5B3" w:rsidRPr="001245B3" w:rsidRDefault="001245B3" w:rsidP="001245B3">
      <w:pPr>
        <w:keepNext/>
        <w:widowControl w:val="0"/>
        <w:tabs>
          <w:tab w:val="clear" w:pos="720"/>
        </w:tabs>
        <w:autoSpaceDE w:val="0"/>
        <w:autoSpaceDN w:val="0"/>
        <w:adjustRightInd w:val="0"/>
        <w:spacing w:before="120"/>
        <w:jc w:val="center"/>
        <w:outlineLvl w:val="0"/>
        <w:rPr>
          <w:rFonts w:eastAsia="Times New Roman" w:cs="Times New Roman"/>
          <w:b/>
          <w:bCs/>
          <w:kern w:val="32"/>
          <w:sz w:val="22"/>
          <w:szCs w:val="22"/>
        </w:rPr>
      </w:pPr>
      <w:r w:rsidRPr="001245B3">
        <w:rPr>
          <w:rFonts w:eastAsia="Times New Roman" w:cs="Times New Roman"/>
          <w:b/>
          <w:bCs/>
          <w:noProof/>
          <w:kern w:val="32"/>
          <w:sz w:val="22"/>
          <w:szCs w:val="22"/>
        </w:rPr>
        <w:drawing>
          <wp:anchor distT="0" distB="0" distL="114300" distR="114300" simplePos="0" relativeHeight="251659264" behindDoc="0" locked="0" layoutInCell="1" allowOverlap="1" wp14:anchorId="6CBB8677" wp14:editId="71226862">
            <wp:simplePos x="0" y="0"/>
            <wp:positionH relativeFrom="column">
              <wp:align>left</wp:align>
            </wp:positionH>
            <wp:positionV relativeFrom="paragraph">
              <wp:posOffset>0</wp:posOffset>
            </wp:positionV>
            <wp:extent cx="619125" cy="1066800"/>
            <wp:effectExtent l="0" t="0" r="9525" b="0"/>
            <wp:wrapSquare wrapText="right"/>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1245B3">
        <w:rPr>
          <w:rFonts w:eastAsia="Times New Roman" w:cs="Times New Roman"/>
          <w:b/>
          <w:bCs/>
          <w:kern w:val="32"/>
          <w:sz w:val="22"/>
          <w:szCs w:val="22"/>
        </w:rPr>
        <w:t>National Comments</w:t>
      </w:r>
    </w:p>
    <w:p w:rsidR="001245B3" w:rsidRPr="001245B3" w:rsidRDefault="001245B3" w:rsidP="001245B3">
      <w:pPr>
        <w:keepNext/>
        <w:widowControl w:val="0"/>
        <w:tabs>
          <w:tab w:val="clear" w:pos="720"/>
        </w:tabs>
        <w:autoSpaceDE w:val="0"/>
        <w:autoSpaceDN w:val="0"/>
        <w:adjustRightInd w:val="0"/>
        <w:spacing w:before="120"/>
        <w:jc w:val="center"/>
        <w:outlineLvl w:val="0"/>
        <w:rPr>
          <w:rFonts w:eastAsia="Times New Roman" w:cs="Times New Roman"/>
          <w:b/>
          <w:bCs/>
          <w:kern w:val="32"/>
          <w:sz w:val="22"/>
          <w:szCs w:val="22"/>
        </w:rPr>
      </w:pPr>
      <w:r w:rsidRPr="001245B3">
        <w:rPr>
          <w:rFonts w:eastAsia="Times New Roman" w:cs="Times New Roman"/>
          <w:b/>
          <w:bCs/>
          <w:kern w:val="32"/>
          <w:sz w:val="22"/>
          <w:szCs w:val="22"/>
        </w:rPr>
        <w:t>Executive Review Summary</w:t>
      </w:r>
    </w:p>
    <w:p w:rsidR="001245B3" w:rsidRPr="001245B3" w:rsidRDefault="001245B3" w:rsidP="001245B3">
      <w:pPr>
        <w:widowControl w:val="0"/>
        <w:tabs>
          <w:tab w:val="clear" w:pos="720"/>
        </w:tabs>
        <w:autoSpaceDE w:val="0"/>
        <w:autoSpaceDN w:val="0"/>
        <w:adjustRightInd w:val="0"/>
        <w:jc w:val="center"/>
        <w:rPr>
          <w:rFonts w:eastAsia="Times New Roman" w:cs="Times New Roman"/>
          <w:b/>
          <w:bCs/>
          <w:sz w:val="22"/>
          <w:szCs w:val="22"/>
        </w:rPr>
      </w:pPr>
    </w:p>
    <w:p w:rsidR="001245B3" w:rsidRPr="001245B3" w:rsidRDefault="001245B3" w:rsidP="001245B3">
      <w:pPr>
        <w:keepNext/>
        <w:widowControl w:val="0"/>
        <w:tabs>
          <w:tab w:val="clear" w:pos="720"/>
        </w:tabs>
        <w:autoSpaceDE w:val="0"/>
        <w:autoSpaceDN w:val="0"/>
        <w:adjustRightInd w:val="0"/>
        <w:spacing w:before="120"/>
        <w:outlineLvl w:val="0"/>
        <w:rPr>
          <w:rFonts w:eastAsia="Times New Roman" w:cs="Times New Roman"/>
          <w:b/>
          <w:bCs/>
          <w:kern w:val="32"/>
          <w:sz w:val="22"/>
          <w:szCs w:val="22"/>
        </w:rPr>
      </w:pPr>
    </w:p>
    <w:p w:rsidR="001245B3" w:rsidRPr="001245B3" w:rsidRDefault="001245B3" w:rsidP="001245B3">
      <w:pPr>
        <w:keepNext/>
        <w:widowControl w:val="0"/>
        <w:tabs>
          <w:tab w:val="clear" w:pos="720"/>
        </w:tabs>
        <w:autoSpaceDE w:val="0"/>
        <w:autoSpaceDN w:val="0"/>
        <w:adjustRightInd w:val="0"/>
        <w:spacing w:before="120"/>
        <w:outlineLvl w:val="0"/>
        <w:rPr>
          <w:rFonts w:cs="Times New Roman"/>
          <w:b/>
          <w:bCs/>
          <w:kern w:val="32"/>
          <w:sz w:val="22"/>
          <w:szCs w:val="22"/>
        </w:rPr>
      </w:pPr>
      <w:r w:rsidRPr="000E2C1D">
        <w:rPr>
          <w:rFonts w:eastAsia="Times New Roman" w:cs="Times New Roman"/>
          <w:b/>
          <w:bCs/>
          <w:kern w:val="32"/>
          <w:sz w:val="22"/>
          <w:szCs w:val="22"/>
        </w:rPr>
        <w:t>TCEQ</w:t>
      </w:r>
      <w:r w:rsidR="00F1722D" w:rsidRPr="000E2C1D">
        <w:rPr>
          <w:rFonts w:eastAsia="Times New Roman" w:cs="Times New Roman"/>
          <w:b/>
          <w:bCs/>
          <w:kern w:val="32"/>
          <w:sz w:val="22"/>
          <w:szCs w:val="22"/>
        </w:rPr>
        <w:t xml:space="preserve"> and </w:t>
      </w:r>
      <w:r w:rsidR="006101DF" w:rsidRPr="000E2C1D">
        <w:rPr>
          <w:rFonts w:eastAsia="Times New Roman" w:cs="Times New Roman"/>
          <w:b/>
          <w:bCs/>
          <w:kern w:val="32"/>
          <w:sz w:val="22"/>
          <w:szCs w:val="22"/>
        </w:rPr>
        <w:t>RRC</w:t>
      </w:r>
      <w:bookmarkStart w:id="0" w:name="_GoBack"/>
      <w:bookmarkEnd w:id="0"/>
      <w:r w:rsidRPr="001245B3">
        <w:rPr>
          <w:rFonts w:eastAsia="Times New Roman" w:cs="Times New Roman"/>
          <w:b/>
          <w:bCs/>
          <w:kern w:val="32"/>
          <w:sz w:val="22"/>
          <w:szCs w:val="22"/>
        </w:rPr>
        <w:t xml:space="preserve"> Proposed Comments On: </w:t>
      </w:r>
    </w:p>
    <w:p w:rsidR="001245B3" w:rsidRPr="001245B3" w:rsidRDefault="001245B3" w:rsidP="001245B3">
      <w:pPr>
        <w:tabs>
          <w:tab w:val="clear" w:pos="720"/>
        </w:tabs>
        <w:autoSpaceDE w:val="0"/>
        <w:autoSpaceDN w:val="0"/>
        <w:adjustRightInd w:val="0"/>
        <w:rPr>
          <w:rFonts w:eastAsia="Times New Roman" w:cs="Times New Roman"/>
          <w:sz w:val="22"/>
          <w:szCs w:val="22"/>
        </w:rPr>
      </w:pPr>
      <w:r w:rsidRPr="001245B3">
        <w:rPr>
          <w:rFonts w:eastAsia="Times New Roman" w:cs="Times New Roman"/>
          <w:sz w:val="22"/>
          <w:szCs w:val="22"/>
        </w:rPr>
        <w:t xml:space="preserve">Docket ID No. </w:t>
      </w:r>
      <w:bookmarkStart w:id="1" w:name="_Hlk4156859"/>
      <w:r w:rsidRPr="001245B3">
        <w:rPr>
          <w:rFonts w:cs="Melior"/>
          <w:sz w:val="22"/>
          <w:szCs w:val="22"/>
        </w:rPr>
        <w:t>EPA–HQ–OAR–2018–0794</w:t>
      </w:r>
      <w:bookmarkEnd w:id="1"/>
      <w:r w:rsidRPr="001245B3">
        <w:rPr>
          <w:rFonts w:eastAsia="Times New Roman" w:cs="Times New Roman"/>
          <w:sz w:val="22"/>
          <w:szCs w:val="22"/>
        </w:rPr>
        <w:t xml:space="preserve">, 84 </w:t>
      </w:r>
      <w:r w:rsidRPr="001245B3">
        <w:rPr>
          <w:rFonts w:eastAsia="Times New Roman" w:cs="Times New Roman"/>
          <w:i/>
          <w:sz w:val="22"/>
          <w:szCs w:val="22"/>
        </w:rPr>
        <w:t>Federal Register</w:t>
      </w:r>
      <w:r w:rsidRPr="001245B3">
        <w:rPr>
          <w:rFonts w:eastAsia="Times New Roman" w:cs="Times New Roman"/>
          <w:sz w:val="22"/>
          <w:szCs w:val="22"/>
        </w:rPr>
        <w:t xml:space="preserve"> 2670, </w:t>
      </w:r>
      <w:bookmarkStart w:id="2" w:name="_Hlk4156716"/>
      <w:r w:rsidRPr="001245B3">
        <w:rPr>
          <w:rFonts w:eastAsia="Times New Roman" w:cs="Times New Roman"/>
          <w:sz w:val="22"/>
          <w:szCs w:val="22"/>
        </w:rPr>
        <w:t>February 7, 2019</w:t>
      </w:r>
      <w:bookmarkEnd w:id="2"/>
      <w:r w:rsidRPr="001245B3">
        <w:rPr>
          <w:rFonts w:eastAsia="Times New Roman" w:cs="Times New Roman"/>
          <w:sz w:val="22"/>
          <w:szCs w:val="22"/>
        </w:rPr>
        <w:t xml:space="preserve">, </w:t>
      </w:r>
      <w:bookmarkStart w:id="3" w:name="_Hlk4156686"/>
      <w:r w:rsidRPr="001245B3">
        <w:rPr>
          <w:rFonts w:cs="Helvetica-Bold"/>
          <w:bCs/>
          <w:sz w:val="22"/>
          <w:szCs w:val="22"/>
        </w:rPr>
        <w:t>National Emission Standards for Hazardous Air Pollutants: Coal- and Oil-Fired Electric Utility Steam Generating Units—Reconsideration of Supplemental Finding and Residual Risk and Technology Review, Proposed Rule</w:t>
      </w:r>
      <w:bookmarkEnd w:id="3"/>
      <w:r w:rsidRPr="001245B3">
        <w:rPr>
          <w:rFonts w:cs="Helvetica-Bold"/>
          <w:bCs/>
          <w:sz w:val="22"/>
          <w:szCs w:val="22"/>
        </w:rPr>
        <w:t>.</w:t>
      </w:r>
    </w:p>
    <w:p w:rsidR="001245B3" w:rsidRPr="001245B3" w:rsidRDefault="001245B3" w:rsidP="001245B3">
      <w:pPr>
        <w:keepNext/>
        <w:widowControl w:val="0"/>
        <w:tabs>
          <w:tab w:val="clear" w:pos="720"/>
          <w:tab w:val="left" w:pos="2610"/>
        </w:tabs>
        <w:autoSpaceDE w:val="0"/>
        <w:autoSpaceDN w:val="0"/>
        <w:adjustRightInd w:val="0"/>
        <w:spacing w:before="120"/>
        <w:outlineLvl w:val="0"/>
        <w:rPr>
          <w:rFonts w:eastAsia="Times New Roman" w:cs="Times New Roman"/>
          <w:b/>
          <w:bCs/>
          <w:kern w:val="32"/>
          <w:sz w:val="22"/>
          <w:szCs w:val="22"/>
        </w:rPr>
      </w:pPr>
      <w:r w:rsidRPr="001245B3">
        <w:rPr>
          <w:rFonts w:eastAsia="Times New Roman" w:cs="Times New Roman"/>
          <w:b/>
          <w:bCs/>
          <w:kern w:val="32"/>
          <w:sz w:val="22"/>
          <w:szCs w:val="22"/>
        </w:rPr>
        <w:t>Overview of Proposal:</w:t>
      </w:r>
    </w:p>
    <w:p w:rsidR="001245B3" w:rsidRDefault="001245B3" w:rsidP="001245B3">
      <w:pPr>
        <w:tabs>
          <w:tab w:val="clear" w:pos="720"/>
        </w:tabs>
        <w:autoSpaceDE w:val="0"/>
        <w:autoSpaceDN w:val="0"/>
        <w:adjustRightInd w:val="0"/>
        <w:rPr>
          <w:rFonts w:eastAsia="Times New Roman" w:cs="Melior"/>
          <w:sz w:val="22"/>
          <w:szCs w:val="22"/>
        </w:rPr>
      </w:pPr>
      <w:r w:rsidRPr="001245B3">
        <w:rPr>
          <w:rFonts w:eastAsia="Times New Roman" w:cs="Times New Roman"/>
          <w:sz w:val="22"/>
          <w:szCs w:val="22"/>
        </w:rPr>
        <w:t xml:space="preserve">On </w:t>
      </w:r>
      <w:r>
        <w:rPr>
          <w:rFonts w:eastAsia="Times New Roman" w:cs="Times New Roman"/>
          <w:sz w:val="22"/>
          <w:szCs w:val="22"/>
        </w:rPr>
        <w:t>February 7, 2019</w:t>
      </w:r>
      <w:r w:rsidRPr="001245B3">
        <w:rPr>
          <w:rFonts w:eastAsia="Times New Roman" w:cs="Times New Roman"/>
          <w:sz w:val="22"/>
          <w:szCs w:val="22"/>
        </w:rPr>
        <w:t xml:space="preserve">, the United States Environmental Protection Agency (EPA) published in the </w:t>
      </w:r>
      <w:r w:rsidRPr="001245B3">
        <w:rPr>
          <w:rFonts w:eastAsia="Times New Roman" w:cs="Times New Roman"/>
          <w:i/>
          <w:sz w:val="22"/>
          <w:szCs w:val="22"/>
        </w:rPr>
        <w:t>Federal Register</w:t>
      </w:r>
      <w:r w:rsidRPr="001245B3">
        <w:rPr>
          <w:rFonts w:eastAsia="Times New Roman" w:cs="Times New Roman"/>
          <w:sz w:val="22"/>
          <w:szCs w:val="22"/>
        </w:rPr>
        <w:t xml:space="preserve"> a</w:t>
      </w:r>
      <w:r w:rsidRPr="001245B3">
        <w:rPr>
          <w:rFonts w:eastAsia="Times New Roman" w:cs="Melior"/>
          <w:sz w:val="22"/>
          <w:szCs w:val="22"/>
        </w:rPr>
        <w:t xml:space="preserve"> proposed </w:t>
      </w:r>
      <w:r>
        <w:rPr>
          <w:rFonts w:eastAsia="Times New Roman" w:cs="Melior"/>
          <w:sz w:val="22"/>
          <w:szCs w:val="22"/>
        </w:rPr>
        <w:t xml:space="preserve">revision to its supplemental finding concerning costs of regulating </w:t>
      </w:r>
      <w:r w:rsidRPr="001245B3">
        <w:rPr>
          <w:rFonts w:eastAsia="Times New Roman" w:cs="Melior"/>
          <w:sz w:val="22"/>
          <w:szCs w:val="22"/>
        </w:rPr>
        <w:t>coal- and oil-fired electric utility steam generating units (EGUs) under section 112 of the Clean Air Act (CAA)</w:t>
      </w:r>
      <w:r>
        <w:rPr>
          <w:rFonts w:eastAsia="Times New Roman" w:cs="Melior"/>
          <w:sz w:val="22"/>
          <w:szCs w:val="22"/>
        </w:rPr>
        <w:t xml:space="preserve">. </w:t>
      </w:r>
      <w:r w:rsidRPr="001245B3">
        <w:rPr>
          <w:rFonts w:eastAsia="Times New Roman" w:cs="Times New Roman"/>
          <w:sz w:val="22"/>
          <w:szCs w:val="22"/>
        </w:rPr>
        <w:t xml:space="preserve">On June 29, 2015 the Supreme Court of the United States remanded the suit challenging the EPA’s Mercury Air Toxics Standard (MATS) to the D.C. Circuit on the basis that EPA failed to properly consider costs when evaluating whether the rule was appropriate and necessary. </w:t>
      </w:r>
      <w:r>
        <w:rPr>
          <w:rFonts w:eastAsia="Times New Roman" w:cs="Times New Roman"/>
          <w:sz w:val="22"/>
          <w:szCs w:val="22"/>
        </w:rPr>
        <w:t>The current proposed rule would find that it is not “appropriate and necessary” to regulation Hazardous Air Pollutants (HAPs) from these sources, which would reverse the EPA’s prior conclusion finalized {…}. The EPA is, however, not proposing to remove MATS, or its requirements, and is instead proposing to leave</w:t>
      </w:r>
      <w:r w:rsidRPr="001245B3">
        <w:rPr>
          <w:rFonts w:eastAsia="Times New Roman" w:cs="Melior"/>
          <w:sz w:val="22"/>
          <w:szCs w:val="22"/>
        </w:rPr>
        <w:t xml:space="preserve"> coal- and oil-fired</w:t>
      </w:r>
      <w:r>
        <w:rPr>
          <w:rFonts w:eastAsia="Times New Roman" w:cs="Melior"/>
          <w:sz w:val="22"/>
          <w:szCs w:val="22"/>
        </w:rPr>
        <w:t xml:space="preserve"> EGUs listed under section 112. EPA is specifically solic</w:t>
      </w:r>
      <w:r w:rsidR="00EA6B9C">
        <w:rPr>
          <w:rFonts w:eastAsia="Times New Roman" w:cs="Melior"/>
          <w:sz w:val="22"/>
          <w:szCs w:val="22"/>
        </w:rPr>
        <w:t>it</w:t>
      </w:r>
      <w:r>
        <w:rPr>
          <w:rFonts w:eastAsia="Times New Roman" w:cs="Melior"/>
          <w:sz w:val="22"/>
          <w:szCs w:val="22"/>
        </w:rPr>
        <w:t xml:space="preserve">ing comments on the appropriateness of its proposed strategy. </w:t>
      </w:r>
      <w:r>
        <w:rPr>
          <w:rFonts w:eastAsia="Times New Roman" w:cs="Times New Roman"/>
          <w:sz w:val="22"/>
          <w:szCs w:val="22"/>
        </w:rPr>
        <w:t xml:space="preserve"> </w:t>
      </w:r>
      <w:r w:rsidRPr="001245B3">
        <w:rPr>
          <w:rFonts w:eastAsia="Times New Roman" w:cs="Times New Roman"/>
          <w:sz w:val="22"/>
          <w:szCs w:val="22"/>
        </w:rPr>
        <w:t xml:space="preserve"> </w:t>
      </w:r>
    </w:p>
    <w:p w:rsidR="001245B3" w:rsidRDefault="001245B3" w:rsidP="001245B3">
      <w:pPr>
        <w:tabs>
          <w:tab w:val="clear" w:pos="720"/>
        </w:tabs>
        <w:autoSpaceDE w:val="0"/>
        <w:autoSpaceDN w:val="0"/>
        <w:adjustRightInd w:val="0"/>
        <w:rPr>
          <w:rFonts w:eastAsia="Times New Roman" w:cs="Melior"/>
          <w:sz w:val="22"/>
          <w:szCs w:val="22"/>
        </w:rPr>
      </w:pPr>
    </w:p>
    <w:p w:rsidR="001245B3" w:rsidRPr="001245B3" w:rsidRDefault="001245B3" w:rsidP="001245B3">
      <w:pPr>
        <w:keepNext/>
        <w:widowControl w:val="0"/>
        <w:tabs>
          <w:tab w:val="clear" w:pos="720"/>
        </w:tabs>
        <w:autoSpaceDE w:val="0"/>
        <w:autoSpaceDN w:val="0"/>
        <w:adjustRightInd w:val="0"/>
        <w:spacing w:before="120"/>
        <w:outlineLvl w:val="0"/>
        <w:rPr>
          <w:rFonts w:eastAsia="Times New Roman" w:cs="Times New Roman"/>
          <w:b/>
          <w:bCs/>
          <w:kern w:val="32"/>
          <w:sz w:val="22"/>
          <w:szCs w:val="22"/>
        </w:rPr>
      </w:pPr>
      <w:r w:rsidRPr="001245B3">
        <w:rPr>
          <w:rFonts w:eastAsia="Times New Roman" w:cs="Times New Roman"/>
          <w:b/>
          <w:bCs/>
          <w:kern w:val="32"/>
          <w:sz w:val="22"/>
          <w:szCs w:val="22"/>
        </w:rPr>
        <w:t>Summary of Comments:</w:t>
      </w:r>
    </w:p>
    <w:p w:rsidR="000D269B" w:rsidRPr="000D269B" w:rsidRDefault="000D269B" w:rsidP="001245B3">
      <w:pPr>
        <w:widowControl w:val="0"/>
        <w:numPr>
          <w:ilvl w:val="0"/>
          <w:numId w:val="17"/>
        </w:numPr>
        <w:tabs>
          <w:tab w:val="clear" w:pos="720"/>
        </w:tabs>
        <w:autoSpaceDE w:val="0"/>
        <w:autoSpaceDN w:val="0"/>
        <w:adjustRightInd w:val="0"/>
        <w:rPr>
          <w:rFonts w:eastAsia="Calibri" w:cs="Times New Roman"/>
          <w:sz w:val="22"/>
          <w:szCs w:val="22"/>
        </w:rPr>
      </w:pPr>
      <w:bookmarkStart w:id="4" w:name="_Hlk4156894"/>
      <w:r w:rsidRPr="000E2C1D">
        <w:rPr>
          <w:sz w:val="22"/>
          <w:szCs w:val="22"/>
        </w:rPr>
        <w:t>Texas</w:t>
      </w:r>
      <w:r w:rsidRPr="000D269B">
        <w:rPr>
          <w:sz w:val="22"/>
          <w:szCs w:val="22"/>
        </w:rPr>
        <w:t xml:space="preserve"> agrees with EPA’s finding that it is not appropriate and necessary to regulate coal- and oil-fired EGUs under section 112 of the Federal Clean Air Act (FCAA).</w:t>
      </w:r>
    </w:p>
    <w:p w:rsidR="000D269B" w:rsidRPr="000D269B" w:rsidRDefault="000D269B" w:rsidP="001245B3">
      <w:pPr>
        <w:widowControl w:val="0"/>
        <w:numPr>
          <w:ilvl w:val="0"/>
          <w:numId w:val="17"/>
        </w:numPr>
        <w:tabs>
          <w:tab w:val="clear" w:pos="720"/>
        </w:tabs>
        <w:autoSpaceDE w:val="0"/>
        <w:autoSpaceDN w:val="0"/>
        <w:adjustRightInd w:val="0"/>
        <w:rPr>
          <w:rFonts w:eastAsia="Calibri" w:cs="Times New Roman"/>
          <w:sz w:val="22"/>
          <w:szCs w:val="22"/>
        </w:rPr>
      </w:pPr>
      <w:bookmarkStart w:id="5" w:name="_Hlk4156955"/>
      <w:bookmarkEnd w:id="4"/>
      <w:r w:rsidRPr="000E2C1D">
        <w:rPr>
          <w:rFonts w:eastAsia="Calibri" w:cs="Times New Roman"/>
          <w:sz w:val="22"/>
          <w:szCs w:val="22"/>
        </w:rPr>
        <w:t xml:space="preserve">Texas </w:t>
      </w:r>
      <w:r w:rsidRPr="006101DF">
        <w:rPr>
          <w:rFonts w:eastAsia="Calibri" w:cs="Times New Roman"/>
          <w:sz w:val="22"/>
          <w:szCs w:val="22"/>
        </w:rPr>
        <w:t>s</w:t>
      </w:r>
      <w:r w:rsidRPr="000D269B">
        <w:rPr>
          <w:rFonts w:eastAsia="Calibri" w:cs="Times New Roman"/>
          <w:sz w:val="22"/>
          <w:szCs w:val="22"/>
        </w:rPr>
        <w:t>upports EPA’s use of actual benefits from regulating HAPs in its analysis and supports EPA’s decision to not consider ancillary co-benefits as part of the cost-benefit analysis.</w:t>
      </w:r>
    </w:p>
    <w:bookmarkEnd w:id="5"/>
    <w:p w:rsidR="00CB5C68" w:rsidRPr="000D269B" w:rsidRDefault="000D269B" w:rsidP="001245B3">
      <w:pPr>
        <w:widowControl w:val="0"/>
        <w:numPr>
          <w:ilvl w:val="0"/>
          <w:numId w:val="17"/>
        </w:numPr>
        <w:tabs>
          <w:tab w:val="clear" w:pos="720"/>
        </w:tabs>
        <w:autoSpaceDE w:val="0"/>
        <w:autoSpaceDN w:val="0"/>
        <w:adjustRightInd w:val="0"/>
        <w:rPr>
          <w:rFonts w:eastAsia="Calibri" w:cs="Times New Roman"/>
          <w:sz w:val="22"/>
          <w:szCs w:val="22"/>
        </w:rPr>
      </w:pPr>
      <w:r w:rsidRPr="000E2C1D">
        <w:rPr>
          <w:sz w:val="22"/>
          <w:szCs w:val="22"/>
        </w:rPr>
        <w:t>Texas</w:t>
      </w:r>
      <w:r w:rsidRPr="000D269B">
        <w:rPr>
          <w:sz w:val="22"/>
          <w:szCs w:val="22"/>
        </w:rPr>
        <w:t xml:space="preserve"> agrees with the EPA that the existence and importance of the unquantified benefits of MATS are not enough to overcome the significant differences between the monetized benefits of HAP controls ($4 to $6 million annually) and the costs of compliance with the rule ($7.4 to $9 billion annually).</w:t>
      </w:r>
    </w:p>
    <w:p w:rsidR="00CB5C68" w:rsidRPr="001245B3" w:rsidRDefault="000D269B" w:rsidP="001245B3">
      <w:pPr>
        <w:widowControl w:val="0"/>
        <w:numPr>
          <w:ilvl w:val="0"/>
          <w:numId w:val="17"/>
        </w:numPr>
        <w:tabs>
          <w:tab w:val="clear" w:pos="720"/>
        </w:tabs>
        <w:autoSpaceDE w:val="0"/>
        <w:autoSpaceDN w:val="0"/>
        <w:adjustRightInd w:val="0"/>
        <w:rPr>
          <w:rFonts w:eastAsia="Calibri" w:cs="Times New Roman"/>
          <w:sz w:val="22"/>
          <w:szCs w:val="22"/>
        </w:rPr>
      </w:pPr>
      <w:bookmarkStart w:id="6" w:name="_Hlk4156965"/>
      <w:r w:rsidRPr="000E2C1D">
        <w:rPr>
          <w:rFonts w:eastAsia="Calibri" w:cs="Times New Roman"/>
          <w:sz w:val="22"/>
          <w:szCs w:val="22"/>
        </w:rPr>
        <w:t>Texas</w:t>
      </w:r>
      <w:r w:rsidRPr="000D269B">
        <w:rPr>
          <w:rFonts w:eastAsia="Calibri" w:cs="Times New Roman"/>
          <w:sz w:val="22"/>
          <w:szCs w:val="22"/>
        </w:rPr>
        <w:t xml:space="preserve"> disagrees with EPA’s proposal to leave </w:t>
      </w:r>
      <w:r w:rsidRPr="000D269B">
        <w:rPr>
          <w:rFonts w:eastAsia="Times New Roman" w:cs="Melior"/>
          <w:sz w:val="22"/>
          <w:szCs w:val="22"/>
        </w:rPr>
        <w:t>coal- and oil-fired EGUs listed under section 112, as well as the proposal to leave the MATS rule in place. In the absence of a legally sound appropriate and necessary finding, EPA lacks the necessary legal foundation to leave these sources listed.</w:t>
      </w:r>
    </w:p>
    <w:bookmarkEnd w:id="6"/>
    <w:p w:rsidR="001245B3" w:rsidRPr="001245B3" w:rsidRDefault="001245B3" w:rsidP="001245B3">
      <w:pPr>
        <w:widowControl w:val="0"/>
        <w:tabs>
          <w:tab w:val="clear" w:pos="720"/>
        </w:tabs>
        <w:autoSpaceDE w:val="0"/>
        <w:autoSpaceDN w:val="0"/>
        <w:adjustRightInd w:val="0"/>
        <w:spacing w:before="60"/>
        <w:rPr>
          <w:rFonts w:eastAsia="Times New Roman" w:cs="Times New Roman"/>
          <w:b/>
          <w:bCs/>
          <w:sz w:val="22"/>
          <w:szCs w:val="22"/>
        </w:rPr>
      </w:pPr>
    </w:p>
    <w:p w:rsidR="001245B3" w:rsidRPr="001245B3" w:rsidRDefault="001245B3" w:rsidP="001245B3">
      <w:pPr>
        <w:widowControl w:val="0"/>
        <w:tabs>
          <w:tab w:val="clear" w:pos="720"/>
        </w:tabs>
        <w:autoSpaceDE w:val="0"/>
        <w:autoSpaceDN w:val="0"/>
        <w:adjustRightInd w:val="0"/>
        <w:spacing w:before="60"/>
        <w:rPr>
          <w:rFonts w:eastAsia="Times New Roman" w:cs="Times New Roman"/>
          <w:sz w:val="22"/>
          <w:szCs w:val="22"/>
        </w:rPr>
      </w:pPr>
      <w:r w:rsidRPr="001245B3">
        <w:rPr>
          <w:rFonts w:eastAsia="Times New Roman" w:cs="Times New Roman"/>
          <w:b/>
          <w:bCs/>
          <w:sz w:val="22"/>
          <w:szCs w:val="22"/>
        </w:rPr>
        <w:t xml:space="preserve">Lead Office: </w:t>
      </w:r>
      <w:r w:rsidRPr="001245B3">
        <w:rPr>
          <w:rFonts w:eastAsia="Times New Roman" w:cs="Times New Roman"/>
          <w:bCs/>
          <w:sz w:val="22"/>
          <w:szCs w:val="22"/>
        </w:rPr>
        <w:t>Office of Legal Services/Environmental Law Division</w:t>
      </w:r>
    </w:p>
    <w:p w:rsidR="001245B3" w:rsidRPr="001245B3" w:rsidRDefault="001245B3" w:rsidP="001245B3">
      <w:pPr>
        <w:widowControl w:val="0"/>
        <w:tabs>
          <w:tab w:val="clear" w:pos="720"/>
        </w:tabs>
        <w:autoSpaceDE w:val="0"/>
        <w:autoSpaceDN w:val="0"/>
        <w:adjustRightInd w:val="0"/>
        <w:spacing w:before="60"/>
        <w:rPr>
          <w:rFonts w:eastAsia="Times New Roman" w:cs="Times New Roman"/>
          <w:bCs/>
          <w:sz w:val="22"/>
          <w:szCs w:val="22"/>
        </w:rPr>
      </w:pPr>
      <w:r w:rsidRPr="001245B3">
        <w:rPr>
          <w:rFonts w:eastAsia="Times New Roman" w:cs="Times New Roman"/>
          <w:b/>
          <w:bCs/>
          <w:sz w:val="22"/>
          <w:szCs w:val="22"/>
        </w:rPr>
        <w:t xml:space="preserve">Internal Coordination: </w:t>
      </w:r>
      <w:r w:rsidRPr="001245B3">
        <w:rPr>
          <w:rFonts w:eastAsia="Times New Roman" w:cs="Times New Roman"/>
          <w:bCs/>
          <w:sz w:val="22"/>
          <w:szCs w:val="22"/>
        </w:rPr>
        <w:t>Amy Browning/OLS/ Environmental Law Division</w:t>
      </w:r>
    </w:p>
    <w:p w:rsidR="001245B3" w:rsidRPr="001245B3" w:rsidRDefault="001245B3" w:rsidP="001245B3">
      <w:pPr>
        <w:widowControl w:val="0"/>
        <w:tabs>
          <w:tab w:val="clear" w:pos="720"/>
        </w:tabs>
        <w:autoSpaceDE w:val="0"/>
        <w:autoSpaceDN w:val="0"/>
        <w:adjustRightInd w:val="0"/>
        <w:spacing w:before="60"/>
        <w:rPr>
          <w:rFonts w:eastAsia="Times New Roman" w:cs="Times New Roman"/>
          <w:bCs/>
          <w:sz w:val="22"/>
          <w:szCs w:val="22"/>
        </w:rPr>
      </w:pPr>
      <w:r w:rsidRPr="001245B3">
        <w:rPr>
          <w:rFonts w:eastAsia="Times New Roman" w:cs="Times New Roman"/>
          <w:b/>
          <w:bCs/>
          <w:sz w:val="22"/>
          <w:szCs w:val="22"/>
        </w:rPr>
        <w:t>Office of Legal Services:</w:t>
      </w:r>
      <w:r w:rsidRPr="001245B3">
        <w:rPr>
          <w:rFonts w:eastAsia="Times New Roman" w:cs="Times New Roman"/>
          <w:bCs/>
          <w:sz w:val="22"/>
          <w:szCs w:val="22"/>
        </w:rPr>
        <w:t xml:space="preserve"> Amy Browning &amp; Terry Salem/OLS/Environmental Law Division</w:t>
      </w:r>
    </w:p>
    <w:p w:rsidR="001245B3" w:rsidRPr="001245B3" w:rsidRDefault="001245B3" w:rsidP="001245B3">
      <w:pPr>
        <w:widowControl w:val="0"/>
        <w:tabs>
          <w:tab w:val="clear" w:pos="720"/>
        </w:tabs>
        <w:autoSpaceDE w:val="0"/>
        <w:autoSpaceDN w:val="0"/>
        <w:adjustRightInd w:val="0"/>
        <w:spacing w:before="60"/>
        <w:rPr>
          <w:rFonts w:eastAsia="Times New Roman" w:cs="Times New Roman"/>
          <w:bCs/>
          <w:sz w:val="22"/>
          <w:szCs w:val="22"/>
        </w:rPr>
      </w:pPr>
      <w:r w:rsidRPr="001245B3">
        <w:rPr>
          <w:rFonts w:eastAsia="Times New Roman" w:cs="Times New Roman"/>
          <w:b/>
          <w:bCs/>
          <w:sz w:val="22"/>
          <w:szCs w:val="22"/>
        </w:rPr>
        <w:t xml:space="preserve">Deputy Director Approval: </w:t>
      </w:r>
      <w:r w:rsidRPr="001245B3">
        <w:rPr>
          <w:rFonts w:eastAsia="Times New Roman" w:cs="Times New Roman"/>
          <w:bCs/>
          <w:sz w:val="22"/>
          <w:szCs w:val="22"/>
        </w:rPr>
        <w:t>Margaret Ligarde/Office of Legal Services</w:t>
      </w:r>
    </w:p>
    <w:p w:rsidR="001245B3" w:rsidRPr="001245B3" w:rsidRDefault="001245B3" w:rsidP="001245B3">
      <w:pPr>
        <w:widowControl w:val="0"/>
        <w:tabs>
          <w:tab w:val="clear" w:pos="720"/>
        </w:tabs>
        <w:autoSpaceDE w:val="0"/>
        <w:autoSpaceDN w:val="0"/>
        <w:adjustRightInd w:val="0"/>
        <w:spacing w:before="60"/>
        <w:rPr>
          <w:rFonts w:eastAsia="Times New Roman" w:cs="Times New Roman"/>
          <w:sz w:val="22"/>
          <w:szCs w:val="22"/>
        </w:rPr>
      </w:pPr>
      <w:r w:rsidRPr="001245B3">
        <w:rPr>
          <w:rFonts w:eastAsia="Times New Roman" w:cs="Times New Roman"/>
          <w:b/>
          <w:bCs/>
          <w:sz w:val="22"/>
          <w:szCs w:val="22"/>
        </w:rPr>
        <w:t>EPA Deadline:</w:t>
      </w:r>
      <w:r w:rsidRPr="001245B3">
        <w:rPr>
          <w:rFonts w:eastAsia="Times New Roman" w:cs="Times New Roman"/>
          <w:sz w:val="22"/>
          <w:szCs w:val="22"/>
        </w:rPr>
        <w:t xml:space="preserve"> April 17, 2019</w:t>
      </w:r>
    </w:p>
    <w:p w:rsidR="004A726B" w:rsidRPr="001245B3" w:rsidRDefault="004A726B" w:rsidP="003475D0">
      <w:pPr>
        <w:rPr>
          <w:sz w:val="22"/>
          <w:szCs w:val="22"/>
        </w:rPr>
      </w:pPr>
    </w:p>
    <w:sectPr w:rsidR="004A726B" w:rsidRPr="001245B3" w:rsidSect="001245B3">
      <w:footerReference w:type="default" r:id="rId9"/>
      <w:type w:val="continuous"/>
      <w:pgSz w:w="12240" w:h="15840"/>
      <w:pgMar w:top="1152" w:right="1152" w:bottom="1008" w:left="1440" w:header="720" w:footer="30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5B3" w:rsidRDefault="001245B3" w:rsidP="00E52C9A">
      <w:r>
        <w:separator/>
      </w:r>
    </w:p>
  </w:endnote>
  <w:endnote w:type="continuationSeparator" w:id="0">
    <w:p w:rsidR="001245B3" w:rsidRDefault="001245B3"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46A" w:rsidRPr="00B02E65" w:rsidRDefault="00161004" w:rsidP="005B2D52">
    <w:pPr>
      <w:spacing w:before="240"/>
      <w:rPr>
        <w:rFonts w:ascii="Georgia" w:hAnsi="Georgia"/>
        <w:sz w:val="16"/>
        <w:szCs w:val="16"/>
      </w:rPr>
    </w:pP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t xml:space="preserve">Page </w:t>
    </w:r>
    <w:r w:rsidRPr="00B02E65">
      <w:rPr>
        <w:rStyle w:val="PageNumber"/>
        <w:rFonts w:ascii="Georgia" w:hAnsi="Georgia"/>
        <w:sz w:val="16"/>
        <w:szCs w:val="16"/>
      </w:rPr>
      <w:fldChar w:fldCharType="begin"/>
    </w:r>
    <w:r w:rsidRPr="00B02E65">
      <w:rPr>
        <w:rStyle w:val="PageNumber"/>
        <w:rFonts w:ascii="Georgia" w:hAnsi="Georgia"/>
        <w:sz w:val="16"/>
        <w:szCs w:val="16"/>
      </w:rPr>
      <w:instrText xml:space="preserve"> PAGE </w:instrText>
    </w:r>
    <w:r w:rsidRPr="00B02E65">
      <w:rPr>
        <w:rStyle w:val="PageNumber"/>
        <w:rFonts w:ascii="Georgia" w:hAnsi="Georgia"/>
        <w:sz w:val="16"/>
        <w:szCs w:val="16"/>
      </w:rPr>
      <w:fldChar w:fldCharType="separate"/>
    </w:r>
    <w:r>
      <w:rPr>
        <w:rStyle w:val="PageNumber"/>
        <w:rFonts w:ascii="Georgia" w:hAnsi="Georgia"/>
        <w:noProof/>
        <w:sz w:val="16"/>
        <w:szCs w:val="16"/>
      </w:rPr>
      <w:t>1</w:t>
    </w:r>
    <w:r w:rsidRPr="00B02E65">
      <w:rPr>
        <w:rStyle w:val="PageNumber"/>
        <w:rFonts w:ascii="Georgia" w:hAnsi="Georgia"/>
        <w:sz w:val="16"/>
        <w:szCs w:val="16"/>
      </w:rPr>
      <w:fldChar w:fldCharType="end"/>
    </w:r>
    <w:r w:rsidRPr="00B02E65">
      <w:rPr>
        <w:rStyle w:val="PageNumber"/>
        <w:rFonts w:ascii="Georgia" w:hAnsi="Georgia"/>
        <w:sz w:val="16"/>
        <w:szCs w:val="16"/>
      </w:rPr>
      <w:t xml:space="preserve"> of </w:t>
    </w:r>
    <w:r w:rsidRPr="00B02E65">
      <w:rPr>
        <w:rStyle w:val="PageNumber"/>
        <w:rFonts w:ascii="Georgia" w:hAnsi="Georgia"/>
        <w:sz w:val="16"/>
        <w:szCs w:val="16"/>
      </w:rPr>
      <w:fldChar w:fldCharType="begin"/>
    </w:r>
    <w:r w:rsidRPr="00B02E65">
      <w:rPr>
        <w:rStyle w:val="PageNumber"/>
        <w:rFonts w:ascii="Georgia" w:hAnsi="Georgia"/>
        <w:sz w:val="16"/>
        <w:szCs w:val="16"/>
      </w:rPr>
      <w:instrText xml:space="preserve"> NUMPAGES </w:instrText>
    </w:r>
    <w:r w:rsidRPr="00B02E65">
      <w:rPr>
        <w:rStyle w:val="PageNumber"/>
        <w:rFonts w:ascii="Georgia" w:hAnsi="Georgia"/>
        <w:sz w:val="16"/>
        <w:szCs w:val="16"/>
      </w:rPr>
      <w:fldChar w:fldCharType="separate"/>
    </w:r>
    <w:r>
      <w:rPr>
        <w:rStyle w:val="PageNumber"/>
        <w:rFonts w:ascii="Georgia" w:hAnsi="Georgia"/>
        <w:noProof/>
        <w:sz w:val="16"/>
        <w:szCs w:val="16"/>
      </w:rPr>
      <w:t>1</w:t>
    </w:r>
    <w:r w:rsidRPr="00B02E65">
      <w:rPr>
        <w:rStyle w:val="PageNumber"/>
        <w:rFonts w:ascii="Georgia" w:hAnsi="Georg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5B3" w:rsidRDefault="001245B3" w:rsidP="00E52C9A">
      <w:r>
        <w:separator/>
      </w:r>
    </w:p>
  </w:footnote>
  <w:footnote w:type="continuationSeparator" w:id="0">
    <w:p w:rsidR="001245B3" w:rsidRDefault="001245B3"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AF045F"/>
    <w:multiLevelType w:val="multilevel"/>
    <w:tmpl w:val="E3A61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FE6E60"/>
    <w:multiLevelType w:val="hybridMultilevel"/>
    <w:tmpl w:val="3638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2"/>
  </w:num>
  <w:num w:numId="14">
    <w:abstractNumId w:val="9"/>
  </w:num>
  <w:num w:numId="15">
    <w:abstractNumId w:val="8"/>
    <w:lvlOverride w:ilvl="0">
      <w:startOverride w:val="1"/>
    </w:lvlOverride>
  </w:num>
  <w:num w:numId="16">
    <w:abstractNumId w:val="10"/>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0NzI1NjIyNzY2NDZV0lEKTi0uzszPAykwrgUAPVytuCwAAAA="/>
  </w:docVars>
  <w:rsids>
    <w:rsidRoot w:val="001245B3"/>
    <w:rsid w:val="00051B7F"/>
    <w:rsid w:val="000D269B"/>
    <w:rsid w:val="000E2C1D"/>
    <w:rsid w:val="001135B1"/>
    <w:rsid w:val="00116413"/>
    <w:rsid w:val="001245B3"/>
    <w:rsid w:val="00161004"/>
    <w:rsid w:val="00164CE2"/>
    <w:rsid w:val="00174280"/>
    <w:rsid w:val="0017492A"/>
    <w:rsid w:val="001918A9"/>
    <w:rsid w:val="00203919"/>
    <w:rsid w:val="00244152"/>
    <w:rsid w:val="00246B61"/>
    <w:rsid w:val="00261265"/>
    <w:rsid w:val="00267310"/>
    <w:rsid w:val="002677C4"/>
    <w:rsid w:val="00297D38"/>
    <w:rsid w:val="002B21BF"/>
    <w:rsid w:val="002C68F3"/>
    <w:rsid w:val="00315557"/>
    <w:rsid w:val="003475D0"/>
    <w:rsid w:val="00351FD0"/>
    <w:rsid w:val="003534C7"/>
    <w:rsid w:val="0039259A"/>
    <w:rsid w:val="00393C75"/>
    <w:rsid w:val="003B41DF"/>
    <w:rsid w:val="003D7D1F"/>
    <w:rsid w:val="003E46EF"/>
    <w:rsid w:val="003F5ABB"/>
    <w:rsid w:val="00417619"/>
    <w:rsid w:val="0046089F"/>
    <w:rsid w:val="00487965"/>
    <w:rsid w:val="004A726B"/>
    <w:rsid w:val="004D2CA6"/>
    <w:rsid w:val="0053697C"/>
    <w:rsid w:val="00540447"/>
    <w:rsid w:val="005464F5"/>
    <w:rsid w:val="00550A48"/>
    <w:rsid w:val="0055212A"/>
    <w:rsid w:val="00586B6A"/>
    <w:rsid w:val="005B74B6"/>
    <w:rsid w:val="005E2709"/>
    <w:rsid w:val="005F337F"/>
    <w:rsid w:val="00602FFB"/>
    <w:rsid w:val="006101DF"/>
    <w:rsid w:val="006146E4"/>
    <w:rsid w:val="006514EA"/>
    <w:rsid w:val="0065525B"/>
    <w:rsid w:val="00666D7E"/>
    <w:rsid w:val="006709EB"/>
    <w:rsid w:val="00671530"/>
    <w:rsid w:val="006730D8"/>
    <w:rsid w:val="006955C6"/>
    <w:rsid w:val="006B7D8B"/>
    <w:rsid w:val="0072249E"/>
    <w:rsid w:val="00727F1C"/>
    <w:rsid w:val="00732647"/>
    <w:rsid w:val="00746472"/>
    <w:rsid w:val="0075745D"/>
    <w:rsid w:val="007A18B2"/>
    <w:rsid w:val="007F1D92"/>
    <w:rsid w:val="0085033F"/>
    <w:rsid w:val="008755F2"/>
    <w:rsid w:val="008E33DD"/>
    <w:rsid w:val="008E6CA0"/>
    <w:rsid w:val="008F4441"/>
    <w:rsid w:val="0094541B"/>
    <w:rsid w:val="00951A1C"/>
    <w:rsid w:val="0097286B"/>
    <w:rsid w:val="00996B99"/>
    <w:rsid w:val="00A03680"/>
    <w:rsid w:val="00A2193F"/>
    <w:rsid w:val="00A75BA9"/>
    <w:rsid w:val="00AB074C"/>
    <w:rsid w:val="00AC16EF"/>
    <w:rsid w:val="00B3681B"/>
    <w:rsid w:val="00B4403F"/>
    <w:rsid w:val="00B868F1"/>
    <w:rsid w:val="00B9230C"/>
    <w:rsid w:val="00BE39E1"/>
    <w:rsid w:val="00BF000E"/>
    <w:rsid w:val="00C95864"/>
    <w:rsid w:val="00CB5C68"/>
    <w:rsid w:val="00CC59A8"/>
    <w:rsid w:val="00CC6108"/>
    <w:rsid w:val="00CF4CB6"/>
    <w:rsid w:val="00D44331"/>
    <w:rsid w:val="00D53F25"/>
    <w:rsid w:val="00D642CF"/>
    <w:rsid w:val="00D9218C"/>
    <w:rsid w:val="00DB72FD"/>
    <w:rsid w:val="00DB788B"/>
    <w:rsid w:val="00DC278A"/>
    <w:rsid w:val="00DE4AAC"/>
    <w:rsid w:val="00DE7C8C"/>
    <w:rsid w:val="00E14844"/>
    <w:rsid w:val="00E52C9A"/>
    <w:rsid w:val="00E93DEF"/>
    <w:rsid w:val="00EA1F7C"/>
    <w:rsid w:val="00EA6B9C"/>
    <w:rsid w:val="00EB1DE7"/>
    <w:rsid w:val="00EF6A56"/>
    <w:rsid w:val="00F14AF7"/>
    <w:rsid w:val="00F1722D"/>
    <w:rsid w:val="00F56A6D"/>
    <w:rsid w:val="00F56E78"/>
    <w:rsid w:val="00F63A75"/>
    <w:rsid w:val="00F84103"/>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6347A-1E3F-47A0-AC89-4566EB34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5">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uiPriority w:val="99"/>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uicontrol">
    <w:name w:val="uicontrol"/>
    <w:basedOn w:val="DefaultParagraphFont"/>
    <w:rsid w:val="00B9230C"/>
  </w:style>
  <w:style w:type="character" w:customStyle="1" w:styleId="code">
    <w:name w:val="code"/>
    <w:basedOn w:val="DefaultParagraphFont"/>
    <w:rsid w:val="00B9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410934">
      <w:bodyDiv w:val="1"/>
      <w:marLeft w:val="0"/>
      <w:marRight w:val="0"/>
      <w:marTop w:val="0"/>
      <w:marBottom w:val="0"/>
      <w:divBdr>
        <w:top w:val="none" w:sz="0" w:space="0" w:color="auto"/>
        <w:left w:val="none" w:sz="0" w:space="0" w:color="auto"/>
        <w:bottom w:val="none" w:sz="0" w:space="0" w:color="auto"/>
        <w:right w:val="none" w:sz="0" w:space="0" w:color="auto"/>
      </w:divBdr>
      <w:divsChild>
        <w:div w:id="1260942559">
          <w:marLeft w:val="0"/>
          <w:marRight w:val="0"/>
          <w:marTop w:val="0"/>
          <w:marBottom w:val="0"/>
          <w:divBdr>
            <w:top w:val="none" w:sz="0" w:space="0" w:color="auto"/>
            <w:left w:val="none" w:sz="0" w:space="0" w:color="auto"/>
            <w:bottom w:val="none" w:sz="0" w:space="0" w:color="auto"/>
            <w:right w:val="none" w:sz="0" w:space="0" w:color="auto"/>
          </w:divBdr>
          <w:divsChild>
            <w:div w:id="197359459">
              <w:marLeft w:val="0"/>
              <w:marRight w:val="0"/>
              <w:marTop w:val="0"/>
              <w:marBottom w:val="0"/>
              <w:divBdr>
                <w:top w:val="none" w:sz="0" w:space="0" w:color="auto"/>
                <w:left w:val="none" w:sz="0" w:space="0" w:color="auto"/>
                <w:bottom w:val="none" w:sz="0" w:space="0" w:color="auto"/>
                <w:right w:val="none" w:sz="0" w:space="0" w:color="auto"/>
              </w:divBdr>
              <w:divsChild>
                <w:div w:id="493381176">
                  <w:marLeft w:val="0"/>
                  <w:marRight w:val="0"/>
                  <w:marTop w:val="0"/>
                  <w:marBottom w:val="0"/>
                  <w:divBdr>
                    <w:top w:val="none" w:sz="0" w:space="0" w:color="auto"/>
                    <w:left w:val="none" w:sz="0" w:space="0" w:color="auto"/>
                    <w:bottom w:val="none" w:sz="0" w:space="0" w:color="auto"/>
                    <w:right w:val="none" w:sz="0" w:space="0" w:color="auto"/>
                  </w:divBdr>
                  <w:divsChild>
                    <w:div w:id="1763378694">
                      <w:marLeft w:val="0"/>
                      <w:marRight w:val="0"/>
                      <w:marTop w:val="0"/>
                      <w:marBottom w:val="0"/>
                      <w:divBdr>
                        <w:top w:val="none" w:sz="0" w:space="0" w:color="auto"/>
                        <w:left w:val="none" w:sz="0" w:space="0" w:color="auto"/>
                        <w:bottom w:val="none" w:sz="0" w:space="0" w:color="auto"/>
                        <w:right w:val="none" w:sz="0" w:space="0" w:color="auto"/>
                      </w:divBdr>
                      <w:divsChild>
                        <w:div w:id="437721240">
                          <w:marLeft w:val="0"/>
                          <w:marRight w:val="0"/>
                          <w:marTop w:val="0"/>
                          <w:marBottom w:val="0"/>
                          <w:divBdr>
                            <w:top w:val="none" w:sz="0" w:space="0" w:color="auto"/>
                            <w:left w:val="none" w:sz="0" w:space="0" w:color="auto"/>
                            <w:bottom w:val="none" w:sz="0" w:space="0" w:color="auto"/>
                            <w:right w:val="none" w:sz="0" w:space="0" w:color="auto"/>
                          </w:divBdr>
                          <w:divsChild>
                            <w:div w:id="1088888281">
                              <w:marLeft w:val="0"/>
                              <w:marRight w:val="0"/>
                              <w:marTop w:val="0"/>
                              <w:marBottom w:val="0"/>
                              <w:divBdr>
                                <w:top w:val="none" w:sz="0" w:space="0" w:color="auto"/>
                                <w:left w:val="none" w:sz="0" w:space="0" w:color="auto"/>
                                <w:bottom w:val="none" w:sz="0" w:space="0" w:color="auto"/>
                                <w:right w:val="none" w:sz="0" w:space="0" w:color="auto"/>
                              </w:divBdr>
                            </w:div>
                          </w:divsChild>
                        </w:div>
                        <w:div w:id="1463038541">
                          <w:marLeft w:val="0"/>
                          <w:marRight w:val="0"/>
                          <w:marTop w:val="0"/>
                          <w:marBottom w:val="0"/>
                          <w:divBdr>
                            <w:top w:val="none" w:sz="0" w:space="0" w:color="auto"/>
                            <w:left w:val="none" w:sz="0" w:space="0" w:color="auto"/>
                            <w:bottom w:val="none" w:sz="0" w:space="0" w:color="auto"/>
                            <w:right w:val="none" w:sz="0" w:space="0" w:color="auto"/>
                          </w:divBdr>
                          <w:divsChild>
                            <w:div w:id="407848417">
                              <w:marLeft w:val="0"/>
                              <w:marRight w:val="0"/>
                              <w:marTop w:val="0"/>
                              <w:marBottom w:val="0"/>
                              <w:divBdr>
                                <w:top w:val="none" w:sz="0" w:space="0" w:color="auto"/>
                                <w:left w:val="none" w:sz="0" w:space="0" w:color="auto"/>
                                <w:bottom w:val="none" w:sz="0" w:space="0" w:color="auto"/>
                                <w:right w:val="none" w:sz="0" w:space="0" w:color="auto"/>
                              </w:divBdr>
                            </w:div>
                          </w:divsChild>
                        </w:div>
                        <w:div w:id="1710111039">
                          <w:marLeft w:val="0"/>
                          <w:marRight w:val="0"/>
                          <w:marTop w:val="0"/>
                          <w:marBottom w:val="0"/>
                          <w:divBdr>
                            <w:top w:val="none" w:sz="0" w:space="0" w:color="auto"/>
                            <w:left w:val="none" w:sz="0" w:space="0" w:color="auto"/>
                            <w:bottom w:val="none" w:sz="0" w:space="0" w:color="auto"/>
                            <w:right w:val="none" w:sz="0" w:space="0" w:color="auto"/>
                          </w:divBdr>
                          <w:divsChild>
                            <w:div w:id="1437752799">
                              <w:marLeft w:val="0"/>
                              <w:marRight w:val="0"/>
                              <w:marTop w:val="0"/>
                              <w:marBottom w:val="0"/>
                              <w:divBdr>
                                <w:top w:val="none" w:sz="0" w:space="0" w:color="auto"/>
                                <w:left w:val="none" w:sz="0" w:space="0" w:color="auto"/>
                                <w:bottom w:val="none" w:sz="0" w:space="0" w:color="auto"/>
                                <w:right w:val="none" w:sz="0" w:space="0" w:color="auto"/>
                              </w:divBdr>
                            </w:div>
                          </w:divsChild>
                        </w:div>
                        <w:div w:id="181281106">
                          <w:marLeft w:val="0"/>
                          <w:marRight w:val="0"/>
                          <w:marTop w:val="0"/>
                          <w:marBottom w:val="0"/>
                          <w:divBdr>
                            <w:top w:val="none" w:sz="0" w:space="0" w:color="auto"/>
                            <w:left w:val="none" w:sz="0" w:space="0" w:color="auto"/>
                            <w:bottom w:val="none" w:sz="0" w:space="0" w:color="auto"/>
                            <w:right w:val="none" w:sz="0" w:space="0" w:color="auto"/>
                          </w:divBdr>
                          <w:divsChild>
                            <w:div w:id="1598751287">
                              <w:marLeft w:val="0"/>
                              <w:marRight w:val="0"/>
                              <w:marTop w:val="0"/>
                              <w:marBottom w:val="0"/>
                              <w:divBdr>
                                <w:top w:val="none" w:sz="0" w:space="0" w:color="auto"/>
                                <w:left w:val="none" w:sz="0" w:space="0" w:color="auto"/>
                                <w:bottom w:val="none" w:sz="0" w:space="0" w:color="auto"/>
                                <w:right w:val="none" w:sz="0" w:space="0" w:color="auto"/>
                              </w:divBdr>
                              <w:divsChild>
                                <w:div w:id="552471622">
                                  <w:marLeft w:val="0"/>
                                  <w:marRight w:val="0"/>
                                  <w:marTop w:val="0"/>
                                  <w:marBottom w:val="0"/>
                                  <w:divBdr>
                                    <w:top w:val="none" w:sz="0" w:space="0" w:color="auto"/>
                                    <w:left w:val="none" w:sz="0" w:space="0" w:color="auto"/>
                                    <w:bottom w:val="none" w:sz="0" w:space="0" w:color="auto"/>
                                    <w:right w:val="none" w:sz="0" w:space="0" w:color="auto"/>
                                  </w:divBdr>
                                  <w:divsChild>
                                    <w:div w:id="139227141">
                                      <w:marLeft w:val="0"/>
                                      <w:marRight w:val="0"/>
                                      <w:marTop w:val="0"/>
                                      <w:marBottom w:val="0"/>
                                      <w:divBdr>
                                        <w:top w:val="none" w:sz="0" w:space="0" w:color="auto"/>
                                        <w:left w:val="none" w:sz="0" w:space="0" w:color="auto"/>
                                        <w:bottom w:val="none" w:sz="0" w:space="0" w:color="auto"/>
                                        <w:right w:val="none" w:sz="0" w:space="0" w:color="auto"/>
                                      </w:divBdr>
                                      <w:divsChild>
                                        <w:div w:id="1846892591">
                                          <w:marLeft w:val="0"/>
                                          <w:marRight w:val="0"/>
                                          <w:marTop w:val="0"/>
                                          <w:marBottom w:val="0"/>
                                          <w:divBdr>
                                            <w:top w:val="none" w:sz="0" w:space="0" w:color="auto"/>
                                            <w:left w:val="none" w:sz="0" w:space="0" w:color="auto"/>
                                            <w:bottom w:val="none" w:sz="0" w:space="0" w:color="auto"/>
                                            <w:right w:val="none" w:sz="0" w:space="0" w:color="auto"/>
                                          </w:divBdr>
                                          <w:divsChild>
                                            <w:div w:id="941189127">
                                              <w:marLeft w:val="0"/>
                                              <w:marRight w:val="0"/>
                                              <w:marTop w:val="0"/>
                                              <w:marBottom w:val="0"/>
                                              <w:divBdr>
                                                <w:top w:val="none" w:sz="0" w:space="0" w:color="auto"/>
                                                <w:left w:val="none" w:sz="0" w:space="0" w:color="auto"/>
                                                <w:bottom w:val="none" w:sz="0" w:space="0" w:color="auto"/>
                                                <w:right w:val="none" w:sz="0" w:space="0" w:color="auto"/>
                                              </w:divBdr>
                                              <w:divsChild>
                                                <w:div w:id="974598392">
                                                  <w:marLeft w:val="0"/>
                                                  <w:marRight w:val="0"/>
                                                  <w:marTop w:val="0"/>
                                                  <w:marBottom w:val="0"/>
                                                  <w:divBdr>
                                                    <w:top w:val="none" w:sz="0" w:space="0" w:color="auto"/>
                                                    <w:left w:val="none" w:sz="0" w:space="0" w:color="auto"/>
                                                    <w:bottom w:val="none" w:sz="0" w:space="0" w:color="auto"/>
                                                    <w:right w:val="none" w:sz="0" w:space="0" w:color="auto"/>
                                                  </w:divBdr>
                                                  <w:divsChild>
                                                    <w:div w:id="2123263842">
                                                      <w:marLeft w:val="0"/>
                                                      <w:marRight w:val="0"/>
                                                      <w:marTop w:val="0"/>
                                                      <w:marBottom w:val="0"/>
                                                      <w:divBdr>
                                                        <w:top w:val="none" w:sz="0" w:space="0" w:color="auto"/>
                                                        <w:left w:val="none" w:sz="0" w:space="0" w:color="auto"/>
                                                        <w:bottom w:val="none" w:sz="0" w:space="0" w:color="auto"/>
                                                        <w:right w:val="none" w:sz="0" w:space="0" w:color="auto"/>
                                                      </w:divBdr>
                                                      <w:divsChild>
                                                        <w:div w:id="177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5182">
                                          <w:marLeft w:val="0"/>
                                          <w:marRight w:val="0"/>
                                          <w:marTop w:val="0"/>
                                          <w:marBottom w:val="0"/>
                                          <w:divBdr>
                                            <w:top w:val="none" w:sz="0" w:space="0" w:color="auto"/>
                                            <w:left w:val="none" w:sz="0" w:space="0" w:color="auto"/>
                                            <w:bottom w:val="none" w:sz="0" w:space="0" w:color="auto"/>
                                            <w:right w:val="none" w:sz="0" w:space="0" w:color="auto"/>
                                          </w:divBdr>
                                          <w:divsChild>
                                            <w:div w:id="1625959016">
                                              <w:marLeft w:val="0"/>
                                              <w:marRight w:val="0"/>
                                              <w:marTop w:val="0"/>
                                              <w:marBottom w:val="0"/>
                                              <w:divBdr>
                                                <w:top w:val="none" w:sz="0" w:space="0" w:color="auto"/>
                                                <w:left w:val="none" w:sz="0" w:space="0" w:color="auto"/>
                                                <w:bottom w:val="none" w:sz="0" w:space="0" w:color="auto"/>
                                                <w:right w:val="none" w:sz="0" w:space="0" w:color="auto"/>
                                              </w:divBdr>
                                              <w:divsChild>
                                                <w:div w:id="1053116794">
                                                  <w:marLeft w:val="0"/>
                                                  <w:marRight w:val="0"/>
                                                  <w:marTop w:val="0"/>
                                                  <w:marBottom w:val="0"/>
                                                  <w:divBdr>
                                                    <w:top w:val="none" w:sz="0" w:space="0" w:color="auto"/>
                                                    <w:left w:val="none" w:sz="0" w:space="0" w:color="auto"/>
                                                    <w:bottom w:val="none" w:sz="0" w:space="0" w:color="auto"/>
                                                    <w:right w:val="none" w:sz="0" w:space="0" w:color="auto"/>
                                                  </w:divBdr>
                                                  <w:divsChild>
                                                    <w:div w:id="1375930665">
                                                      <w:marLeft w:val="0"/>
                                                      <w:marRight w:val="0"/>
                                                      <w:marTop w:val="0"/>
                                                      <w:marBottom w:val="0"/>
                                                      <w:divBdr>
                                                        <w:top w:val="none" w:sz="0" w:space="0" w:color="auto"/>
                                                        <w:left w:val="none" w:sz="0" w:space="0" w:color="auto"/>
                                                        <w:bottom w:val="none" w:sz="0" w:space="0" w:color="auto"/>
                                                        <w:right w:val="none" w:sz="0" w:space="0" w:color="auto"/>
                                                      </w:divBdr>
                                                      <w:divsChild>
                                                        <w:div w:id="789007724">
                                                          <w:marLeft w:val="0"/>
                                                          <w:marRight w:val="0"/>
                                                          <w:marTop w:val="0"/>
                                                          <w:marBottom w:val="0"/>
                                                          <w:divBdr>
                                                            <w:top w:val="none" w:sz="0" w:space="0" w:color="auto"/>
                                                            <w:left w:val="none" w:sz="0" w:space="0" w:color="auto"/>
                                                            <w:bottom w:val="none" w:sz="0" w:space="0" w:color="auto"/>
                                                            <w:right w:val="none" w:sz="0" w:space="0" w:color="auto"/>
                                                          </w:divBdr>
                                                        </w:div>
                                                      </w:divsChild>
                                                    </w:div>
                                                    <w:div w:id="623584127">
                                                      <w:marLeft w:val="0"/>
                                                      <w:marRight w:val="0"/>
                                                      <w:marTop w:val="0"/>
                                                      <w:marBottom w:val="0"/>
                                                      <w:divBdr>
                                                        <w:top w:val="none" w:sz="0" w:space="0" w:color="auto"/>
                                                        <w:left w:val="none" w:sz="0" w:space="0" w:color="auto"/>
                                                        <w:bottom w:val="none" w:sz="0" w:space="0" w:color="auto"/>
                                                        <w:right w:val="none" w:sz="0" w:space="0" w:color="auto"/>
                                                      </w:divBdr>
                                                      <w:divsChild>
                                                        <w:div w:id="16867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1589">
                                          <w:marLeft w:val="0"/>
                                          <w:marRight w:val="0"/>
                                          <w:marTop w:val="0"/>
                                          <w:marBottom w:val="0"/>
                                          <w:divBdr>
                                            <w:top w:val="none" w:sz="0" w:space="0" w:color="auto"/>
                                            <w:left w:val="none" w:sz="0" w:space="0" w:color="auto"/>
                                            <w:bottom w:val="none" w:sz="0" w:space="0" w:color="auto"/>
                                            <w:right w:val="none" w:sz="0" w:space="0" w:color="auto"/>
                                          </w:divBdr>
                                          <w:divsChild>
                                            <w:div w:id="1968003139">
                                              <w:marLeft w:val="0"/>
                                              <w:marRight w:val="0"/>
                                              <w:marTop w:val="0"/>
                                              <w:marBottom w:val="0"/>
                                              <w:divBdr>
                                                <w:top w:val="none" w:sz="0" w:space="0" w:color="auto"/>
                                                <w:left w:val="none" w:sz="0" w:space="0" w:color="auto"/>
                                                <w:bottom w:val="none" w:sz="0" w:space="0" w:color="auto"/>
                                                <w:right w:val="none" w:sz="0" w:space="0" w:color="auto"/>
                                              </w:divBdr>
                                              <w:divsChild>
                                                <w:div w:id="476997739">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sChild>
                                                        <w:div w:id="43407299">
                                                          <w:marLeft w:val="0"/>
                                                          <w:marRight w:val="0"/>
                                                          <w:marTop w:val="0"/>
                                                          <w:marBottom w:val="0"/>
                                                          <w:divBdr>
                                                            <w:top w:val="none" w:sz="0" w:space="0" w:color="auto"/>
                                                            <w:left w:val="none" w:sz="0" w:space="0" w:color="auto"/>
                                                            <w:bottom w:val="none" w:sz="0" w:space="0" w:color="auto"/>
                                                            <w:right w:val="none" w:sz="0" w:space="0" w:color="auto"/>
                                                          </w:divBdr>
                                                        </w:div>
                                                      </w:divsChild>
                                                    </w:div>
                                                    <w:div w:id="626665282">
                                                      <w:marLeft w:val="0"/>
                                                      <w:marRight w:val="0"/>
                                                      <w:marTop w:val="0"/>
                                                      <w:marBottom w:val="0"/>
                                                      <w:divBdr>
                                                        <w:top w:val="none" w:sz="0" w:space="0" w:color="auto"/>
                                                        <w:left w:val="none" w:sz="0" w:space="0" w:color="auto"/>
                                                        <w:bottom w:val="none" w:sz="0" w:space="0" w:color="auto"/>
                                                        <w:right w:val="none" w:sz="0" w:space="0" w:color="auto"/>
                                                      </w:divBdr>
                                                      <w:divsChild>
                                                        <w:div w:id="177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D2AE8-149B-443F-898D-1D22D75B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Browning</dc:creator>
  <cp:keywords/>
  <dc:description/>
  <cp:lastModifiedBy>Ken Sherry</cp:lastModifiedBy>
  <cp:revision>3</cp:revision>
  <dcterms:created xsi:type="dcterms:W3CDTF">2019-04-17T14:45:00Z</dcterms:created>
  <dcterms:modified xsi:type="dcterms:W3CDTF">2019-04-17T14:46:00Z</dcterms:modified>
</cp:coreProperties>
</file>