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F34" w:rsidRPr="000B773F" w:rsidRDefault="00597F34" w:rsidP="00597F34">
      <w:pPr>
        <w:pStyle w:val="Heading1"/>
        <w:jc w:val="center"/>
        <w:rPr>
          <w:rFonts w:ascii="Georgia" w:hAnsi="Georgia"/>
          <w:sz w:val="16"/>
          <w:szCs w:val="16"/>
        </w:rPr>
      </w:pPr>
      <w:r>
        <w:rPr>
          <w:rFonts w:ascii="Georgia" w:hAnsi="Georgia"/>
          <w:noProof/>
        </w:rPr>
        <w:drawing>
          <wp:anchor distT="0" distB="0" distL="114300" distR="114300" simplePos="0" relativeHeight="251659264" behindDoc="0" locked="0" layoutInCell="1" allowOverlap="1" wp14:anchorId="2DA56DEA" wp14:editId="3E766294">
            <wp:simplePos x="0" y="0"/>
            <wp:positionH relativeFrom="column">
              <wp:align>left</wp:align>
            </wp:positionH>
            <wp:positionV relativeFrom="paragraph">
              <wp:posOffset>0</wp:posOffset>
            </wp:positionV>
            <wp:extent cx="619125" cy="1066800"/>
            <wp:effectExtent l="0" t="0" r="9525" b="0"/>
            <wp:wrapSquare wrapText="right"/>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Pr="000B773F">
        <w:rPr>
          <w:rFonts w:ascii="Georgia" w:hAnsi="Georgia"/>
        </w:rPr>
        <w:t xml:space="preserve">National </w:t>
      </w:r>
      <w:r>
        <w:rPr>
          <w:rFonts w:ascii="Georgia" w:hAnsi="Georgia"/>
        </w:rPr>
        <w:t>C</w:t>
      </w:r>
      <w:r w:rsidRPr="000B773F">
        <w:rPr>
          <w:rFonts w:ascii="Georgia" w:hAnsi="Georgia"/>
        </w:rPr>
        <w:t>omments</w:t>
      </w:r>
    </w:p>
    <w:p w:rsidR="00597F34" w:rsidRPr="000B773F" w:rsidRDefault="00597F34" w:rsidP="00597F34">
      <w:pPr>
        <w:pStyle w:val="Heading1"/>
        <w:jc w:val="center"/>
        <w:rPr>
          <w:rFonts w:ascii="Georgia" w:hAnsi="Georgia"/>
        </w:rPr>
      </w:pPr>
      <w:r w:rsidRPr="000B773F">
        <w:rPr>
          <w:rFonts w:ascii="Georgia" w:hAnsi="Georgia"/>
        </w:rPr>
        <w:t xml:space="preserve">Executive </w:t>
      </w:r>
      <w:r>
        <w:rPr>
          <w:rFonts w:ascii="Georgia" w:hAnsi="Georgia"/>
        </w:rPr>
        <w:t>R</w:t>
      </w:r>
      <w:r w:rsidRPr="000B773F">
        <w:rPr>
          <w:rFonts w:ascii="Georgia" w:hAnsi="Georgia"/>
        </w:rPr>
        <w:t xml:space="preserve">eview </w:t>
      </w:r>
      <w:r>
        <w:rPr>
          <w:rFonts w:ascii="Georgia" w:hAnsi="Georgia"/>
        </w:rPr>
        <w:t>S</w:t>
      </w:r>
      <w:r w:rsidRPr="000B773F">
        <w:rPr>
          <w:rFonts w:ascii="Georgia" w:hAnsi="Georgia"/>
        </w:rPr>
        <w:t>ummary</w:t>
      </w:r>
    </w:p>
    <w:p w:rsidR="00597F34" w:rsidRPr="000B773F" w:rsidRDefault="00597F34" w:rsidP="00597F34">
      <w:pPr>
        <w:jc w:val="center"/>
        <w:rPr>
          <w:rFonts w:ascii="Georgia" w:hAnsi="Georgia"/>
          <w:b/>
          <w:bCs/>
          <w:sz w:val="30"/>
          <w:szCs w:val="30"/>
        </w:rPr>
      </w:pPr>
    </w:p>
    <w:p w:rsidR="00597F34" w:rsidRPr="000B773F" w:rsidRDefault="00597F34" w:rsidP="00597F34">
      <w:pPr>
        <w:jc w:val="center"/>
        <w:rPr>
          <w:rFonts w:ascii="Georgia" w:hAnsi="Georgia"/>
          <w:b/>
          <w:bCs/>
          <w:sz w:val="30"/>
          <w:szCs w:val="30"/>
        </w:rPr>
      </w:pPr>
    </w:p>
    <w:p w:rsidR="00597F34" w:rsidRPr="00597F34" w:rsidRDefault="00597F34" w:rsidP="00597F34">
      <w:pPr>
        <w:rPr>
          <w:rStyle w:val="Strong"/>
          <w:rFonts w:ascii="Georgia" w:hAnsi="Georgia"/>
        </w:rPr>
      </w:pPr>
      <w:r w:rsidRPr="00597F34">
        <w:rPr>
          <w:rStyle w:val="Strong"/>
          <w:rFonts w:ascii="Georgia" w:hAnsi="Georgia"/>
        </w:rPr>
        <w:t>TCEQ Proposed Comments On:</w:t>
      </w:r>
    </w:p>
    <w:p w:rsidR="00733714" w:rsidRPr="0097312F" w:rsidRDefault="00174DC8" w:rsidP="00733714">
      <w:pPr>
        <w:pStyle w:val="BodyText"/>
        <w:rPr>
          <w:rStyle w:val="Strong"/>
          <w:b w:val="0"/>
          <w:i/>
        </w:rPr>
      </w:pPr>
      <w:r w:rsidRPr="008E4DE9">
        <w:t xml:space="preserve">On </w:t>
      </w:r>
      <w:r>
        <w:t>February 22, 2017</w:t>
      </w:r>
      <w:r w:rsidRPr="008E4DE9">
        <w:t>, the United States Env</w:t>
      </w:r>
      <w:r w:rsidRPr="00F80EEF">
        <w:t xml:space="preserve">ironmental Protection Agency (EPA) published </w:t>
      </w:r>
      <w:r>
        <w:t>a notice</w:t>
      </w:r>
      <w:r w:rsidRPr="00F80EEF">
        <w:t xml:space="preserve"> in the </w:t>
      </w:r>
      <w:r w:rsidRPr="00F80EEF">
        <w:rPr>
          <w:rStyle w:val="Emphasis"/>
        </w:rPr>
        <w:t>Federal Register</w:t>
      </w:r>
      <w:r w:rsidRPr="00F80EEF">
        <w:t xml:space="preserve"> </w:t>
      </w:r>
      <w:r>
        <w:t xml:space="preserve">(82 FR 11356) that the draft </w:t>
      </w:r>
      <w:bookmarkStart w:id="0" w:name="_GoBack"/>
      <w:r w:rsidRPr="00712308">
        <w:rPr>
          <w:i/>
        </w:rPr>
        <w:t>Review of the Primary National Ambient Air Quality Standards for Sulfur Oxides: Risk and Exposure Assessment Planning</w:t>
      </w:r>
      <w:bookmarkEnd w:id="0"/>
      <w:r w:rsidRPr="00712308">
        <w:rPr>
          <w:i/>
        </w:rPr>
        <w:t xml:space="preserve"> Document</w:t>
      </w:r>
      <w:r>
        <w:t xml:space="preserve"> (REA Planning Document) is available for public review and comment.</w:t>
      </w:r>
    </w:p>
    <w:p w:rsidR="00597F34" w:rsidRPr="00597F34" w:rsidRDefault="00597F34" w:rsidP="00597F34">
      <w:pPr>
        <w:rPr>
          <w:rStyle w:val="Strong"/>
          <w:rFonts w:ascii="Georgia" w:hAnsi="Georgia"/>
        </w:rPr>
      </w:pPr>
      <w:r w:rsidRPr="00597F34">
        <w:rPr>
          <w:rStyle w:val="Strong"/>
          <w:rFonts w:ascii="Georgia" w:hAnsi="Georgia"/>
        </w:rPr>
        <w:t>Overview of Proposal:</w:t>
      </w:r>
    </w:p>
    <w:p w:rsidR="00597F34" w:rsidRPr="00597F34" w:rsidRDefault="00174DC8" w:rsidP="00733714">
      <w:pPr>
        <w:pStyle w:val="BodyText"/>
        <w:rPr>
          <w:rStyle w:val="Strong"/>
          <w:b w:val="0"/>
        </w:rPr>
      </w:pPr>
      <w:r>
        <w:t>The REA Planning Document presents the EPA’s proposed approach for conducting quantitative analyses of sulfur dioxide (</w:t>
      </w:r>
      <w:r w:rsidRPr="001164EE">
        <w:t>SO</w:t>
      </w:r>
      <w:r w:rsidRPr="001164EE">
        <w:rPr>
          <w:vertAlign w:val="subscript"/>
        </w:rPr>
        <w:t>2</w:t>
      </w:r>
      <w:r>
        <w:t xml:space="preserve">) exposures and health risks as part of its current review of the National Ambient Air Quality Standard (NAAQS). </w:t>
      </w:r>
      <w:r w:rsidR="008935E2">
        <w:t>The final</w:t>
      </w:r>
      <w:r w:rsidR="00D71581">
        <w:t xml:space="preserve"> SO</w:t>
      </w:r>
      <w:r w:rsidR="00D71581" w:rsidRPr="00E55348">
        <w:rPr>
          <w:vertAlign w:val="subscript"/>
        </w:rPr>
        <w:t>2</w:t>
      </w:r>
      <w:r w:rsidR="008935E2">
        <w:t xml:space="preserve"> REA, anticipated to be released in </w:t>
      </w:r>
      <w:proofErr w:type="gramStart"/>
      <w:r w:rsidR="008935E2">
        <w:t>Spring</w:t>
      </w:r>
      <w:proofErr w:type="gramEnd"/>
      <w:r w:rsidR="008935E2">
        <w:t xml:space="preserve"> 2018, will inform decisions made in the subsequent Policy Assessment and Proposed Rule. </w:t>
      </w:r>
      <w:r>
        <w:t xml:space="preserve">Under a proposed consent decree (82 FR 4866), the EPA will issue its Proposed Rule no later than May 25, 2018, and will finalize the review of the primary </w:t>
      </w:r>
      <w:r w:rsidRPr="001164EE">
        <w:t>SO</w:t>
      </w:r>
      <w:r w:rsidRPr="001164EE">
        <w:rPr>
          <w:vertAlign w:val="subscript"/>
        </w:rPr>
        <w:t>2</w:t>
      </w:r>
      <w:r>
        <w:t xml:space="preserve"> NAAQS no later than January 28, 2019. The EPA last revised the primary SO</w:t>
      </w:r>
      <w:r w:rsidRPr="001164EE">
        <w:rPr>
          <w:vertAlign w:val="subscript"/>
        </w:rPr>
        <w:t>2</w:t>
      </w:r>
      <w:r>
        <w:t xml:space="preserve"> NAAQS based on the available scientific literature supporting that standard in 2010.</w:t>
      </w:r>
    </w:p>
    <w:p w:rsidR="00597F34" w:rsidRPr="00597F34" w:rsidRDefault="00597F34" w:rsidP="00597F34">
      <w:pPr>
        <w:rPr>
          <w:rStyle w:val="Strong"/>
          <w:rFonts w:ascii="Georgia" w:hAnsi="Georgia"/>
        </w:rPr>
      </w:pPr>
      <w:r w:rsidRPr="00597F34">
        <w:rPr>
          <w:rStyle w:val="Strong"/>
          <w:rFonts w:ascii="Georgia" w:hAnsi="Georgia"/>
        </w:rPr>
        <w:t xml:space="preserve">Summary of Comments: </w:t>
      </w:r>
    </w:p>
    <w:p w:rsidR="00703F7B" w:rsidRDefault="008935E2" w:rsidP="00733714">
      <w:pPr>
        <w:pStyle w:val="BodyText"/>
      </w:pPr>
      <w:r>
        <w:t>The</w:t>
      </w:r>
      <w:r w:rsidR="00D71581">
        <w:t xml:space="preserve"> SO</w:t>
      </w:r>
      <w:r w:rsidR="00D71581" w:rsidRPr="00E55348">
        <w:rPr>
          <w:vertAlign w:val="subscript"/>
        </w:rPr>
        <w:t>2</w:t>
      </w:r>
      <w:r>
        <w:t xml:space="preserve"> </w:t>
      </w:r>
      <w:r w:rsidR="005E768D">
        <w:t>REA Planning Document outlines various new analytical approaches that will be conducted in the forthcoming REA. The TCEQ encourages the EPA to consider the following points in this planning phase and in the drafting of the REA.</w:t>
      </w:r>
    </w:p>
    <w:p w:rsidR="008935E2" w:rsidRDefault="002A04FB" w:rsidP="005E768D">
      <w:pPr>
        <w:pStyle w:val="BodyText"/>
      </w:pPr>
      <w:r>
        <w:t>Generally, the EPA should approach the upcoming analysis with the goal of having a stable and robust standard with clearly articulated risk estimates. As in the last SO</w:t>
      </w:r>
      <w:r w:rsidRPr="002A04FB">
        <w:rPr>
          <w:vertAlign w:val="subscript"/>
        </w:rPr>
        <w:t>2</w:t>
      </w:r>
      <w:r>
        <w:t xml:space="preserve"> NAAQS review</w:t>
      </w:r>
      <w:r w:rsidR="005E768D">
        <w:t xml:space="preserve">, the EPA should continue to consider </w:t>
      </w:r>
      <w:r w:rsidR="005E768D" w:rsidRPr="008935E2">
        <w:t xml:space="preserve">the stability and robustness of the duration of </w:t>
      </w:r>
      <w:r w:rsidR="005E768D">
        <w:t>the</w:t>
      </w:r>
      <w:r w:rsidR="005E768D" w:rsidRPr="008935E2">
        <w:t xml:space="preserve"> SO</w:t>
      </w:r>
      <w:r w:rsidR="005E768D" w:rsidRPr="002A04FB">
        <w:rPr>
          <w:vertAlign w:val="subscript"/>
        </w:rPr>
        <w:t>2</w:t>
      </w:r>
      <w:r w:rsidR="005E768D" w:rsidRPr="008935E2">
        <w:t xml:space="preserve"> standard and maintain the 1-hour duration</w:t>
      </w:r>
      <w:r w:rsidR="005E768D">
        <w:t>. Further, t</w:t>
      </w:r>
      <w:r w:rsidR="008935E2" w:rsidRPr="008935E2">
        <w:t xml:space="preserve">he EPA should include uncertainty bounds in its presentation of risk assessment results to allow for more </w:t>
      </w:r>
      <w:r>
        <w:t xml:space="preserve">accurate and </w:t>
      </w:r>
      <w:r w:rsidR="008935E2" w:rsidRPr="008935E2">
        <w:t>meaningful communication of risk.</w:t>
      </w:r>
    </w:p>
    <w:p w:rsidR="008935E2" w:rsidRPr="008935E2" w:rsidRDefault="00256E9C" w:rsidP="00256E9C">
      <w:pPr>
        <w:pStyle w:val="BodyText"/>
        <w:rPr>
          <w:rStyle w:val="Heading4Char"/>
          <w:rFonts w:ascii="Georgia" w:eastAsiaTheme="minorHAnsi" w:hAnsi="Georgia" w:cstheme="minorBidi"/>
          <w:b w:val="0"/>
          <w:iCs w:val="0"/>
          <w:szCs w:val="24"/>
        </w:rPr>
      </w:pPr>
      <w:r>
        <w:t xml:space="preserve">The EPA should also clarify </w:t>
      </w:r>
      <w:r w:rsidR="00D71581">
        <w:t xml:space="preserve">several </w:t>
      </w:r>
      <w:r>
        <w:t xml:space="preserve">issues with the </w:t>
      </w:r>
      <w:r w:rsidR="00D71581">
        <w:t>SO</w:t>
      </w:r>
      <w:r w:rsidR="00D71581" w:rsidRPr="00E55348">
        <w:rPr>
          <w:vertAlign w:val="subscript"/>
        </w:rPr>
        <w:t>2</w:t>
      </w:r>
      <w:r w:rsidR="00D71581">
        <w:t xml:space="preserve"> </w:t>
      </w:r>
      <w:r>
        <w:t xml:space="preserve">exposure-response (E-R) curve. Specifically, the </w:t>
      </w:r>
      <w:r w:rsidR="008935E2" w:rsidRPr="008935E2">
        <w:t xml:space="preserve">EPA should </w:t>
      </w:r>
      <w:r>
        <w:t xml:space="preserve">more </w:t>
      </w:r>
      <w:r w:rsidR="008935E2" w:rsidRPr="008935E2">
        <w:t>clearly articulate the shape of the E-R curve for SO</w:t>
      </w:r>
      <w:r w:rsidR="008935E2" w:rsidRPr="002A04FB">
        <w:rPr>
          <w:vertAlign w:val="subscript"/>
        </w:rPr>
        <w:t>2</w:t>
      </w:r>
      <w:r w:rsidR="008935E2" w:rsidRPr="008935E2">
        <w:t>-mediated decrements in specific airway resistance (</w:t>
      </w:r>
      <w:proofErr w:type="spellStart"/>
      <w:r w:rsidR="008935E2" w:rsidRPr="008935E2">
        <w:t>sRaw</w:t>
      </w:r>
      <w:proofErr w:type="spellEnd"/>
      <w:r w:rsidR="008935E2" w:rsidRPr="008935E2">
        <w:t>)</w:t>
      </w:r>
      <w:r w:rsidR="008935E2" w:rsidRPr="008935E2">
        <w:rPr>
          <w:rStyle w:val="Heading4Char"/>
          <w:rFonts w:ascii="Georgia" w:eastAsiaTheme="minorHAnsi" w:hAnsi="Georgia" w:cstheme="minorBidi"/>
          <w:b w:val="0"/>
          <w:iCs w:val="0"/>
          <w:szCs w:val="24"/>
        </w:rPr>
        <w:t>.</w:t>
      </w:r>
      <w:r>
        <w:rPr>
          <w:rStyle w:val="Heading4Char"/>
          <w:rFonts w:ascii="Georgia" w:eastAsiaTheme="minorHAnsi" w:hAnsi="Georgia" w:cstheme="minorBidi"/>
          <w:b w:val="0"/>
          <w:iCs w:val="0"/>
          <w:szCs w:val="24"/>
        </w:rPr>
        <w:t xml:space="preserve"> The evidence suggests a threshold of effects </w:t>
      </w:r>
      <w:r w:rsidR="007A7B81">
        <w:rPr>
          <w:rStyle w:val="Heading4Char"/>
          <w:rFonts w:ascii="Georgia" w:eastAsiaTheme="minorHAnsi" w:hAnsi="Georgia" w:cstheme="minorBidi"/>
          <w:b w:val="0"/>
          <w:iCs w:val="0"/>
          <w:szCs w:val="24"/>
        </w:rPr>
        <w:t>at least</w:t>
      </w:r>
      <w:r>
        <w:rPr>
          <w:rStyle w:val="Heading4Char"/>
          <w:rFonts w:ascii="Georgia" w:eastAsiaTheme="minorHAnsi" w:hAnsi="Georgia" w:cstheme="minorBidi"/>
          <w:b w:val="0"/>
          <w:iCs w:val="0"/>
          <w:szCs w:val="24"/>
        </w:rPr>
        <w:t xml:space="preserve"> 200 ppb, so t</w:t>
      </w:r>
      <w:r w:rsidR="008935E2" w:rsidRPr="008935E2">
        <w:t>he EPA should accurately portray the uncertainties of</w:t>
      </w:r>
      <w:r w:rsidR="00D71581">
        <w:t xml:space="preserve"> risk attributed to</w:t>
      </w:r>
      <w:r w:rsidR="008935E2" w:rsidRPr="008935E2">
        <w:t xml:space="preserve"> </w:t>
      </w:r>
      <w:r w:rsidR="007A7B81" w:rsidRPr="008935E2">
        <w:t>SO</w:t>
      </w:r>
      <w:r w:rsidR="007A7B81" w:rsidRPr="002A04FB">
        <w:rPr>
          <w:vertAlign w:val="subscript"/>
        </w:rPr>
        <w:t>2</w:t>
      </w:r>
      <w:r w:rsidR="007A7B81" w:rsidRPr="008935E2">
        <w:t xml:space="preserve"> </w:t>
      </w:r>
      <w:r w:rsidR="008935E2" w:rsidRPr="008935E2">
        <w:t>exposures at concentrations less than 200 ppb and provide a clearer justification for the use of benchmarks below 200 ppb in its analysis.</w:t>
      </w:r>
      <w:r>
        <w:t xml:space="preserve"> </w:t>
      </w:r>
      <w:r w:rsidR="008935E2" w:rsidRPr="008935E2">
        <w:rPr>
          <w:rStyle w:val="Heading4Char"/>
          <w:rFonts w:ascii="Georgia" w:eastAsiaTheme="minorHAnsi" w:hAnsi="Georgia" w:cstheme="minorBidi"/>
          <w:b w:val="0"/>
          <w:iCs w:val="0"/>
          <w:szCs w:val="24"/>
        </w:rPr>
        <w:t xml:space="preserve">The EPA should </w:t>
      </w:r>
      <w:r>
        <w:rPr>
          <w:rStyle w:val="Heading4Char"/>
          <w:rFonts w:ascii="Georgia" w:eastAsiaTheme="minorHAnsi" w:hAnsi="Georgia" w:cstheme="minorBidi"/>
          <w:b w:val="0"/>
          <w:iCs w:val="0"/>
          <w:szCs w:val="24"/>
        </w:rPr>
        <w:t xml:space="preserve">also </w:t>
      </w:r>
      <w:r w:rsidR="008935E2" w:rsidRPr="008935E2">
        <w:rPr>
          <w:rStyle w:val="Heading4Char"/>
          <w:rFonts w:ascii="Georgia" w:eastAsiaTheme="minorHAnsi" w:hAnsi="Georgia" w:cstheme="minorBidi"/>
          <w:b w:val="0"/>
          <w:iCs w:val="0"/>
          <w:szCs w:val="24"/>
        </w:rPr>
        <w:t xml:space="preserve">reconsider using logit and </w:t>
      </w:r>
      <w:proofErr w:type="spellStart"/>
      <w:r w:rsidR="008935E2" w:rsidRPr="008935E2">
        <w:rPr>
          <w:rStyle w:val="Heading4Char"/>
          <w:rFonts w:ascii="Georgia" w:eastAsiaTheme="minorHAnsi" w:hAnsi="Georgia" w:cstheme="minorBidi"/>
          <w:b w:val="0"/>
          <w:iCs w:val="0"/>
          <w:szCs w:val="24"/>
        </w:rPr>
        <w:t>probit</w:t>
      </w:r>
      <w:proofErr w:type="spellEnd"/>
      <w:r w:rsidR="008935E2" w:rsidRPr="008935E2">
        <w:rPr>
          <w:rStyle w:val="Heading4Char"/>
          <w:rFonts w:ascii="Georgia" w:eastAsiaTheme="minorHAnsi" w:hAnsi="Georgia" w:cstheme="minorBidi"/>
          <w:b w:val="0"/>
          <w:iCs w:val="0"/>
          <w:szCs w:val="24"/>
        </w:rPr>
        <w:t xml:space="preserve"> E-R functions that estimate risk of SO</w:t>
      </w:r>
      <w:r w:rsidR="008935E2" w:rsidRPr="002A04FB">
        <w:rPr>
          <w:rStyle w:val="Heading4Char"/>
          <w:rFonts w:ascii="Georgia" w:eastAsiaTheme="minorHAnsi" w:hAnsi="Georgia" w:cstheme="minorBidi"/>
          <w:b w:val="0"/>
          <w:iCs w:val="0"/>
          <w:szCs w:val="24"/>
          <w:vertAlign w:val="subscript"/>
        </w:rPr>
        <w:t>2</w:t>
      </w:r>
      <w:r w:rsidR="008935E2" w:rsidRPr="008935E2">
        <w:rPr>
          <w:rStyle w:val="Heading4Char"/>
          <w:rFonts w:ascii="Georgia" w:eastAsiaTheme="minorHAnsi" w:hAnsi="Georgia" w:cstheme="minorBidi"/>
          <w:b w:val="0"/>
          <w:iCs w:val="0"/>
          <w:szCs w:val="24"/>
        </w:rPr>
        <w:t xml:space="preserve"> exposure at 0 ppb SO</w:t>
      </w:r>
      <w:r w:rsidR="008935E2" w:rsidRPr="002A04FB">
        <w:rPr>
          <w:rStyle w:val="Heading4Char"/>
          <w:rFonts w:ascii="Georgia" w:eastAsiaTheme="minorHAnsi" w:hAnsi="Georgia" w:cstheme="minorBidi"/>
          <w:b w:val="0"/>
          <w:iCs w:val="0"/>
          <w:szCs w:val="24"/>
          <w:vertAlign w:val="subscript"/>
        </w:rPr>
        <w:t>2</w:t>
      </w:r>
      <w:r w:rsidR="008935E2" w:rsidRPr="008935E2">
        <w:rPr>
          <w:rStyle w:val="Heading4Char"/>
          <w:rFonts w:ascii="Georgia" w:eastAsiaTheme="minorHAnsi" w:hAnsi="Georgia" w:cstheme="minorBidi"/>
          <w:b w:val="0"/>
          <w:iCs w:val="0"/>
          <w:szCs w:val="24"/>
        </w:rPr>
        <w:t xml:space="preserve"> concentrations.</w:t>
      </w:r>
    </w:p>
    <w:p w:rsidR="008935E2" w:rsidRPr="008935E2" w:rsidRDefault="00256E9C" w:rsidP="00256E9C">
      <w:pPr>
        <w:pStyle w:val="BodyText"/>
      </w:pPr>
      <w:r>
        <w:t>The EPA should provide additional information on its modeling for the</w:t>
      </w:r>
      <w:r w:rsidR="00D71581">
        <w:t xml:space="preserve"> SO</w:t>
      </w:r>
      <w:r w:rsidR="00D71581" w:rsidRPr="00E55348">
        <w:rPr>
          <w:vertAlign w:val="subscript"/>
        </w:rPr>
        <w:t>2</w:t>
      </w:r>
      <w:r>
        <w:t xml:space="preserve"> REA. </w:t>
      </w:r>
      <w:r w:rsidR="008935E2" w:rsidRPr="008935E2">
        <w:t>Modeling data should be verified against monitored data (5-minute ambient concentrations) or experimental data (microenvironment data) to improve confidence in the model. The results of these comparisons should be presented in the REA.</w:t>
      </w:r>
      <w:r>
        <w:t xml:space="preserve"> </w:t>
      </w:r>
      <w:r w:rsidR="008935E2" w:rsidRPr="008935E2">
        <w:t>The EPA should</w:t>
      </w:r>
      <w:r>
        <w:t xml:space="preserve"> also</w:t>
      </w:r>
      <w:r w:rsidR="008935E2" w:rsidRPr="008935E2">
        <w:t xml:space="preserve"> finalize which analyses will be included in the REA in the REA Planning Document</w:t>
      </w:r>
      <w:r>
        <w:t xml:space="preserve">. </w:t>
      </w:r>
      <w:r w:rsidR="008935E2" w:rsidRPr="008935E2">
        <w:t xml:space="preserve">While </w:t>
      </w:r>
      <w:r w:rsidR="007A7B81">
        <w:t>the air pollution exposure (</w:t>
      </w:r>
      <w:r w:rsidR="008935E2" w:rsidRPr="008935E2">
        <w:t>APEX</w:t>
      </w:r>
      <w:r w:rsidR="007A7B81">
        <w:t>) model</w:t>
      </w:r>
      <w:r w:rsidR="008935E2" w:rsidRPr="008935E2">
        <w:t xml:space="preserve"> is being updated, the TCEQ encourages the EPA to develop a graphic user interface for the program. </w:t>
      </w:r>
    </w:p>
    <w:p w:rsidR="008935E2" w:rsidRPr="008935E2" w:rsidRDefault="00256E9C" w:rsidP="00256E9C">
      <w:pPr>
        <w:pStyle w:val="BodyText"/>
      </w:pPr>
      <w:r>
        <w:lastRenderedPageBreak/>
        <w:t xml:space="preserve">Finally, the EPA should more fully discuss its rationale for </w:t>
      </w:r>
      <w:r w:rsidR="00B363E2">
        <w:t xml:space="preserve">its determination of the level at which changes in </w:t>
      </w:r>
      <w:proofErr w:type="spellStart"/>
      <w:r w:rsidR="00B363E2">
        <w:t>sRaw</w:t>
      </w:r>
      <w:proofErr w:type="spellEnd"/>
      <w:r w:rsidR="00B363E2">
        <w:t xml:space="preserve"> become adverse</w:t>
      </w:r>
      <w:r w:rsidR="00D71581">
        <w:t>;</w:t>
      </w:r>
      <w:r w:rsidR="00B363E2">
        <w:t xml:space="preserve"> its position that the selected model cities are sufficiently representative</w:t>
      </w:r>
      <w:r w:rsidR="00D71581">
        <w:t>;</w:t>
      </w:r>
      <w:r w:rsidR="00B363E2">
        <w:t xml:space="preserve"> and </w:t>
      </w:r>
      <w:r>
        <w:t>how it will, in the absence of</w:t>
      </w:r>
      <w:r w:rsidR="008935E2" w:rsidRPr="008935E2">
        <w:t xml:space="preserve"> a quantitative </w:t>
      </w:r>
      <w:r w:rsidR="007A7B81" w:rsidRPr="008935E2">
        <w:t xml:space="preserve">uncertainty </w:t>
      </w:r>
      <w:r w:rsidR="007A7B81">
        <w:t>analysis</w:t>
      </w:r>
      <w:r w:rsidR="008935E2" w:rsidRPr="008935E2">
        <w:t xml:space="preserve">, use a balanced, science-grounded approach to its qualitative </w:t>
      </w:r>
      <w:r w:rsidR="00D71581">
        <w:t xml:space="preserve">uncertainty </w:t>
      </w:r>
      <w:r w:rsidR="008935E2" w:rsidRPr="008935E2">
        <w:t>evaluation</w:t>
      </w:r>
      <w:r w:rsidR="00B363E2">
        <w:t>. In all instances</w:t>
      </w:r>
      <w:r w:rsidR="008935E2" w:rsidRPr="008935E2">
        <w:t xml:space="preserve">, </w:t>
      </w:r>
      <w:r w:rsidR="00B363E2">
        <w:t>the TCEQ encourages the EPA t</w:t>
      </w:r>
      <w:r w:rsidR="008935E2" w:rsidRPr="008935E2">
        <w:t>o present important uncertainties together with risk estimates.</w:t>
      </w:r>
    </w:p>
    <w:p w:rsidR="00733714" w:rsidRPr="00597F34" w:rsidRDefault="00597F34" w:rsidP="00050631">
      <w:pPr>
        <w:spacing w:after="120"/>
        <w:rPr>
          <w:rFonts w:ascii="Georgia" w:hAnsi="Georgia"/>
        </w:rPr>
      </w:pPr>
      <w:r w:rsidRPr="00597F34">
        <w:rPr>
          <w:rStyle w:val="Strong"/>
          <w:rFonts w:ascii="Georgia" w:hAnsi="Georgia"/>
        </w:rPr>
        <w:t xml:space="preserve">Lead Office:  </w:t>
      </w:r>
      <w:r w:rsidR="00733714">
        <w:rPr>
          <w:rFonts w:ascii="Georgia" w:hAnsi="Georgia"/>
        </w:rPr>
        <w:t>Toxicology Division</w:t>
      </w:r>
    </w:p>
    <w:p w:rsidR="00733714" w:rsidRPr="00597F34" w:rsidRDefault="00597F34" w:rsidP="00050631">
      <w:pPr>
        <w:spacing w:after="120"/>
        <w:rPr>
          <w:rFonts w:ascii="Georgia" w:hAnsi="Georgia"/>
        </w:rPr>
      </w:pPr>
      <w:r w:rsidRPr="00597F34">
        <w:rPr>
          <w:rStyle w:val="Strong"/>
          <w:rFonts w:ascii="Georgia" w:hAnsi="Georgia"/>
        </w:rPr>
        <w:t xml:space="preserve">Internal Coordination: </w:t>
      </w:r>
      <w:r w:rsidRPr="00597F34">
        <w:rPr>
          <w:rFonts w:ascii="Georgia" w:hAnsi="Georgia"/>
        </w:rPr>
        <w:t xml:space="preserve"> </w:t>
      </w:r>
      <w:r w:rsidR="00733714">
        <w:rPr>
          <w:rFonts w:ascii="Georgia" w:hAnsi="Georgia"/>
        </w:rPr>
        <w:t xml:space="preserve">Lindsey Jones, Sabine Lange, </w:t>
      </w:r>
      <w:r w:rsidR="00050631">
        <w:rPr>
          <w:rFonts w:ascii="Georgia" w:hAnsi="Georgia"/>
        </w:rPr>
        <w:t xml:space="preserve">Jennifer McKinney, </w:t>
      </w:r>
      <w:r w:rsidR="00733714">
        <w:rPr>
          <w:rFonts w:ascii="Georgia" w:hAnsi="Georgia"/>
        </w:rPr>
        <w:t>Tiffany Bredfeldt, Angela Curry, Toxicology Division</w:t>
      </w:r>
    </w:p>
    <w:p w:rsidR="00597F34" w:rsidRPr="00597F34" w:rsidRDefault="00597F34" w:rsidP="00050631">
      <w:pPr>
        <w:spacing w:after="120"/>
        <w:rPr>
          <w:rFonts w:ascii="Georgia" w:hAnsi="Georgia"/>
        </w:rPr>
      </w:pPr>
      <w:r w:rsidRPr="00597F34">
        <w:rPr>
          <w:rStyle w:val="Strong"/>
          <w:rFonts w:ascii="Georgia" w:hAnsi="Georgia"/>
        </w:rPr>
        <w:t>Office of Legal Services:</w:t>
      </w:r>
      <w:r w:rsidRPr="00597F34">
        <w:rPr>
          <w:rFonts w:ascii="Georgia" w:hAnsi="Georgia"/>
        </w:rPr>
        <w:t xml:space="preserve">  </w:t>
      </w:r>
      <w:r w:rsidR="00050631">
        <w:rPr>
          <w:rFonts w:ascii="Georgia" w:hAnsi="Georgia"/>
        </w:rPr>
        <w:t xml:space="preserve">Terry Salem, </w:t>
      </w:r>
      <w:r w:rsidR="008935E2">
        <w:rPr>
          <w:rFonts w:ascii="Georgia" w:hAnsi="Georgia"/>
        </w:rPr>
        <w:t xml:space="preserve">Nicolas Parke, </w:t>
      </w:r>
      <w:r w:rsidR="00050631">
        <w:rPr>
          <w:rFonts w:ascii="Georgia" w:hAnsi="Georgia"/>
        </w:rPr>
        <w:t>Environmental Law Division</w:t>
      </w:r>
    </w:p>
    <w:p w:rsidR="00597F34" w:rsidRPr="0060135F" w:rsidRDefault="00597F34" w:rsidP="00050631">
      <w:pPr>
        <w:spacing w:after="120"/>
        <w:rPr>
          <w:rFonts w:ascii="Georgia" w:hAnsi="Georgia"/>
          <w:bCs/>
        </w:rPr>
      </w:pPr>
      <w:r w:rsidRPr="00597F34">
        <w:rPr>
          <w:rStyle w:val="Strong"/>
          <w:rFonts w:ascii="Georgia" w:hAnsi="Georgia"/>
        </w:rPr>
        <w:t xml:space="preserve">Director Approval:  </w:t>
      </w:r>
      <w:r w:rsidR="0060135F" w:rsidRPr="0060135F">
        <w:rPr>
          <w:rFonts w:ascii="Georgia" w:hAnsi="Georgia"/>
          <w:bCs/>
        </w:rPr>
        <w:t>Michael Honeycutt, Toxicology Division</w:t>
      </w:r>
    </w:p>
    <w:p w:rsidR="00A03680" w:rsidRPr="00597F34" w:rsidRDefault="00D425DC" w:rsidP="00050631">
      <w:pPr>
        <w:spacing w:after="120"/>
      </w:pPr>
      <w:r>
        <w:rPr>
          <w:rStyle w:val="Strong"/>
          <w:rFonts w:ascii="Georgia" w:hAnsi="Georgia"/>
        </w:rPr>
        <w:t>Deadline</w:t>
      </w:r>
      <w:r w:rsidR="00597F34" w:rsidRPr="00597F34">
        <w:rPr>
          <w:rFonts w:ascii="Georgia" w:hAnsi="Georgia"/>
        </w:rPr>
        <w:t>:</w:t>
      </w:r>
      <w:r w:rsidR="008935E2">
        <w:rPr>
          <w:rFonts w:ascii="Georgia" w:hAnsi="Georgia"/>
        </w:rPr>
        <w:t xml:space="preserve">  April 13</w:t>
      </w:r>
      <w:r w:rsidR="00050631" w:rsidRPr="00050631">
        <w:rPr>
          <w:rFonts w:ascii="Georgia" w:hAnsi="Georgia"/>
        </w:rPr>
        <w:t>, 2017</w:t>
      </w:r>
    </w:p>
    <w:sectPr w:rsidR="00A03680" w:rsidRPr="00597F34" w:rsidSect="00A960F0">
      <w:headerReference w:type="default" r:id="rId9"/>
      <w:footerReference w:type="default" r:id="rId10"/>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18C" w:rsidRDefault="0069318C">
      <w:r>
        <w:separator/>
      </w:r>
    </w:p>
  </w:endnote>
  <w:endnote w:type="continuationSeparator" w:id="0">
    <w:p w:rsidR="0069318C" w:rsidRDefault="0069318C">
      <w:r>
        <w:continuationSeparator/>
      </w:r>
    </w:p>
  </w:endnote>
  <w:endnote w:type="continuationNotice" w:id="1">
    <w:p w:rsidR="00F50101" w:rsidRDefault="00F50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52" w:rsidRPr="00B02E65" w:rsidRDefault="00D55A80">
    <w:pPr>
      <w:rPr>
        <w:rFonts w:ascii="Georgia" w:hAnsi="Georgi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18C" w:rsidRDefault="0069318C">
      <w:r>
        <w:separator/>
      </w:r>
    </w:p>
  </w:footnote>
  <w:footnote w:type="continuationSeparator" w:id="0">
    <w:p w:rsidR="0069318C" w:rsidRDefault="0069318C">
      <w:r>
        <w:continuationSeparator/>
      </w:r>
    </w:p>
  </w:footnote>
  <w:footnote w:type="continuationNotice" w:id="1">
    <w:p w:rsidR="00F50101" w:rsidRDefault="00F501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101" w:rsidRDefault="00F501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C6B58CD"/>
    <w:multiLevelType w:val="hybridMultilevel"/>
    <w:tmpl w:val="DB76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3"/>
  </w:num>
  <w:num w:numId="9">
    <w:abstractNumId w:val="12"/>
  </w:num>
  <w:num w:numId="10">
    <w:abstractNumId w:val="11"/>
  </w:num>
  <w:num w:numId="11">
    <w:abstractNumId w:val="7"/>
  </w:num>
  <w:num w:numId="12">
    <w:abstractNumId w:val="9"/>
  </w:num>
  <w:num w:numId="13">
    <w:abstractNumId w:val="8"/>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trackRevisions/>
  <w:defaultTabStop w:val="720"/>
  <w:clickAndTypeStyle w:val="BodyTex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34"/>
    <w:rsid w:val="00050631"/>
    <w:rsid w:val="00051B7F"/>
    <w:rsid w:val="00060630"/>
    <w:rsid w:val="00116413"/>
    <w:rsid w:val="00167952"/>
    <w:rsid w:val="00172CC9"/>
    <w:rsid w:val="00174DC8"/>
    <w:rsid w:val="001A17DC"/>
    <w:rsid w:val="001F0D2F"/>
    <w:rsid w:val="00256E9C"/>
    <w:rsid w:val="00261265"/>
    <w:rsid w:val="00267310"/>
    <w:rsid w:val="002677C4"/>
    <w:rsid w:val="00297D38"/>
    <w:rsid w:val="002A04FB"/>
    <w:rsid w:val="002D4E2D"/>
    <w:rsid w:val="002E28F4"/>
    <w:rsid w:val="003024D2"/>
    <w:rsid w:val="00351FD0"/>
    <w:rsid w:val="00393C75"/>
    <w:rsid w:val="003B41DF"/>
    <w:rsid w:val="003F5ABB"/>
    <w:rsid w:val="004A151F"/>
    <w:rsid w:val="004D1785"/>
    <w:rsid w:val="004D2CA6"/>
    <w:rsid w:val="005464F5"/>
    <w:rsid w:val="0055212A"/>
    <w:rsid w:val="00557C47"/>
    <w:rsid w:val="00597F34"/>
    <w:rsid w:val="005B5493"/>
    <w:rsid w:val="005E768D"/>
    <w:rsid w:val="005F337F"/>
    <w:rsid w:val="0060135F"/>
    <w:rsid w:val="00630094"/>
    <w:rsid w:val="0065525B"/>
    <w:rsid w:val="0066237B"/>
    <w:rsid w:val="006711F4"/>
    <w:rsid w:val="006730D8"/>
    <w:rsid w:val="0069318C"/>
    <w:rsid w:val="006A24FC"/>
    <w:rsid w:val="006C6CEB"/>
    <w:rsid w:val="00703F7B"/>
    <w:rsid w:val="007142DB"/>
    <w:rsid w:val="00720D87"/>
    <w:rsid w:val="0072249E"/>
    <w:rsid w:val="00727F1C"/>
    <w:rsid w:val="00732647"/>
    <w:rsid w:val="00733714"/>
    <w:rsid w:val="00746472"/>
    <w:rsid w:val="0075745D"/>
    <w:rsid w:val="007942B1"/>
    <w:rsid w:val="007A7B81"/>
    <w:rsid w:val="007F1D92"/>
    <w:rsid w:val="007F5FB9"/>
    <w:rsid w:val="00824B69"/>
    <w:rsid w:val="00826E50"/>
    <w:rsid w:val="008755F2"/>
    <w:rsid w:val="008935E2"/>
    <w:rsid w:val="008A1138"/>
    <w:rsid w:val="008E33DD"/>
    <w:rsid w:val="009255A6"/>
    <w:rsid w:val="00964528"/>
    <w:rsid w:val="00974E8C"/>
    <w:rsid w:val="00996B99"/>
    <w:rsid w:val="009C2564"/>
    <w:rsid w:val="00A03680"/>
    <w:rsid w:val="00A2193F"/>
    <w:rsid w:val="00A75BA9"/>
    <w:rsid w:val="00AB074C"/>
    <w:rsid w:val="00B02DB1"/>
    <w:rsid w:val="00B363E2"/>
    <w:rsid w:val="00B3681B"/>
    <w:rsid w:val="00B4403F"/>
    <w:rsid w:val="00B519FF"/>
    <w:rsid w:val="00BF000E"/>
    <w:rsid w:val="00C95864"/>
    <w:rsid w:val="00D425DC"/>
    <w:rsid w:val="00D44331"/>
    <w:rsid w:val="00D55A80"/>
    <w:rsid w:val="00D65EC5"/>
    <w:rsid w:val="00D71581"/>
    <w:rsid w:val="00D9218C"/>
    <w:rsid w:val="00DA1121"/>
    <w:rsid w:val="00DB2BCD"/>
    <w:rsid w:val="00DB788B"/>
    <w:rsid w:val="00DE443B"/>
    <w:rsid w:val="00E14844"/>
    <w:rsid w:val="00E50AEA"/>
    <w:rsid w:val="00E55348"/>
    <w:rsid w:val="00E910F6"/>
    <w:rsid w:val="00EF6A56"/>
    <w:rsid w:val="00F50101"/>
    <w:rsid w:val="00F56A6D"/>
    <w:rsid w:val="00F56E78"/>
    <w:rsid w:val="00F84C3B"/>
    <w:rsid w:val="00FB1469"/>
    <w:rsid w:val="00FB1DEC"/>
    <w:rsid w:val="00FD51BC"/>
    <w:rsid w:val="00FE0C98"/>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4551C-98A3-446D-8F6F-AF0025E9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F34"/>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widowControl/>
      <w:tabs>
        <w:tab w:val="left" w:pos="720"/>
      </w:tabs>
      <w:autoSpaceDE/>
      <w:autoSpaceDN/>
      <w:adjustRightInd/>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widowControl/>
      <w:tabs>
        <w:tab w:val="left" w:pos="720"/>
      </w:tabs>
      <w:autoSpaceDE/>
      <w:autoSpaceDN/>
      <w:adjustRightInd/>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widowControl/>
      <w:tabs>
        <w:tab w:val="left" w:pos="720"/>
      </w:tabs>
      <w:autoSpaceDE/>
      <w:autoSpaceDN/>
      <w:adjustRightInd/>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widowControl/>
      <w:tabs>
        <w:tab w:val="left" w:pos="720"/>
      </w:tabs>
      <w:autoSpaceDE/>
      <w:autoSpaceDN/>
      <w:adjustRightInd/>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0"/>
    <w:qFormat/>
    <w:rsid w:val="00AB074C"/>
    <w:rPr>
      <w:i/>
      <w:iCs/>
    </w:rPr>
  </w:style>
  <w:style w:type="character" w:styleId="Strong">
    <w:name w:val="Strong"/>
    <w:uiPriority w:val="2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widowControl/>
      <w:tabs>
        <w:tab w:val="left" w:pos="720"/>
      </w:tabs>
      <w:autoSpaceDE/>
      <w:autoSpaceDN/>
      <w:adjustRightInd/>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widowControl/>
      <w:tabs>
        <w:tab w:val="left" w:pos="720"/>
      </w:tabs>
      <w:autoSpaceDE/>
      <w:autoSpaceDN/>
      <w:adjustRightInd/>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widowControl/>
      <w:tabs>
        <w:tab w:val="left" w:pos="720"/>
      </w:tabs>
      <w:autoSpaceDE/>
      <w:autoSpaceDN/>
      <w:adjustRightInd/>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widowControl/>
      <w:tabs>
        <w:tab w:val="left" w:pos="720"/>
      </w:tabs>
      <w:autoSpaceDE/>
      <w:autoSpaceDN/>
      <w:adjustRightInd/>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widowControl/>
      <w:tabs>
        <w:tab w:val="left" w:pos="720"/>
      </w:tabs>
      <w:autoSpaceDE/>
      <w:autoSpaceDN/>
      <w:adjustRightInd/>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widowControl/>
      <w:tabs>
        <w:tab w:val="left" w:pos="720"/>
      </w:tabs>
      <w:autoSpaceDE/>
      <w:autoSpaceDN/>
      <w:adjustRightInd/>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widowControl/>
      <w:tabs>
        <w:tab w:val="left" w:pos="720"/>
      </w:tabs>
      <w:autoSpaceDE/>
      <w:autoSpaceDN/>
      <w:adjustRightInd/>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widowControl/>
      <w:tabs>
        <w:tab w:val="left" w:pos="720"/>
      </w:tabs>
      <w:autoSpaceDE/>
      <w:autoSpaceDN/>
      <w:adjustRightInd/>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TOC2">
    <w:name w:val="toc 2"/>
    <w:basedOn w:val="Normal"/>
    <w:next w:val="Normal"/>
    <w:autoRedefine/>
    <w:semiHidden/>
    <w:rsid w:val="00AB074C"/>
    <w:pPr>
      <w:widowControl/>
      <w:tabs>
        <w:tab w:val="left" w:pos="720"/>
      </w:tabs>
      <w:autoSpaceDE/>
      <w:autoSpaceDN/>
      <w:adjustRightInd/>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widowControl/>
      <w:tabs>
        <w:tab w:val="left" w:pos="720"/>
      </w:tabs>
      <w:autoSpaceDE/>
      <w:autoSpaceDN/>
      <w:adjustRightInd/>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widowControl/>
      <w:tabs>
        <w:tab w:val="left" w:pos="720"/>
      </w:tabs>
      <w:autoSpaceDE/>
      <w:autoSpaceDN/>
      <w:adjustRightInd/>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widowControl/>
      <w:tabs>
        <w:tab w:val="left" w:pos="720"/>
      </w:tabs>
      <w:autoSpaceDE/>
      <w:autoSpaceDN/>
      <w:adjustRightInd/>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widowControl/>
      <w:tabs>
        <w:tab w:val="left" w:pos="720"/>
      </w:tabs>
      <w:autoSpaceDE/>
      <w:autoSpaceDN/>
      <w:adjustRightInd/>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widowControl/>
      <w:tabs>
        <w:tab w:val="left" w:pos="720"/>
      </w:tabs>
      <w:autoSpaceDE/>
      <w:autoSpaceDN/>
      <w:adjustRightInd/>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widowControl/>
      <w:tabs>
        <w:tab w:val="left" w:pos="720"/>
      </w:tabs>
      <w:autoSpaceDE/>
      <w:autoSpaceDN/>
      <w:adjustRightInd/>
      <w:spacing w:before="-1" w:after="-1"/>
      <w:ind w:left="1920"/>
    </w:pPr>
    <w:rPr>
      <w:rFonts w:ascii="Georgia" w:eastAsiaTheme="minorHAnsi" w:hAnsi="Georgia" w:cstheme="minorBidi"/>
    </w:rPr>
  </w:style>
  <w:style w:type="paragraph" w:styleId="NormalIndent">
    <w:name w:val="Normal Indent"/>
    <w:basedOn w:val="Normal"/>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widowControl/>
      <w:tabs>
        <w:tab w:val="left" w:pos="720"/>
      </w:tabs>
      <w:autoSpaceDE/>
      <w:autoSpaceDN/>
      <w:adjustRightInd/>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pPr>
      <w:widowControl/>
      <w:tabs>
        <w:tab w:val="left" w:pos="720"/>
      </w:tabs>
      <w:autoSpaceDE/>
      <w:autoSpaceDN/>
      <w:adjustRightInd/>
      <w:spacing w:before="-1" w:after="-1"/>
    </w:pPr>
    <w:rPr>
      <w:rFonts w:ascii="Arial" w:eastAsiaTheme="minorHAnsi" w:hAnsi="Arial" w:cs="Arial"/>
      <w:b/>
      <w:bCs/>
    </w:rPr>
  </w:style>
  <w:style w:type="paragraph" w:styleId="TableofFigures">
    <w:name w:val="table of figures"/>
    <w:basedOn w:val="Normal"/>
    <w:next w:val="Normal"/>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widowControl/>
      <w:tabs>
        <w:tab w:val="left" w:pos="720"/>
      </w:tabs>
      <w:autoSpaceDE/>
      <w:autoSpaceDN/>
      <w:adjustRightInd/>
      <w:spacing w:before="-1" w:after="-1"/>
      <w:ind w:left="2880"/>
    </w:pPr>
    <w:rPr>
      <w:rFonts w:ascii="Arial" w:eastAsiaTheme="minorHAnsi" w:hAnsi="Arial" w:cs="Arial"/>
    </w:rPr>
  </w:style>
  <w:style w:type="paragraph" w:styleId="EnvelopeReturn">
    <w:name w:val="envelope return"/>
    <w:basedOn w:val="Normal"/>
    <w:semiHidden/>
    <w:rsid w:val="00AB074C"/>
    <w:pPr>
      <w:widowControl/>
      <w:tabs>
        <w:tab w:val="left" w:pos="720"/>
      </w:tabs>
      <w:autoSpaceDE/>
      <w:autoSpaceDN/>
      <w:adjustRightInd/>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widowControl/>
      <w:tabs>
        <w:tab w:val="left" w:pos="720"/>
      </w:tabs>
      <w:autoSpaceDE/>
      <w:autoSpaceDN/>
      <w:adjustRightInd/>
      <w:spacing w:before="120" w:after="-1"/>
    </w:pPr>
    <w:rPr>
      <w:rFonts w:ascii="Arial" w:eastAsiaTheme="minorHAnsi" w:hAnsi="Arial" w:cs="Arial"/>
      <w:b/>
      <w:bCs/>
    </w:rPr>
  </w:style>
  <w:style w:type="paragraph" w:styleId="List2">
    <w:name w:val="List 2"/>
    <w:basedOn w:val="Normal"/>
    <w:uiPriority w:val="5"/>
    <w:semiHidden/>
    <w:unhideWhenUsed/>
    <w:rsid w:val="00AB074C"/>
    <w:pPr>
      <w:widowControl/>
      <w:tabs>
        <w:tab w:val="left" w:pos="720"/>
      </w:tabs>
      <w:autoSpaceDE/>
      <w:autoSpaceDN/>
      <w:adjustRightInd/>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widowControl/>
      <w:tabs>
        <w:tab w:val="left" w:pos="720"/>
      </w:tabs>
      <w:autoSpaceDE/>
      <w:autoSpaceDN/>
      <w:adjustRightInd/>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widowControl/>
      <w:tabs>
        <w:tab w:val="left" w:pos="720"/>
      </w:tabs>
      <w:autoSpaceDE/>
      <w:autoSpaceDN/>
      <w:adjustRightInd/>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widowControl/>
      <w:tabs>
        <w:tab w:val="left" w:pos="720"/>
      </w:tabs>
      <w:autoSpaceDE/>
      <w:autoSpaceDN/>
      <w:adjustRightInd/>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widowControl/>
      <w:numPr>
        <w:numId w:val="1"/>
      </w:numPr>
      <w:tabs>
        <w:tab w:val="left" w:pos="720"/>
      </w:tabs>
      <w:autoSpaceDE/>
      <w:autoSpaceDN/>
      <w:adjustRightInd/>
      <w:spacing w:before="-1" w:after="-1"/>
    </w:pPr>
    <w:rPr>
      <w:rFonts w:ascii="Georgia" w:eastAsiaTheme="minorHAnsi" w:hAnsi="Georgia" w:cstheme="minorBidi"/>
    </w:rPr>
  </w:style>
  <w:style w:type="paragraph" w:styleId="ListBullet4">
    <w:name w:val="List Bullet 4"/>
    <w:basedOn w:val="Normal"/>
    <w:uiPriority w:val="5"/>
    <w:semiHidden/>
    <w:rsid w:val="00AB074C"/>
    <w:pPr>
      <w:widowControl/>
      <w:numPr>
        <w:numId w:val="2"/>
      </w:numPr>
      <w:tabs>
        <w:tab w:val="left" w:pos="720"/>
      </w:tabs>
      <w:autoSpaceDE/>
      <w:autoSpaceDN/>
      <w:adjustRightInd/>
      <w:spacing w:before="-1" w:after="-1"/>
    </w:pPr>
    <w:rPr>
      <w:rFonts w:ascii="Georgia" w:eastAsiaTheme="minorHAnsi" w:hAnsi="Georgia" w:cstheme="minorBidi"/>
    </w:rPr>
  </w:style>
  <w:style w:type="paragraph" w:styleId="ListBullet5">
    <w:name w:val="List Bullet 5"/>
    <w:basedOn w:val="Normal"/>
    <w:uiPriority w:val="5"/>
    <w:semiHidden/>
    <w:rsid w:val="00AB074C"/>
    <w:pPr>
      <w:widowControl/>
      <w:numPr>
        <w:numId w:val="3"/>
      </w:numPr>
      <w:tabs>
        <w:tab w:val="left" w:pos="720"/>
      </w:tabs>
      <w:autoSpaceDE/>
      <w:autoSpaceDN/>
      <w:adjustRightInd/>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widowControl/>
      <w:numPr>
        <w:numId w:val="4"/>
      </w:numPr>
      <w:autoSpaceDE/>
      <w:autoSpaceDN/>
      <w:adjustRightInd/>
      <w:spacing w:before="-1" w:after="-1"/>
    </w:pPr>
    <w:rPr>
      <w:rFonts w:ascii="Georgia" w:eastAsiaTheme="minorHAnsi" w:hAnsi="Georgia" w:cstheme="minorBidi"/>
    </w:rPr>
  </w:style>
  <w:style w:type="paragraph" w:styleId="ListNumber3">
    <w:name w:val="List Number 3"/>
    <w:basedOn w:val="Normal"/>
    <w:uiPriority w:val="5"/>
    <w:semiHidden/>
    <w:rsid w:val="00AB074C"/>
    <w:pPr>
      <w:widowControl/>
      <w:numPr>
        <w:numId w:val="5"/>
      </w:numPr>
      <w:tabs>
        <w:tab w:val="left" w:pos="720"/>
      </w:tabs>
      <w:autoSpaceDE/>
      <w:autoSpaceDN/>
      <w:adjustRightInd/>
      <w:spacing w:before="-1" w:after="-1"/>
    </w:pPr>
    <w:rPr>
      <w:rFonts w:ascii="Georgia" w:eastAsiaTheme="minorHAnsi" w:hAnsi="Georgia" w:cstheme="minorBidi"/>
    </w:rPr>
  </w:style>
  <w:style w:type="paragraph" w:styleId="ListNumber4">
    <w:name w:val="List Number 4"/>
    <w:basedOn w:val="Normal"/>
    <w:uiPriority w:val="5"/>
    <w:semiHidden/>
    <w:rsid w:val="00AB074C"/>
    <w:pPr>
      <w:widowControl/>
      <w:numPr>
        <w:numId w:val="6"/>
      </w:numPr>
      <w:tabs>
        <w:tab w:val="left" w:pos="720"/>
      </w:tabs>
      <w:autoSpaceDE/>
      <w:autoSpaceDN/>
      <w:adjustRightInd/>
      <w:spacing w:before="-1" w:after="-1"/>
    </w:pPr>
    <w:rPr>
      <w:rFonts w:ascii="Georgia" w:eastAsiaTheme="minorHAnsi" w:hAnsi="Georgia" w:cstheme="minorBidi"/>
    </w:rPr>
  </w:style>
  <w:style w:type="paragraph" w:styleId="ListNumber5">
    <w:name w:val="List Number 5"/>
    <w:basedOn w:val="Normal"/>
    <w:uiPriority w:val="5"/>
    <w:semiHidden/>
    <w:rsid w:val="00AB074C"/>
    <w:pPr>
      <w:widowControl/>
      <w:numPr>
        <w:numId w:val="7"/>
      </w:numPr>
      <w:tabs>
        <w:tab w:val="left" w:pos="720"/>
      </w:tabs>
      <w:autoSpaceDE/>
      <w:autoSpaceDN/>
      <w:adjustRightInd/>
      <w:spacing w:before="-1" w:after="-1"/>
    </w:pPr>
    <w:rPr>
      <w:rFonts w:ascii="Georgia" w:eastAsiaTheme="minorHAnsi" w:hAnsi="Georgia" w:cstheme="minorBidi"/>
    </w:rPr>
  </w:style>
  <w:style w:type="paragraph" w:styleId="Closing">
    <w:name w:val="Closing"/>
    <w:basedOn w:val="Normal"/>
    <w:link w:val="Closing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widowControl/>
      <w:tabs>
        <w:tab w:val="left" w:pos="720"/>
      </w:tabs>
      <w:autoSpaceDE/>
      <w:autoSpaceDN/>
      <w:adjustRightInd/>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widowControl/>
      <w:tabs>
        <w:tab w:val="left" w:pos="720"/>
      </w:tabs>
      <w:autoSpaceDE/>
      <w:autoSpaceDN/>
      <w:adjustRightInd/>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widowControl/>
      <w:tabs>
        <w:tab w:val="left" w:pos="720"/>
      </w:tabs>
      <w:autoSpaceDE/>
      <w:autoSpaceDN/>
      <w:adjustRightInd/>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widowControl/>
      <w:tabs>
        <w:tab w:val="left" w:pos="720"/>
      </w:tabs>
      <w:autoSpaceDE/>
      <w:autoSpaceDN/>
      <w:adjustRightInd/>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widowControl/>
      <w:tabs>
        <w:tab w:val="left" w:pos="720"/>
      </w:tabs>
      <w:autoSpaceDE/>
      <w:autoSpaceDN/>
      <w:adjustRightInd/>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widowControl/>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before="-1" w:after="-1"/>
      <w:ind w:left="1080" w:hanging="1080"/>
    </w:pPr>
    <w:rPr>
      <w:rFonts w:ascii="Arial" w:eastAsiaTheme="minorHAnsi"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widowControl/>
      <w:tabs>
        <w:tab w:val="left" w:pos="720"/>
      </w:tabs>
      <w:autoSpaceDE/>
      <w:autoSpaceDN/>
      <w:adjustRightInd/>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widowControl/>
      <w:tabs>
        <w:tab w:val="left" w:pos="720"/>
      </w:tabs>
      <w:autoSpaceDE/>
      <w:autoSpaceDN/>
      <w:adjustRightInd/>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widowControl/>
      <w:tabs>
        <w:tab w:val="left" w:pos="720"/>
      </w:tabs>
      <w:autoSpaceDE/>
      <w:autoSpaceDN/>
      <w:adjustRightInd/>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widowControl/>
      <w:tabs>
        <w:tab w:val="left" w:pos="720"/>
      </w:tabs>
      <w:autoSpaceDE/>
      <w:autoSpaceDN/>
      <w:adjustRightInd/>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widowControl/>
      <w:shd w:val="clear" w:color="auto" w:fill="FFFF00"/>
      <w:tabs>
        <w:tab w:val="left" w:pos="720"/>
      </w:tabs>
      <w:autoSpaceDE/>
      <w:autoSpaceDN/>
      <w:adjustRightInd/>
      <w:spacing w:before="-1" w:after="-1"/>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pPr>
      <w:widowControl/>
      <w:tabs>
        <w:tab w:val="left" w:pos="720"/>
      </w:tabs>
      <w:autoSpaceDE/>
      <w:autoSpaceDN/>
      <w:adjustRightInd/>
      <w:spacing w:before="-1" w:after="-1"/>
    </w:pPr>
    <w:rPr>
      <w:rFonts w:ascii="Georgia" w:eastAsiaTheme="minorHAnsi" w:hAnsi="Georgia" w:cstheme="minorBidi"/>
    </w:rPr>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pPr>
      <w:widowControl/>
      <w:tabs>
        <w:tab w:val="left" w:pos="720"/>
      </w:tabs>
      <w:autoSpaceDE/>
      <w:autoSpaceDN/>
      <w:adjustRightInd/>
      <w:spacing w:before="-1" w:after="-1"/>
    </w:pPr>
    <w:rPr>
      <w:rFonts w:ascii="Georgia" w:eastAsiaTheme="minorHAnsi" w:hAnsi="Georgia" w:cstheme="minorBidi"/>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pPr>
      <w:widowControl/>
      <w:tabs>
        <w:tab w:val="left" w:pos="720"/>
      </w:tabs>
      <w:autoSpaceDE/>
      <w:autoSpaceDN/>
      <w:adjustRightInd/>
      <w:spacing w:before="-1" w:after="-1"/>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412C7-96CA-4A35-AE94-7E2408DF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Redmond</dc:creator>
  <cp:lastModifiedBy>Ken Sherry</cp:lastModifiedBy>
  <cp:revision>2</cp:revision>
  <dcterms:created xsi:type="dcterms:W3CDTF">2017-04-13T14:08:00Z</dcterms:created>
  <dcterms:modified xsi:type="dcterms:W3CDTF">2017-04-13T14:08:00Z</dcterms:modified>
</cp:coreProperties>
</file>