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E10" w:rsidRPr="007E5D71" w:rsidRDefault="00C10ED6" w:rsidP="000B773F">
      <w:pPr>
        <w:pStyle w:val="Heading1"/>
        <w:jc w:val="center"/>
        <w:rPr>
          <w:rFonts w:ascii="Lucida Bright" w:hAnsi="Lucida Bright"/>
          <w:sz w:val="16"/>
          <w:szCs w:val="16"/>
        </w:rPr>
      </w:pPr>
      <w:r>
        <w:rPr>
          <w:rFonts w:ascii="Lucida Bright" w:hAnsi="Lucida Bright"/>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7E5D71">
        <w:rPr>
          <w:rFonts w:ascii="Lucida Bright" w:hAnsi="Lucida Bright"/>
        </w:rPr>
        <w:t>National Comments</w:t>
      </w:r>
    </w:p>
    <w:p w:rsidR="00971E10" w:rsidRPr="007E5D71" w:rsidRDefault="00DA4BA8" w:rsidP="00BC7F91">
      <w:pPr>
        <w:pStyle w:val="Heading1"/>
        <w:spacing w:after="240"/>
        <w:jc w:val="center"/>
        <w:rPr>
          <w:rFonts w:ascii="Lucida Bright" w:hAnsi="Lucida Bright"/>
        </w:rPr>
      </w:pPr>
      <w:r w:rsidRPr="007E5D71">
        <w:rPr>
          <w:rFonts w:ascii="Lucida Bright" w:hAnsi="Lucida Bright"/>
        </w:rPr>
        <w:t>Executive Review Summary</w:t>
      </w:r>
    </w:p>
    <w:p w:rsidR="00971E10" w:rsidRPr="000B773F" w:rsidRDefault="00971E10">
      <w:pPr>
        <w:jc w:val="center"/>
        <w:rPr>
          <w:rFonts w:ascii="Georgia" w:hAnsi="Georgia"/>
          <w:b/>
          <w:bCs/>
          <w:sz w:val="30"/>
          <w:szCs w:val="30"/>
        </w:rPr>
      </w:pPr>
    </w:p>
    <w:p w:rsidR="000B773F" w:rsidRPr="007E5D71" w:rsidRDefault="000B773F">
      <w:pPr>
        <w:jc w:val="center"/>
        <w:rPr>
          <w:rFonts w:ascii="Lucida Bright" w:hAnsi="Lucida Bright"/>
          <w:b/>
          <w:bCs/>
          <w:sz w:val="30"/>
          <w:szCs w:val="30"/>
        </w:rPr>
      </w:pPr>
    </w:p>
    <w:p w:rsidR="00C21680" w:rsidRPr="007E5D71" w:rsidRDefault="00DA4BA8" w:rsidP="00D608E8">
      <w:pPr>
        <w:spacing w:after="120"/>
        <w:rPr>
          <w:rFonts w:ascii="Lucida Bright" w:hAnsi="Lucida Bright"/>
          <w:sz w:val="22"/>
          <w:szCs w:val="22"/>
        </w:rPr>
      </w:pPr>
      <w:r w:rsidRPr="007E5D71">
        <w:rPr>
          <w:rStyle w:val="Strong"/>
          <w:rFonts w:ascii="Lucida Bright" w:hAnsi="Lucida Bright"/>
          <w:sz w:val="22"/>
          <w:szCs w:val="22"/>
        </w:rPr>
        <w:t>TCEQ Proposed Comments On</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7E5D71">
        <w:rPr>
          <w:rFonts w:ascii="Lucida Bright" w:hAnsi="Lucida Bright"/>
          <w:bCs/>
          <w:sz w:val="22"/>
          <w:szCs w:val="22"/>
        </w:rPr>
        <w:t>Repeal of C</w:t>
      </w:r>
      <w:r w:rsidR="009508E1" w:rsidRPr="007E5D71">
        <w:rPr>
          <w:rFonts w:ascii="Lucida Bright" w:hAnsi="Lucida Bright"/>
          <w:bCs/>
          <w:sz w:val="22"/>
          <w:szCs w:val="22"/>
        </w:rPr>
        <w:t xml:space="preserve">arbon Pollution Emission Guidelines for Existing Stationary Sources: Electric Utility Generating Units; Proposed Rule; EPA Docket ID No. </w:t>
      </w:r>
      <w:bookmarkStart w:id="0" w:name="_GoBack"/>
      <w:r w:rsidR="009508E1" w:rsidRPr="007E5D71">
        <w:rPr>
          <w:rFonts w:ascii="Lucida Bright" w:hAnsi="Lucida Bright"/>
          <w:bCs/>
          <w:sz w:val="22"/>
          <w:szCs w:val="22"/>
        </w:rPr>
        <w:t>EPA-HQ-OAR-201</w:t>
      </w:r>
      <w:r w:rsidR="007E5D71">
        <w:rPr>
          <w:rFonts w:ascii="Lucida Bright" w:hAnsi="Lucida Bright"/>
          <w:bCs/>
          <w:sz w:val="22"/>
          <w:szCs w:val="22"/>
        </w:rPr>
        <w:t>7</w:t>
      </w:r>
      <w:r w:rsidR="009508E1" w:rsidRPr="007E5D71">
        <w:rPr>
          <w:rFonts w:ascii="Lucida Bright" w:hAnsi="Lucida Bright"/>
          <w:bCs/>
          <w:sz w:val="22"/>
          <w:szCs w:val="22"/>
        </w:rPr>
        <w:t>-</w:t>
      </w:r>
      <w:r w:rsidR="007E5D71">
        <w:rPr>
          <w:rFonts w:ascii="Lucida Bright" w:hAnsi="Lucida Bright"/>
          <w:bCs/>
          <w:sz w:val="22"/>
          <w:szCs w:val="22"/>
        </w:rPr>
        <w:t>0355</w:t>
      </w:r>
      <w:bookmarkEnd w:id="0"/>
    </w:p>
    <w:p w:rsidR="00155F25" w:rsidRPr="007E5D71" w:rsidRDefault="00155F25" w:rsidP="00C21680">
      <w:pPr>
        <w:rPr>
          <w:rStyle w:val="Strong"/>
          <w:rFonts w:ascii="Lucida Bright" w:hAnsi="Lucida Bright"/>
          <w:sz w:val="22"/>
          <w:szCs w:val="22"/>
        </w:rPr>
      </w:pPr>
    </w:p>
    <w:p w:rsidR="00971E10" w:rsidRPr="007E5D71" w:rsidRDefault="00DA4BA8" w:rsidP="00C21680">
      <w:pPr>
        <w:rPr>
          <w:rFonts w:ascii="Lucida Bright" w:hAnsi="Lucida Bright"/>
          <w:sz w:val="22"/>
          <w:szCs w:val="22"/>
        </w:rPr>
      </w:pPr>
      <w:r w:rsidRPr="007E5D71">
        <w:rPr>
          <w:rStyle w:val="Strong"/>
          <w:rFonts w:ascii="Lucida Bright" w:hAnsi="Lucida Bright"/>
          <w:sz w:val="22"/>
          <w:szCs w:val="22"/>
        </w:rPr>
        <w:t>Overview of Proposal</w:t>
      </w:r>
      <w:r w:rsidR="00C21680" w:rsidRPr="007E5D71">
        <w:rPr>
          <w:rStyle w:val="Strong"/>
          <w:rFonts w:ascii="Lucida Bright" w:hAnsi="Lucida Bright"/>
          <w:sz w:val="22"/>
          <w:szCs w:val="22"/>
        </w:rPr>
        <w:t>:</w:t>
      </w:r>
    </w:p>
    <w:p w:rsidR="00971E10" w:rsidRPr="007E5D71" w:rsidRDefault="007E5D71" w:rsidP="00027864">
      <w:pPr>
        <w:spacing w:after="58"/>
        <w:rPr>
          <w:rStyle w:val="Strong"/>
          <w:rFonts w:ascii="Lucida Bright" w:hAnsi="Lucida Bright"/>
          <w:b w:val="0"/>
          <w:bCs w:val="0"/>
          <w:sz w:val="22"/>
          <w:szCs w:val="22"/>
        </w:rPr>
      </w:pPr>
      <w:r w:rsidRPr="00F278E0">
        <w:rPr>
          <w:rFonts w:ascii="Lucida Bright" w:hAnsi="Lucida Bright"/>
          <w:sz w:val="22"/>
          <w:szCs w:val="22"/>
        </w:rPr>
        <w:t xml:space="preserve">On </w:t>
      </w:r>
      <w:r>
        <w:rPr>
          <w:rFonts w:ascii="Lucida Bright" w:hAnsi="Lucida Bright"/>
          <w:sz w:val="22"/>
          <w:szCs w:val="22"/>
        </w:rPr>
        <w:t>October 16, 2017</w:t>
      </w:r>
      <w:r w:rsidRPr="00F278E0">
        <w:rPr>
          <w:rFonts w:ascii="Lucida Bright" w:hAnsi="Lucida Bright"/>
          <w:sz w:val="22"/>
          <w:szCs w:val="22"/>
        </w:rPr>
        <w:t xml:space="preserve">, the United States Environmental Protection Agency (EPA) proposed </w:t>
      </w:r>
      <w:r>
        <w:rPr>
          <w:rFonts w:ascii="Lucida Bright" w:hAnsi="Lucida Bright"/>
          <w:sz w:val="22"/>
          <w:szCs w:val="22"/>
        </w:rPr>
        <w:t>to repeal the</w:t>
      </w:r>
      <w:r w:rsidRPr="00F278E0">
        <w:rPr>
          <w:rFonts w:ascii="Lucida Bright" w:hAnsi="Lucida Bright"/>
          <w:sz w:val="22"/>
          <w:szCs w:val="22"/>
        </w:rPr>
        <w:t xml:space="preserve"> </w:t>
      </w:r>
      <w:r>
        <w:rPr>
          <w:rFonts w:ascii="Lucida Bright" w:hAnsi="Lucida Bright"/>
          <w:sz w:val="22"/>
          <w:szCs w:val="22"/>
        </w:rPr>
        <w:t>C</w:t>
      </w:r>
      <w:r w:rsidRPr="00F278E0">
        <w:rPr>
          <w:rFonts w:ascii="Lucida Bright" w:hAnsi="Lucida Bright"/>
          <w:sz w:val="22"/>
          <w:szCs w:val="22"/>
        </w:rPr>
        <w:t xml:space="preserve">arbon </w:t>
      </w:r>
      <w:r>
        <w:rPr>
          <w:rFonts w:ascii="Lucida Bright" w:hAnsi="Lucida Bright"/>
          <w:sz w:val="22"/>
          <w:szCs w:val="22"/>
        </w:rPr>
        <w:t>P</w:t>
      </w:r>
      <w:r w:rsidRPr="00F278E0">
        <w:rPr>
          <w:rFonts w:ascii="Lucida Bright" w:hAnsi="Lucida Bright"/>
          <w:sz w:val="22"/>
          <w:szCs w:val="22"/>
        </w:rPr>
        <w:t xml:space="preserve">ollution </w:t>
      </w:r>
      <w:r>
        <w:rPr>
          <w:rFonts w:ascii="Lucida Bright" w:hAnsi="Lucida Bright"/>
          <w:sz w:val="22"/>
          <w:szCs w:val="22"/>
        </w:rPr>
        <w:t>E</w:t>
      </w:r>
      <w:r w:rsidRPr="00F278E0">
        <w:rPr>
          <w:rFonts w:ascii="Lucida Bright" w:hAnsi="Lucida Bright"/>
          <w:sz w:val="22"/>
          <w:szCs w:val="22"/>
        </w:rPr>
        <w:t xml:space="preserve">mission </w:t>
      </w:r>
      <w:r>
        <w:rPr>
          <w:rFonts w:ascii="Lucida Bright" w:hAnsi="Lucida Bright"/>
          <w:sz w:val="22"/>
          <w:szCs w:val="22"/>
        </w:rPr>
        <w:t>G</w:t>
      </w:r>
      <w:r w:rsidRPr="00F278E0">
        <w:rPr>
          <w:rFonts w:ascii="Lucida Bright" w:hAnsi="Lucida Bright"/>
          <w:sz w:val="22"/>
          <w:szCs w:val="22"/>
        </w:rPr>
        <w:t xml:space="preserve">uidelines for </w:t>
      </w:r>
      <w:r>
        <w:rPr>
          <w:rFonts w:ascii="Lucida Bright" w:hAnsi="Lucida Bright"/>
          <w:sz w:val="22"/>
          <w:szCs w:val="22"/>
        </w:rPr>
        <w:t>E</w:t>
      </w:r>
      <w:r w:rsidRPr="00F278E0">
        <w:rPr>
          <w:rFonts w:ascii="Lucida Bright" w:hAnsi="Lucida Bright"/>
          <w:sz w:val="22"/>
          <w:szCs w:val="22"/>
        </w:rPr>
        <w:t xml:space="preserve">xisting </w:t>
      </w:r>
      <w:r>
        <w:rPr>
          <w:rFonts w:ascii="Lucida Bright" w:hAnsi="Lucida Bright"/>
          <w:sz w:val="22"/>
          <w:szCs w:val="22"/>
        </w:rPr>
        <w:t>Electric U</w:t>
      </w:r>
      <w:r w:rsidRPr="00F278E0">
        <w:rPr>
          <w:rFonts w:ascii="Lucida Bright" w:hAnsi="Lucida Bright"/>
          <w:sz w:val="22"/>
          <w:szCs w:val="22"/>
        </w:rPr>
        <w:t xml:space="preserve">tility </w:t>
      </w:r>
      <w:r>
        <w:rPr>
          <w:rFonts w:ascii="Lucida Bright" w:hAnsi="Lucida Bright"/>
          <w:sz w:val="22"/>
          <w:szCs w:val="22"/>
        </w:rPr>
        <w:t>G</w:t>
      </w:r>
      <w:r w:rsidRPr="00F278E0">
        <w:rPr>
          <w:rFonts w:ascii="Lucida Bright" w:hAnsi="Lucida Bright"/>
          <w:sz w:val="22"/>
          <w:szCs w:val="22"/>
        </w:rPr>
        <w:t xml:space="preserve">enerating </w:t>
      </w:r>
      <w:r>
        <w:rPr>
          <w:rFonts w:ascii="Lucida Bright" w:hAnsi="Lucida Bright"/>
          <w:sz w:val="22"/>
          <w:szCs w:val="22"/>
        </w:rPr>
        <w:t>U</w:t>
      </w:r>
      <w:r w:rsidRPr="00F278E0">
        <w:rPr>
          <w:rFonts w:ascii="Lucida Bright" w:hAnsi="Lucida Bright"/>
          <w:sz w:val="22"/>
          <w:szCs w:val="22"/>
        </w:rPr>
        <w:t>nits (EGU)</w:t>
      </w:r>
      <w:r>
        <w:rPr>
          <w:rFonts w:ascii="Lucida Bright" w:hAnsi="Lucida Bright"/>
          <w:sz w:val="22"/>
          <w:szCs w:val="22"/>
        </w:rPr>
        <w:t>, also referred to as the Clean Power Plan (CPP),</w:t>
      </w:r>
      <w:r w:rsidRPr="00F278E0">
        <w:rPr>
          <w:rFonts w:ascii="Lucida Bright" w:hAnsi="Lucida Bright"/>
          <w:sz w:val="22"/>
          <w:szCs w:val="22"/>
        </w:rPr>
        <w:t xml:space="preserve"> </w:t>
      </w:r>
      <w:r>
        <w:rPr>
          <w:rFonts w:ascii="Lucida Bright" w:hAnsi="Lucida Bright"/>
          <w:sz w:val="22"/>
          <w:szCs w:val="22"/>
        </w:rPr>
        <w:t xml:space="preserve">adopted </w:t>
      </w:r>
      <w:r w:rsidRPr="00F278E0">
        <w:rPr>
          <w:rFonts w:ascii="Lucida Bright" w:hAnsi="Lucida Bright"/>
          <w:sz w:val="22"/>
          <w:szCs w:val="22"/>
        </w:rPr>
        <w:t xml:space="preserve">under </w:t>
      </w:r>
      <w:r w:rsidR="00145C8F">
        <w:rPr>
          <w:rFonts w:ascii="Lucida Bright" w:hAnsi="Lucida Bright"/>
          <w:sz w:val="22"/>
          <w:szCs w:val="22"/>
        </w:rPr>
        <w:t>F</w:t>
      </w:r>
      <w:r w:rsidRPr="00F278E0">
        <w:rPr>
          <w:rFonts w:ascii="Lucida Bright" w:hAnsi="Lucida Bright"/>
          <w:sz w:val="22"/>
          <w:szCs w:val="22"/>
        </w:rPr>
        <w:t>ederal Clean Air Act (FCAA)</w:t>
      </w:r>
      <w:r w:rsidR="00145C8F">
        <w:rPr>
          <w:rFonts w:ascii="Lucida Bright" w:hAnsi="Lucida Bright"/>
          <w:sz w:val="22"/>
          <w:szCs w:val="22"/>
        </w:rPr>
        <w:t>,</w:t>
      </w:r>
      <w:r>
        <w:rPr>
          <w:rFonts w:ascii="Lucida Bright" w:hAnsi="Lucida Bright"/>
          <w:sz w:val="22"/>
          <w:szCs w:val="22"/>
        </w:rPr>
        <w:t xml:space="preserve"> </w:t>
      </w:r>
      <w:r w:rsidRPr="00F278E0">
        <w:rPr>
          <w:rFonts w:ascii="Lucida Bright" w:hAnsi="Lucida Bright"/>
          <w:sz w:val="22"/>
          <w:szCs w:val="22"/>
        </w:rPr>
        <w:t>§111(d). The propos</w:t>
      </w:r>
      <w:r>
        <w:rPr>
          <w:rFonts w:ascii="Lucida Bright" w:hAnsi="Lucida Bright"/>
          <w:sz w:val="22"/>
          <w:szCs w:val="22"/>
        </w:rPr>
        <w:t>al would repeal</w:t>
      </w:r>
      <w:r w:rsidRPr="00F278E0">
        <w:rPr>
          <w:rFonts w:ascii="Lucida Bright" w:hAnsi="Lucida Bright"/>
          <w:sz w:val="22"/>
          <w:szCs w:val="22"/>
        </w:rPr>
        <w:t xml:space="preserve"> </w:t>
      </w:r>
      <w:r>
        <w:rPr>
          <w:rFonts w:ascii="Lucida Bright" w:hAnsi="Lucida Bright"/>
          <w:sz w:val="22"/>
          <w:szCs w:val="22"/>
        </w:rPr>
        <w:t xml:space="preserve">the CPP rule in </w:t>
      </w:r>
      <w:r w:rsidRPr="00F278E0">
        <w:rPr>
          <w:rFonts w:ascii="Lucida Bright" w:hAnsi="Lucida Bright"/>
          <w:sz w:val="22"/>
          <w:szCs w:val="22"/>
        </w:rPr>
        <w:t>40 Code of Federal Regulations (CFR) Part 60, Subpart UUUU</w:t>
      </w:r>
      <w:r>
        <w:rPr>
          <w:rFonts w:ascii="Lucida Bright" w:hAnsi="Lucida Bright"/>
          <w:sz w:val="22"/>
          <w:szCs w:val="22"/>
        </w:rPr>
        <w:t xml:space="preserve">, in its entirety as well as certain legal interpretations that the EPA relied upon in adopting the CPP rule. While currently stayed by the United States Supreme Court, the CPP rule </w:t>
      </w:r>
      <w:r w:rsidRPr="00F278E0">
        <w:rPr>
          <w:rFonts w:ascii="Lucida Bright" w:hAnsi="Lucida Bright"/>
          <w:sz w:val="22"/>
          <w:szCs w:val="22"/>
        </w:rPr>
        <w:t>establish</w:t>
      </w:r>
      <w:r>
        <w:rPr>
          <w:rFonts w:ascii="Lucida Bright" w:hAnsi="Lucida Bright"/>
          <w:sz w:val="22"/>
          <w:szCs w:val="22"/>
        </w:rPr>
        <w:t>ed</w:t>
      </w:r>
      <w:r w:rsidRPr="00F278E0">
        <w:rPr>
          <w:rFonts w:ascii="Lucida Bright" w:hAnsi="Lucida Bright"/>
          <w:sz w:val="22"/>
          <w:szCs w:val="22"/>
        </w:rPr>
        <w:t xml:space="preserve"> carbon dioxide (CO</w:t>
      </w:r>
      <w:r w:rsidRPr="00F278E0">
        <w:rPr>
          <w:rFonts w:ascii="Lucida Bright" w:hAnsi="Lucida Bright"/>
          <w:sz w:val="22"/>
          <w:szCs w:val="22"/>
          <w:vertAlign w:val="subscript"/>
        </w:rPr>
        <w:t>2</w:t>
      </w:r>
      <w:r w:rsidRPr="00F278E0">
        <w:rPr>
          <w:rFonts w:ascii="Lucida Bright" w:hAnsi="Lucida Bright"/>
          <w:sz w:val="22"/>
          <w:szCs w:val="22"/>
        </w:rPr>
        <w:t xml:space="preserve">) emission performance goals </w:t>
      </w:r>
      <w:r>
        <w:rPr>
          <w:rFonts w:ascii="Lucida Bright" w:hAnsi="Lucida Bright"/>
          <w:sz w:val="22"/>
          <w:szCs w:val="22"/>
        </w:rPr>
        <w:t>for</w:t>
      </w:r>
      <w:r w:rsidRPr="00F278E0">
        <w:rPr>
          <w:rFonts w:ascii="Lucida Bright" w:hAnsi="Lucida Bright"/>
          <w:sz w:val="22"/>
          <w:szCs w:val="22"/>
        </w:rPr>
        <w:t xml:space="preserve"> existing EGUs</w:t>
      </w:r>
      <w:r>
        <w:rPr>
          <w:rFonts w:ascii="Lucida Bright" w:hAnsi="Lucida Bright"/>
          <w:sz w:val="22"/>
          <w:szCs w:val="22"/>
        </w:rPr>
        <w:t xml:space="preserve"> and requires s</w:t>
      </w:r>
      <w:r w:rsidRPr="00F278E0">
        <w:rPr>
          <w:rFonts w:ascii="Lucida Bright" w:hAnsi="Lucida Bright"/>
          <w:sz w:val="22"/>
          <w:szCs w:val="22"/>
        </w:rPr>
        <w:t xml:space="preserve">tates to submit a state plan to the EPA to demonstrate how the state will achieve the interim and final </w:t>
      </w:r>
      <w:r>
        <w:rPr>
          <w:rFonts w:ascii="Lucida Bright" w:hAnsi="Lucida Bright"/>
          <w:sz w:val="22"/>
          <w:szCs w:val="22"/>
        </w:rPr>
        <w:t>emission performance</w:t>
      </w:r>
      <w:r w:rsidRPr="00F278E0">
        <w:rPr>
          <w:rFonts w:ascii="Lucida Bright" w:hAnsi="Lucida Bright"/>
          <w:sz w:val="22"/>
          <w:szCs w:val="22"/>
        </w:rPr>
        <w:t xml:space="preserve"> goals</w:t>
      </w:r>
      <w:r w:rsidR="009508E1" w:rsidRPr="007E5D71">
        <w:rPr>
          <w:rFonts w:ascii="Lucida Bright" w:hAnsi="Lucida Bright"/>
          <w:sz w:val="22"/>
          <w:szCs w:val="22"/>
        </w:rPr>
        <w:t xml:space="preserve">. </w:t>
      </w:r>
    </w:p>
    <w:p w:rsidR="004F4503" w:rsidRPr="007E5D71" w:rsidRDefault="004F4503" w:rsidP="00C21680">
      <w:pPr>
        <w:rPr>
          <w:rFonts w:ascii="Lucida Bright" w:hAnsi="Lucida Bright"/>
          <w:sz w:val="22"/>
          <w:szCs w:val="22"/>
        </w:rPr>
      </w:pPr>
    </w:p>
    <w:p w:rsidR="009508E1" w:rsidRPr="007E5D71" w:rsidRDefault="00DA4BA8" w:rsidP="00D608E8">
      <w:pPr>
        <w:spacing w:after="240"/>
        <w:rPr>
          <w:rFonts w:ascii="Lucida Bright" w:hAnsi="Lucida Bright"/>
          <w:sz w:val="22"/>
          <w:szCs w:val="22"/>
        </w:rPr>
      </w:pPr>
      <w:r w:rsidRPr="007E5D71">
        <w:rPr>
          <w:rStyle w:val="Strong"/>
          <w:rFonts w:ascii="Lucida Bright" w:hAnsi="Lucida Bright"/>
          <w:sz w:val="22"/>
          <w:szCs w:val="22"/>
        </w:rPr>
        <w:t>Summary of Comments</w:t>
      </w:r>
      <w:r w:rsidR="00C21680" w:rsidRPr="007E5D71">
        <w:rPr>
          <w:rStyle w:val="Strong"/>
          <w:rFonts w:ascii="Lucida Bright" w:hAnsi="Lucida Bright"/>
          <w:sz w:val="22"/>
          <w:szCs w:val="22"/>
        </w:rPr>
        <w:t>:</w:t>
      </w:r>
    </w:p>
    <w:p w:rsidR="00532167" w:rsidRPr="007E5D71" w:rsidRDefault="00532167" w:rsidP="000F312B">
      <w:pPr>
        <w:pStyle w:val="Heading3"/>
        <w:spacing w:before="0" w:after="120"/>
        <w:rPr>
          <w:rStyle w:val="Emphasis"/>
          <w:rFonts w:ascii="Lucida Bright" w:hAnsi="Lucida Bright"/>
          <w:b w:val="0"/>
          <w:i w:val="0"/>
          <w:iCs w:val="0"/>
          <w:sz w:val="22"/>
          <w:szCs w:val="22"/>
        </w:rPr>
      </w:pPr>
      <w:r w:rsidRPr="007E5D71">
        <w:rPr>
          <w:rFonts w:ascii="Lucida Bright" w:hAnsi="Lucida Bright"/>
          <w:b w:val="0"/>
          <w:i/>
          <w:sz w:val="22"/>
          <w:szCs w:val="22"/>
        </w:rPr>
        <w:t xml:space="preserve">A. </w:t>
      </w:r>
      <w:r w:rsidR="00537155">
        <w:rPr>
          <w:rFonts w:ascii="Lucida Bright" w:hAnsi="Lucida Bright"/>
          <w:b w:val="0"/>
          <w:i/>
          <w:sz w:val="22"/>
          <w:szCs w:val="22"/>
        </w:rPr>
        <w:t>Comments on the Proposed Repeal and Legal Interpretations</w:t>
      </w:r>
      <w:r w:rsidRPr="007E5D71">
        <w:rPr>
          <w:rFonts w:ascii="Lucida Bright" w:hAnsi="Lucida Bright"/>
          <w:b w:val="0"/>
          <w:i/>
          <w:sz w:val="22"/>
          <w:szCs w:val="22"/>
        </w:rPr>
        <w:t xml:space="preserve"> </w:t>
      </w:r>
    </w:p>
    <w:p w:rsidR="00046CAA" w:rsidRDefault="00046CAA" w:rsidP="00046CAA">
      <w:pPr>
        <w:pStyle w:val="BodyText"/>
        <w:rPr>
          <w:rFonts w:ascii="Lucida Bright" w:hAnsi="Lucida Bright"/>
          <w:bCs/>
          <w:iCs/>
          <w:sz w:val="22"/>
          <w:szCs w:val="22"/>
        </w:rPr>
      </w:pPr>
      <w:r w:rsidRPr="00046CAA">
        <w:rPr>
          <w:rFonts w:ascii="Lucida Bright" w:hAnsi="Lucida Bright"/>
          <w:bCs/>
          <w:iCs/>
          <w:sz w:val="22"/>
          <w:szCs w:val="22"/>
        </w:rPr>
        <w:t>1. The Public Utility Commission of Texas (PUCT)</w:t>
      </w:r>
      <w:r w:rsidR="002D2425">
        <w:rPr>
          <w:rFonts w:ascii="Lucida Bright" w:hAnsi="Lucida Bright"/>
          <w:bCs/>
          <w:iCs/>
          <w:sz w:val="22"/>
          <w:szCs w:val="22"/>
        </w:rPr>
        <w:t>, Railroad Commission of Texas (RRC)</w:t>
      </w:r>
      <w:r w:rsidR="00C67AA9">
        <w:rPr>
          <w:rFonts w:ascii="Lucida Bright" w:hAnsi="Lucida Bright"/>
          <w:bCs/>
          <w:iCs/>
          <w:sz w:val="22"/>
          <w:szCs w:val="22"/>
        </w:rPr>
        <w:t>,</w:t>
      </w:r>
      <w:r w:rsidRPr="00046CAA">
        <w:rPr>
          <w:rFonts w:ascii="Lucida Bright" w:hAnsi="Lucida Bright"/>
          <w:bCs/>
          <w:iCs/>
          <w:sz w:val="22"/>
          <w:szCs w:val="22"/>
        </w:rPr>
        <w:t xml:space="preserve"> and Texas Commission on Environmental Quality (TCEQ) support the repeal of the CPP rule and its associated legal interpretations.</w:t>
      </w:r>
    </w:p>
    <w:p w:rsidR="00E25802" w:rsidRPr="00046CAA" w:rsidRDefault="00E25802" w:rsidP="00046CAA">
      <w:pPr>
        <w:pStyle w:val="BodyText"/>
        <w:rPr>
          <w:rFonts w:ascii="Lucida Bright" w:hAnsi="Lucida Bright"/>
          <w:bCs/>
          <w:iCs/>
          <w:sz w:val="22"/>
          <w:szCs w:val="22"/>
        </w:rPr>
      </w:pPr>
      <w:r>
        <w:rPr>
          <w:rFonts w:ascii="Lucida Bright" w:hAnsi="Lucida Bright"/>
          <w:bCs/>
          <w:iCs/>
          <w:sz w:val="22"/>
          <w:szCs w:val="22"/>
        </w:rPr>
        <w:t xml:space="preserve">2. </w:t>
      </w:r>
      <w:r w:rsidRPr="00E25802">
        <w:rPr>
          <w:rFonts w:ascii="Lucida Bright" w:hAnsi="Lucida Bright"/>
          <w:bCs/>
          <w:iCs/>
          <w:sz w:val="22"/>
          <w:szCs w:val="22"/>
        </w:rPr>
        <w:t>The PUCT, RRC, and TCEQ urge the EPA to also reconsider the underlying justification for not making an endangerment finding specifically for CO</w:t>
      </w:r>
      <w:r w:rsidRPr="00E25802">
        <w:rPr>
          <w:rFonts w:ascii="Lucida Bright" w:hAnsi="Lucida Bright"/>
          <w:bCs/>
          <w:iCs/>
          <w:sz w:val="22"/>
          <w:szCs w:val="22"/>
          <w:vertAlign w:val="subscript"/>
        </w:rPr>
        <w:t>2</w:t>
      </w:r>
      <w:r w:rsidRPr="00E25802">
        <w:rPr>
          <w:rFonts w:ascii="Lucida Bright" w:hAnsi="Lucida Bright"/>
          <w:bCs/>
          <w:iCs/>
          <w:sz w:val="22"/>
          <w:szCs w:val="22"/>
        </w:rPr>
        <w:t xml:space="preserve"> to regulate that pollutant under §111 of the FCAA</w:t>
      </w:r>
      <w:r>
        <w:rPr>
          <w:rFonts w:ascii="Lucida Bright" w:hAnsi="Lucida Bright"/>
          <w:bCs/>
          <w:iCs/>
          <w:sz w:val="22"/>
          <w:szCs w:val="22"/>
        </w:rPr>
        <w:t>.</w:t>
      </w:r>
    </w:p>
    <w:p w:rsidR="00046CAA" w:rsidRPr="00046CAA" w:rsidRDefault="00E25802" w:rsidP="00046CAA">
      <w:pPr>
        <w:pStyle w:val="BodyText"/>
        <w:rPr>
          <w:rFonts w:ascii="Lucida Bright" w:hAnsi="Lucida Bright"/>
          <w:bCs/>
          <w:iCs/>
          <w:sz w:val="22"/>
          <w:szCs w:val="22"/>
        </w:rPr>
      </w:pPr>
      <w:r>
        <w:rPr>
          <w:rFonts w:ascii="Lucida Bright" w:hAnsi="Lucida Bright"/>
          <w:bCs/>
          <w:iCs/>
          <w:sz w:val="22"/>
          <w:szCs w:val="22"/>
        </w:rPr>
        <w:t>3</w:t>
      </w:r>
      <w:r w:rsidR="00046CAA" w:rsidRPr="00046CAA">
        <w:rPr>
          <w:rFonts w:ascii="Lucida Bright" w:hAnsi="Lucida Bright"/>
          <w:bCs/>
          <w:iCs/>
          <w:sz w:val="22"/>
          <w:szCs w:val="22"/>
        </w:rPr>
        <w:t>. The TCEQ agree</w:t>
      </w:r>
      <w:r w:rsidR="00537155">
        <w:rPr>
          <w:rFonts w:ascii="Lucida Bright" w:hAnsi="Lucida Bright"/>
          <w:bCs/>
          <w:iCs/>
          <w:sz w:val="22"/>
          <w:szCs w:val="22"/>
        </w:rPr>
        <w:t>s</w:t>
      </w:r>
      <w:r w:rsidR="00046CAA" w:rsidRPr="00046CAA">
        <w:rPr>
          <w:rFonts w:ascii="Lucida Bright" w:hAnsi="Lucida Bright"/>
          <w:bCs/>
          <w:iCs/>
          <w:sz w:val="22"/>
          <w:szCs w:val="22"/>
        </w:rPr>
        <w:t xml:space="preserve"> with and </w:t>
      </w:r>
      <w:r w:rsidR="00537155">
        <w:rPr>
          <w:rFonts w:ascii="Lucida Bright" w:hAnsi="Lucida Bright"/>
          <w:bCs/>
          <w:iCs/>
          <w:sz w:val="22"/>
          <w:szCs w:val="22"/>
        </w:rPr>
        <w:t>support</w:t>
      </w:r>
      <w:r w:rsidR="00904C08">
        <w:rPr>
          <w:rFonts w:ascii="Lucida Bright" w:hAnsi="Lucida Bright"/>
          <w:bCs/>
          <w:iCs/>
          <w:sz w:val="22"/>
          <w:szCs w:val="22"/>
        </w:rPr>
        <w:t>s</w:t>
      </w:r>
      <w:r w:rsidR="00046CAA" w:rsidRPr="00046CAA">
        <w:rPr>
          <w:rFonts w:ascii="Lucida Bright" w:hAnsi="Lucida Bright"/>
          <w:bCs/>
          <w:iCs/>
          <w:sz w:val="22"/>
          <w:szCs w:val="22"/>
        </w:rPr>
        <w:t xml:space="preserve"> the EPA’s return to its </w:t>
      </w:r>
      <w:r w:rsidR="00537155">
        <w:rPr>
          <w:rFonts w:ascii="Lucida Bright" w:hAnsi="Lucida Bright"/>
          <w:bCs/>
          <w:iCs/>
          <w:sz w:val="22"/>
          <w:szCs w:val="22"/>
        </w:rPr>
        <w:t>historical</w:t>
      </w:r>
      <w:r w:rsidR="00046CAA" w:rsidRPr="00046CAA">
        <w:rPr>
          <w:rFonts w:ascii="Lucida Bright" w:hAnsi="Lucida Bright"/>
          <w:bCs/>
          <w:iCs/>
          <w:sz w:val="22"/>
          <w:szCs w:val="22"/>
        </w:rPr>
        <w:t xml:space="preserve"> interpretation of Best System of Emission Reduction (BSER).  </w:t>
      </w:r>
    </w:p>
    <w:p w:rsidR="00046CAA" w:rsidRPr="00046CAA" w:rsidRDefault="00E25802" w:rsidP="00046CAA">
      <w:pPr>
        <w:pStyle w:val="BodyText"/>
        <w:rPr>
          <w:rFonts w:ascii="Lucida Bright" w:hAnsi="Lucida Bright"/>
          <w:bCs/>
          <w:iCs/>
          <w:sz w:val="22"/>
          <w:szCs w:val="22"/>
        </w:rPr>
      </w:pPr>
      <w:r>
        <w:rPr>
          <w:rFonts w:ascii="Lucida Bright" w:hAnsi="Lucida Bright"/>
          <w:bCs/>
          <w:iCs/>
          <w:sz w:val="22"/>
          <w:szCs w:val="22"/>
        </w:rPr>
        <w:t>4</w:t>
      </w:r>
      <w:r w:rsidR="00046CAA" w:rsidRPr="00046CAA">
        <w:rPr>
          <w:rFonts w:ascii="Lucida Bright" w:hAnsi="Lucida Bright"/>
          <w:bCs/>
          <w:iCs/>
          <w:sz w:val="22"/>
          <w:szCs w:val="22"/>
        </w:rPr>
        <w:t xml:space="preserve">.  Emission guidelines for existing sources should not be more stringent than standards of performance for new or modified units if BSER is interpreted and applied appropriately.  </w:t>
      </w:r>
    </w:p>
    <w:p w:rsidR="00537155" w:rsidRDefault="00E25802" w:rsidP="00046CAA">
      <w:pPr>
        <w:pStyle w:val="BodyText"/>
        <w:rPr>
          <w:rFonts w:ascii="Lucida Bright" w:hAnsi="Lucida Bright"/>
          <w:bCs/>
          <w:iCs/>
          <w:sz w:val="22"/>
          <w:szCs w:val="22"/>
        </w:rPr>
      </w:pPr>
      <w:r>
        <w:rPr>
          <w:rFonts w:ascii="Lucida Bright" w:hAnsi="Lucida Bright"/>
          <w:bCs/>
          <w:iCs/>
          <w:sz w:val="22"/>
          <w:szCs w:val="22"/>
        </w:rPr>
        <w:t>5</w:t>
      </w:r>
      <w:r w:rsidR="00046CAA" w:rsidRPr="00046CAA">
        <w:rPr>
          <w:rFonts w:ascii="Lucida Bright" w:hAnsi="Lucida Bright"/>
          <w:bCs/>
          <w:iCs/>
          <w:sz w:val="22"/>
          <w:szCs w:val="22"/>
        </w:rPr>
        <w:t>.  The EPA did exceed its proper role and authority with the CPP rule, which has significant implications beyond just the utility electricity generation sector.</w:t>
      </w:r>
    </w:p>
    <w:p w:rsidR="009C771F" w:rsidRPr="00537155" w:rsidRDefault="00E25802" w:rsidP="00046CAA">
      <w:pPr>
        <w:pStyle w:val="BodyText"/>
        <w:rPr>
          <w:rFonts w:ascii="Lucida Bright" w:hAnsi="Lucida Bright"/>
          <w:bCs/>
          <w:iCs/>
          <w:sz w:val="22"/>
          <w:szCs w:val="22"/>
        </w:rPr>
      </w:pPr>
      <w:r>
        <w:rPr>
          <w:rFonts w:ascii="Lucida Bright" w:hAnsi="Lucida Bright"/>
          <w:bCs/>
          <w:iCs/>
          <w:sz w:val="22"/>
          <w:szCs w:val="22"/>
        </w:rPr>
        <w:t>6</w:t>
      </w:r>
      <w:r w:rsidR="00537155">
        <w:rPr>
          <w:rFonts w:ascii="Lucida Bright" w:hAnsi="Lucida Bright"/>
          <w:bCs/>
          <w:iCs/>
          <w:sz w:val="22"/>
          <w:szCs w:val="22"/>
        </w:rPr>
        <w:t xml:space="preserve">. </w:t>
      </w:r>
      <w:r w:rsidR="00537155" w:rsidRPr="00537155">
        <w:rPr>
          <w:rFonts w:ascii="Lucida Bright" w:hAnsi="Lucida Bright"/>
          <w:bCs/>
          <w:iCs/>
          <w:sz w:val="22"/>
          <w:szCs w:val="22"/>
        </w:rPr>
        <w:t>The EPA’s previous Legal Memoranda supporting the CPP rule should be withdrawn.</w:t>
      </w:r>
      <w:r w:rsidR="00046CAA" w:rsidRPr="00537155">
        <w:rPr>
          <w:rFonts w:ascii="Lucida Bright" w:hAnsi="Lucida Bright"/>
          <w:bCs/>
          <w:iCs/>
          <w:sz w:val="22"/>
          <w:szCs w:val="22"/>
        </w:rPr>
        <w:t xml:space="preserve">  </w:t>
      </w:r>
    </w:p>
    <w:p w:rsidR="00ED11B1" w:rsidRPr="00537155" w:rsidRDefault="00ED11B1" w:rsidP="00C21680">
      <w:pPr>
        <w:rPr>
          <w:rStyle w:val="Strong"/>
          <w:rFonts w:ascii="Lucida Bright" w:hAnsi="Lucida Bright"/>
          <w:sz w:val="22"/>
          <w:szCs w:val="22"/>
        </w:rPr>
      </w:pPr>
    </w:p>
    <w:p w:rsidR="00537155" w:rsidRPr="00537155" w:rsidRDefault="00537155" w:rsidP="00537155">
      <w:pPr>
        <w:pStyle w:val="Heading3"/>
        <w:spacing w:before="0" w:after="120"/>
        <w:rPr>
          <w:rStyle w:val="Emphasis"/>
          <w:rFonts w:ascii="Lucida Bright" w:hAnsi="Lucida Bright"/>
          <w:b w:val="0"/>
          <w:i w:val="0"/>
          <w:iCs w:val="0"/>
          <w:sz w:val="22"/>
          <w:szCs w:val="22"/>
        </w:rPr>
      </w:pPr>
      <w:r w:rsidRPr="00537155">
        <w:rPr>
          <w:rFonts w:ascii="Lucida Bright" w:hAnsi="Lucida Bright"/>
          <w:b w:val="0"/>
          <w:i/>
          <w:sz w:val="22"/>
          <w:szCs w:val="22"/>
        </w:rPr>
        <w:lastRenderedPageBreak/>
        <w:t xml:space="preserve">B. Comments on the Regulatory Impact Analysis (RIA) </w:t>
      </w:r>
    </w:p>
    <w:p w:rsidR="00537155" w:rsidRPr="00537155" w:rsidRDefault="00537155" w:rsidP="00C21680">
      <w:pPr>
        <w:rPr>
          <w:rFonts w:ascii="Lucida Bright" w:hAnsi="Lucida Bright"/>
          <w:sz w:val="22"/>
          <w:szCs w:val="22"/>
        </w:rPr>
      </w:pPr>
      <w:r w:rsidRPr="00537155">
        <w:rPr>
          <w:rStyle w:val="Strong"/>
          <w:rFonts w:ascii="Lucida Bright" w:hAnsi="Lucida Bright"/>
          <w:b w:val="0"/>
          <w:sz w:val="22"/>
          <w:szCs w:val="22"/>
        </w:rPr>
        <w:t>1.</w:t>
      </w:r>
      <w:r w:rsidRPr="00537155">
        <w:rPr>
          <w:rStyle w:val="Strong"/>
          <w:rFonts w:ascii="Lucida Bright" w:hAnsi="Lucida Bright"/>
          <w:sz w:val="22"/>
          <w:szCs w:val="22"/>
        </w:rPr>
        <w:t xml:space="preserve"> </w:t>
      </w:r>
      <w:r w:rsidRPr="00537155">
        <w:rPr>
          <w:rFonts w:ascii="Lucida Bright" w:hAnsi="Lucida Bright"/>
          <w:sz w:val="22"/>
          <w:szCs w:val="22"/>
        </w:rPr>
        <w:t>The TCEQ appreciates the opportunity to comment on the RIA for the proposed repeal of the CPP rule.</w:t>
      </w:r>
    </w:p>
    <w:p w:rsidR="00537155" w:rsidRPr="00537155" w:rsidRDefault="00537155" w:rsidP="00C21680">
      <w:pPr>
        <w:rPr>
          <w:rFonts w:ascii="Lucida Bright" w:hAnsi="Lucida Bright"/>
          <w:sz w:val="22"/>
          <w:szCs w:val="22"/>
        </w:rPr>
      </w:pPr>
    </w:p>
    <w:p w:rsidR="00537155" w:rsidRDefault="00537155" w:rsidP="00C21680">
      <w:pPr>
        <w:rPr>
          <w:rFonts w:ascii="Lucida Bright" w:hAnsi="Lucida Bright"/>
          <w:sz w:val="22"/>
          <w:szCs w:val="22"/>
        </w:rPr>
      </w:pPr>
      <w:r w:rsidRPr="00537155">
        <w:rPr>
          <w:rFonts w:ascii="Lucida Bright" w:hAnsi="Lucida Bright"/>
          <w:sz w:val="22"/>
          <w:szCs w:val="22"/>
        </w:rPr>
        <w:t>2. The TCEQ appreciates the EPA’s commitment to more fully characterizing uncertainty in the upcoming analysis. In doing so, the TCEQ encourages the EPA to consider important methodological aspects of the underlying epidemiology literature and models and to quantify and clearly communicate uncertainty in the final analysis</w:t>
      </w:r>
      <w:r>
        <w:rPr>
          <w:rFonts w:ascii="Lucida Bright" w:hAnsi="Lucida Bright"/>
          <w:sz w:val="22"/>
          <w:szCs w:val="22"/>
        </w:rPr>
        <w:t>.</w:t>
      </w:r>
    </w:p>
    <w:p w:rsidR="00537155" w:rsidRDefault="00537155" w:rsidP="00C21680">
      <w:pPr>
        <w:rPr>
          <w:rFonts w:ascii="Lucida Bright" w:hAnsi="Lucida Bright"/>
          <w:sz w:val="22"/>
          <w:szCs w:val="22"/>
        </w:rPr>
      </w:pPr>
    </w:p>
    <w:p w:rsidR="00537155" w:rsidRDefault="00537155" w:rsidP="00C21680">
      <w:pPr>
        <w:rPr>
          <w:rFonts w:ascii="Lucida Bright" w:hAnsi="Lucida Bright"/>
          <w:sz w:val="22"/>
          <w:szCs w:val="22"/>
        </w:rPr>
      </w:pPr>
      <w:r>
        <w:rPr>
          <w:rFonts w:ascii="Lucida Bright" w:hAnsi="Lucida Bright"/>
          <w:sz w:val="22"/>
          <w:szCs w:val="22"/>
        </w:rPr>
        <w:t xml:space="preserve">3. </w:t>
      </w:r>
      <w:r w:rsidRPr="00537155">
        <w:rPr>
          <w:rFonts w:ascii="Lucida Bright" w:hAnsi="Lucida Bright"/>
          <w:sz w:val="22"/>
          <w:szCs w:val="22"/>
        </w:rPr>
        <w:t xml:space="preserve">The EPA should provide a new model performance evaluation that considers important sources of variability including regional heterogeneity of </w:t>
      </w:r>
      <w:r>
        <w:rPr>
          <w:rFonts w:ascii="Lucida Bright" w:hAnsi="Lucida Bright"/>
          <w:sz w:val="22"/>
          <w:szCs w:val="22"/>
        </w:rPr>
        <w:t>particulate matter with diameters equal to or less than 2.5 micrometers (</w:t>
      </w:r>
      <w:r w:rsidRPr="00537155">
        <w:rPr>
          <w:rFonts w:ascii="Lucida Bright" w:hAnsi="Lucida Bright"/>
          <w:sz w:val="22"/>
          <w:szCs w:val="22"/>
        </w:rPr>
        <w:t>PM</w:t>
      </w:r>
      <w:r w:rsidRPr="00537155">
        <w:rPr>
          <w:rFonts w:ascii="Lucida Bright" w:hAnsi="Lucida Bright"/>
          <w:sz w:val="22"/>
          <w:szCs w:val="22"/>
          <w:vertAlign w:val="subscript"/>
        </w:rPr>
        <w:t>2.5</w:t>
      </w:r>
      <w:r>
        <w:rPr>
          <w:rFonts w:ascii="Lucida Bright" w:hAnsi="Lucida Bright"/>
          <w:sz w:val="22"/>
          <w:szCs w:val="22"/>
        </w:rPr>
        <w:t xml:space="preserve">) </w:t>
      </w:r>
      <w:r w:rsidRPr="00537155">
        <w:rPr>
          <w:rFonts w:ascii="Lucida Bright" w:hAnsi="Lucida Bright"/>
          <w:sz w:val="22"/>
          <w:szCs w:val="22"/>
        </w:rPr>
        <w:t>concentrations</w:t>
      </w:r>
      <w:r>
        <w:rPr>
          <w:rFonts w:ascii="Lucida Bright" w:hAnsi="Lucida Bright"/>
          <w:sz w:val="22"/>
          <w:szCs w:val="22"/>
        </w:rPr>
        <w:t>.</w:t>
      </w:r>
    </w:p>
    <w:p w:rsidR="00537155" w:rsidRDefault="00537155" w:rsidP="00C21680">
      <w:pPr>
        <w:rPr>
          <w:rFonts w:ascii="Lucida Bright" w:hAnsi="Lucida Bright"/>
          <w:sz w:val="22"/>
          <w:szCs w:val="22"/>
        </w:rPr>
      </w:pPr>
    </w:p>
    <w:p w:rsidR="00537155" w:rsidRPr="00537155" w:rsidRDefault="00537155" w:rsidP="00C21680">
      <w:pPr>
        <w:rPr>
          <w:rStyle w:val="Strong"/>
          <w:rFonts w:ascii="Lucida Bright" w:hAnsi="Lucida Bright"/>
          <w:sz w:val="22"/>
          <w:szCs w:val="22"/>
        </w:rPr>
      </w:pPr>
      <w:r>
        <w:rPr>
          <w:rFonts w:ascii="Lucida Bright" w:hAnsi="Lucida Bright"/>
          <w:sz w:val="22"/>
          <w:szCs w:val="22"/>
        </w:rPr>
        <w:t xml:space="preserve">4. </w:t>
      </w:r>
      <w:r w:rsidRPr="00537155">
        <w:rPr>
          <w:rFonts w:ascii="Lucida Bright" w:hAnsi="Lucida Bright"/>
          <w:sz w:val="22"/>
          <w:szCs w:val="22"/>
        </w:rPr>
        <w:t>The TCEQ supports the removal of co-benefits calculations in RIAs, as those benefits are achieved in other rules</w:t>
      </w:r>
      <w:r>
        <w:rPr>
          <w:rFonts w:ascii="Lucida Bright" w:hAnsi="Lucida Bright"/>
          <w:sz w:val="22"/>
          <w:szCs w:val="22"/>
        </w:rPr>
        <w:t>.</w:t>
      </w:r>
    </w:p>
    <w:p w:rsidR="00BB41AA" w:rsidRPr="00537155" w:rsidRDefault="00BB41AA" w:rsidP="00C21680">
      <w:pPr>
        <w:rPr>
          <w:rStyle w:val="Strong"/>
          <w:rFonts w:ascii="Lucida Bright" w:hAnsi="Lucida Bright"/>
          <w:sz w:val="22"/>
          <w:szCs w:val="22"/>
        </w:rPr>
      </w:pPr>
    </w:p>
    <w:p w:rsidR="00ED11B1" w:rsidRPr="007E5D71" w:rsidRDefault="00ED11B1" w:rsidP="00C21680">
      <w:pPr>
        <w:rPr>
          <w:rStyle w:val="Strong"/>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Lead Office</w:t>
      </w:r>
      <w:r w:rsidR="00C21680"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C21680" w:rsidRPr="007E5D71">
        <w:rPr>
          <w:rStyle w:val="Strong"/>
          <w:rFonts w:ascii="Lucida Bright" w:hAnsi="Lucida Bright"/>
          <w:sz w:val="22"/>
          <w:szCs w:val="22"/>
        </w:rPr>
        <w:t xml:space="preserve"> </w:t>
      </w:r>
      <w:r w:rsidR="00C21680"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Internal Coordination</w:t>
      </w:r>
      <w:r w:rsidR="00C21680" w:rsidRPr="007E5D71">
        <w:rPr>
          <w:rStyle w:val="Strong"/>
          <w:rFonts w:ascii="Lucida Bright" w:hAnsi="Lucida Bright"/>
          <w:sz w:val="22"/>
          <w:szCs w:val="22"/>
        </w:rPr>
        <w:t>:</w:t>
      </w:r>
      <w:r w:rsidR="00C21680" w:rsidRPr="007E5D71">
        <w:rPr>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9508E1" w:rsidRPr="007E5D71">
        <w:rPr>
          <w:rStyle w:val="Strong"/>
          <w:rFonts w:ascii="Lucida Bright" w:hAnsi="Lucida Bright"/>
          <w:sz w:val="22"/>
          <w:szCs w:val="22"/>
        </w:rPr>
        <w:t xml:space="preserve"> </w:t>
      </w:r>
      <w:r w:rsidR="009508E1"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Office of Legal Services</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BB41AA">
        <w:rPr>
          <w:rFonts w:ascii="Lucida Bright" w:hAnsi="Lucida Bright"/>
          <w:sz w:val="22"/>
          <w:szCs w:val="22"/>
        </w:rPr>
        <w:t>John Minter</w:t>
      </w:r>
      <w:r w:rsidR="004F4503" w:rsidRPr="007E5D71">
        <w:rPr>
          <w:rFonts w:ascii="Lucida Bright" w:hAnsi="Lucida Bright"/>
          <w:sz w:val="22"/>
          <w:szCs w:val="22"/>
        </w:rPr>
        <w:t>, Environmental Law Division</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Deputy Director Approval</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Steve Hagle</w:t>
      </w:r>
      <w:r w:rsidR="004F4503" w:rsidRPr="007E5D71">
        <w:rPr>
          <w:rStyle w:val="Strong"/>
          <w:rFonts w:ascii="Lucida Bright" w:hAnsi="Lucida Bright"/>
          <w:b w:val="0"/>
          <w:sz w:val="22"/>
          <w:szCs w:val="22"/>
        </w:rPr>
        <w:t>, P.E.</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Deadline</w:t>
      </w:r>
      <w:r w:rsidR="006800B8" w:rsidRPr="007E5D71">
        <w:rPr>
          <w:rStyle w:val="Strong"/>
          <w:rFonts w:ascii="Lucida Bright" w:hAnsi="Lucida Bright"/>
          <w:sz w:val="22"/>
          <w:szCs w:val="22"/>
        </w:rPr>
        <w:t xml:space="preserve"> (Submittal Due Date)</w:t>
      </w:r>
      <w:r w:rsidR="00C21680" w:rsidRPr="007E5D71">
        <w:rPr>
          <w:rStyle w:val="Strong"/>
          <w:rFonts w:ascii="Lucida Bright" w:hAnsi="Lucida Bright"/>
          <w:sz w:val="22"/>
          <w:szCs w:val="22"/>
        </w:rPr>
        <w:t>:</w:t>
      </w:r>
      <w:r w:rsidR="00BC7F91" w:rsidRPr="007E5D71">
        <w:rPr>
          <w:rFonts w:ascii="Lucida Bright" w:hAnsi="Lucida Bright"/>
          <w:sz w:val="22"/>
          <w:szCs w:val="22"/>
        </w:rPr>
        <w:t xml:space="preserve"> </w:t>
      </w:r>
      <w:r w:rsidR="00A2152E">
        <w:rPr>
          <w:rFonts w:ascii="Lucida Bright" w:hAnsi="Lucida Bright"/>
          <w:sz w:val="22"/>
          <w:szCs w:val="22"/>
        </w:rPr>
        <w:t>April 26</w:t>
      </w:r>
      <w:r w:rsidR="007E5D71">
        <w:rPr>
          <w:rFonts w:ascii="Lucida Bright" w:hAnsi="Lucida Bright"/>
          <w:sz w:val="22"/>
          <w:szCs w:val="22"/>
        </w:rPr>
        <w:t>, 2018</w:t>
      </w:r>
    </w:p>
    <w:p w:rsidR="00971E10" w:rsidRPr="007E5D71" w:rsidRDefault="00971E10" w:rsidP="00C21680">
      <w:pPr>
        <w:rPr>
          <w:rFonts w:ascii="Lucida Bright" w:hAnsi="Lucida Bright"/>
          <w:sz w:val="22"/>
          <w:szCs w:val="22"/>
        </w:rPr>
      </w:pPr>
    </w:p>
    <w:sectPr w:rsidR="00971E10" w:rsidRPr="007E5D71"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E9" w:rsidRDefault="000225E9">
      <w:r>
        <w:separator/>
      </w:r>
    </w:p>
  </w:endnote>
  <w:endnote w:type="continuationSeparator" w:id="0">
    <w:p w:rsidR="000225E9" w:rsidRDefault="0002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91" w:rsidRDefault="00BC7F91">
    <w:pPr>
      <w:rPr>
        <w:rFonts w:ascii="Georgia" w:hAnsi="Georgia" w:cs="Tahoma"/>
        <w:sz w:val="16"/>
        <w:szCs w:val="16"/>
      </w:rPr>
    </w:pPr>
  </w:p>
  <w:p w:rsidR="00BC7F91" w:rsidRDefault="00BC7F91">
    <w:pPr>
      <w:rPr>
        <w:rFonts w:ascii="Georgia" w:hAnsi="Georgia" w:cs="Tahoma"/>
        <w:sz w:val="16"/>
        <w:szCs w:val="16"/>
      </w:rPr>
    </w:pPr>
  </w:p>
  <w:p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C10ED6">
      <w:rPr>
        <w:rStyle w:val="PageNumber"/>
        <w:rFonts w:ascii="Georgia" w:hAnsi="Georgia"/>
        <w:noProof/>
        <w:sz w:val="20"/>
        <w:szCs w:val="20"/>
      </w:rPr>
      <w:t>1</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C10ED6">
      <w:rPr>
        <w:rStyle w:val="PageNumber"/>
        <w:rFonts w:ascii="Georgia" w:hAnsi="Georgia"/>
        <w:noProof/>
        <w:sz w:val="20"/>
        <w:szCs w:val="20"/>
      </w:rPr>
      <w:t>2</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E9" w:rsidRDefault="000225E9">
      <w:r>
        <w:separator/>
      </w:r>
    </w:p>
  </w:footnote>
  <w:footnote w:type="continuationSeparator" w:id="0">
    <w:p w:rsidR="000225E9" w:rsidRDefault="0002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07C27"/>
    <w:rsid w:val="00016E9E"/>
    <w:rsid w:val="000225E9"/>
    <w:rsid w:val="00027864"/>
    <w:rsid w:val="00036AFA"/>
    <w:rsid w:val="00046CAA"/>
    <w:rsid w:val="000470B1"/>
    <w:rsid w:val="000613A9"/>
    <w:rsid w:val="0006671E"/>
    <w:rsid w:val="00067562"/>
    <w:rsid w:val="00081A75"/>
    <w:rsid w:val="000B773F"/>
    <w:rsid w:val="000D0959"/>
    <w:rsid w:val="000D528E"/>
    <w:rsid w:val="000F312B"/>
    <w:rsid w:val="0010303F"/>
    <w:rsid w:val="00104596"/>
    <w:rsid w:val="001362A0"/>
    <w:rsid w:val="00136CD7"/>
    <w:rsid w:val="00145C8F"/>
    <w:rsid w:val="001508CD"/>
    <w:rsid w:val="00155F25"/>
    <w:rsid w:val="00187E2A"/>
    <w:rsid w:val="001A7C93"/>
    <w:rsid w:val="001B52A2"/>
    <w:rsid w:val="00203615"/>
    <w:rsid w:val="0021557A"/>
    <w:rsid w:val="00240980"/>
    <w:rsid w:val="00250C63"/>
    <w:rsid w:val="00255A36"/>
    <w:rsid w:val="002646FD"/>
    <w:rsid w:val="00264C41"/>
    <w:rsid w:val="00292B3D"/>
    <w:rsid w:val="002C2372"/>
    <w:rsid w:val="002D2425"/>
    <w:rsid w:val="002E1660"/>
    <w:rsid w:val="002E5467"/>
    <w:rsid w:val="0033098B"/>
    <w:rsid w:val="00330A59"/>
    <w:rsid w:val="00344DF3"/>
    <w:rsid w:val="003849D6"/>
    <w:rsid w:val="003C2A97"/>
    <w:rsid w:val="003E7802"/>
    <w:rsid w:val="00417B16"/>
    <w:rsid w:val="00447F05"/>
    <w:rsid w:val="004E5E58"/>
    <w:rsid w:val="004F4503"/>
    <w:rsid w:val="00500636"/>
    <w:rsid w:val="005048B5"/>
    <w:rsid w:val="00530C5B"/>
    <w:rsid w:val="00532167"/>
    <w:rsid w:val="00537155"/>
    <w:rsid w:val="005603C8"/>
    <w:rsid w:val="0056765D"/>
    <w:rsid w:val="005879BE"/>
    <w:rsid w:val="0059298D"/>
    <w:rsid w:val="005D0DF5"/>
    <w:rsid w:val="005E5D41"/>
    <w:rsid w:val="005E60E9"/>
    <w:rsid w:val="00612423"/>
    <w:rsid w:val="0065100D"/>
    <w:rsid w:val="00665F7A"/>
    <w:rsid w:val="006800B8"/>
    <w:rsid w:val="00684FED"/>
    <w:rsid w:val="006A0AE7"/>
    <w:rsid w:val="006B2D82"/>
    <w:rsid w:val="006D060D"/>
    <w:rsid w:val="006D1CDF"/>
    <w:rsid w:val="00715687"/>
    <w:rsid w:val="00781EB9"/>
    <w:rsid w:val="00791199"/>
    <w:rsid w:val="007D2371"/>
    <w:rsid w:val="007D2BE5"/>
    <w:rsid w:val="007E0070"/>
    <w:rsid w:val="007E0459"/>
    <w:rsid w:val="007E5D71"/>
    <w:rsid w:val="007E7A27"/>
    <w:rsid w:val="008063E9"/>
    <w:rsid w:val="00817270"/>
    <w:rsid w:val="008521BD"/>
    <w:rsid w:val="008609DD"/>
    <w:rsid w:val="008A694C"/>
    <w:rsid w:val="008C7D94"/>
    <w:rsid w:val="00904C08"/>
    <w:rsid w:val="00923CA1"/>
    <w:rsid w:val="0092593F"/>
    <w:rsid w:val="009508E1"/>
    <w:rsid w:val="00971E10"/>
    <w:rsid w:val="0098083C"/>
    <w:rsid w:val="009C11EF"/>
    <w:rsid w:val="009C771F"/>
    <w:rsid w:val="009D41CD"/>
    <w:rsid w:val="009D703C"/>
    <w:rsid w:val="009F794E"/>
    <w:rsid w:val="00A2152E"/>
    <w:rsid w:val="00A27350"/>
    <w:rsid w:val="00A34F4A"/>
    <w:rsid w:val="00A377B4"/>
    <w:rsid w:val="00A47D76"/>
    <w:rsid w:val="00A55362"/>
    <w:rsid w:val="00A92979"/>
    <w:rsid w:val="00A97B70"/>
    <w:rsid w:val="00AD2E8B"/>
    <w:rsid w:val="00AE00C5"/>
    <w:rsid w:val="00B02E65"/>
    <w:rsid w:val="00B05D28"/>
    <w:rsid w:val="00B0690A"/>
    <w:rsid w:val="00B11736"/>
    <w:rsid w:val="00B26950"/>
    <w:rsid w:val="00B35D93"/>
    <w:rsid w:val="00B36EB0"/>
    <w:rsid w:val="00B4215B"/>
    <w:rsid w:val="00B500A8"/>
    <w:rsid w:val="00B51D18"/>
    <w:rsid w:val="00B57CBE"/>
    <w:rsid w:val="00B76794"/>
    <w:rsid w:val="00BB41AA"/>
    <w:rsid w:val="00BC7F91"/>
    <w:rsid w:val="00C05E6F"/>
    <w:rsid w:val="00C10ED6"/>
    <w:rsid w:val="00C21680"/>
    <w:rsid w:val="00C60D79"/>
    <w:rsid w:val="00C67AA9"/>
    <w:rsid w:val="00C76795"/>
    <w:rsid w:val="00CC4F6A"/>
    <w:rsid w:val="00D46BE6"/>
    <w:rsid w:val="00D52E09"/>
    <w:rsid w:val="00D608E8"/>
    <w:rsid w:val="00D76438"/>
    <w:rsid w:val="00D834C8"/>
    <w:rsid w:val="00D908BF"/>
    <w:rsid w:val="00DA4BA8"/>
    <w:rsid w:val="00DC640F"/>
    <w:rsid w:val="00DE3317"/>
    <w:rsid w:val="00DE387B"/>
    <w:rsid w:val="00DE7BD8"/>
    <w:rsid w:val="00DF73AB"/>
    <w:rsid w:val="00E12233"/>
    <w:rsid w:val="00E25802"/>
    <w:rsid w:val="00E41F04"/>
    <w:rsid w:val="00E45090"/>
    <w:rsid w:val="00E51047"/>
    <w:rsid w:val="00E61469"/>
    <w:rsid w:val="00E65A7C"/>
    <w:rsid w:val="00E72853"/>
    <w:rsid w:val="00EB5057"/>
    <w:rsid w:val="00ED11B1"/>
    <w:rsid w:val="00EE0D2B"/>
    <w:rsid w:val="00F33197"/>
    <w:rsid w:val="00F806B9"/>
    <w:rsid w:val="00F81DA7"/>
    <w:rsid w:val="00FB6233"/>
    <w:rsid w:val="00FE4A5A"/>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6723CE4C-E5B0-4360-93C3-69372526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46CA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semiHidden/>
    <w:rsid w:val="00046CA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3231</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2014-11-10T19:12:00Z</cp:lastPrinted>
  <dcterms:created xsi:type="dcterms:W3CDTF">2018-04-26T13:41:00Z</dcterms:created>
  <dcterms:modified xsi:type="dcterms:W3CDTF">2018-04-26T13:41:00Z</dcterms:modified>
</cp:coreProperties>
</file>