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4736" w14:textId="77777777" w:rsidR="00971E10" w:rsidRPr="000B773F" w:rsidRDefault="00936DD2" w:rsidP="000B773F">
      <w:pPr>
        <w:pStyle w:val="Heading1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7728" behindDoc="0" locked="0" layoutInCell="1" allowOverlap="1" wp14:anchorId="6E24F8E9" wp14:editId="1B6DFE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0B773F">
        <w:rPr>
          <w:rFonts w:ascii="Georgia" w:hAnsi="Georgia"/>
        </w:rPr>
        <w:t xml:space="preserve">National </w:t>
      </w:r>
      <w:r w:rsidR="00DA4BA8">
        <w:rPr>
          <w:rFonts w:ascii="Georgia" w:hAnsi="Georgia"/>
        </w:rPr>
        <w:t>C</w:t>
      </w:r>
      <w:r w:rsidR="00DA4BA8" w:rsidRPr="000B773F">
        <w:rPr>
          <w:rFonts w:ascii="Georgia" w:hAnsi="Georgia"/>
        </w:rPr>
        <w:t>omments</w:t>
      </w:r>
    </w:p>
    <w:p w14:paraId="3093C932" w14:textId="77777777" w:rsidR="00971E10" w:rsidRPr="000B773F" w:rsidRDefault="00DA4BA8" w:rsidP="000B773F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14:paraId="309A5044" w14:textId="77777777" w:rsidR="00971E10" w:rsidRPr="000B773F" w:rsidRDefault="00971E10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2B061706" w14:textId="77777777" w:rsidR="000B773F" w:rsidRPr="000B773F" w:rsidRDefault="000B773F" w:rsidP="00002BC5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64FF9226" w14:textId="77777777" w:rsidR="00C21680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TCEQ Proposed Comments On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</w:p>
    <w:p w14:paraId="38817569" w14:textId="48243D6F" w:rsidR="00183C17" w:rsidRPr="00183C17" w:rsidRDefault="00B40ADC" w:rsidP="00002BC5">
      <w:pPr>
        <w:spacing w:after="60"/>
        <w:rPr>
          <w:rFonts w:ascii="Georgia" w:hAnsi="Georgia"/>
          <w:sz w:val="22"/>
          <w:szCs w:val="22"/>
        </w:rPr>
      </w:pPr>
      <w:r w:rsidRPr="001B21F9">
        <w:rPr>
          <w:rStyle w:val="Strong"/>
          <w:rFonts w:ascii="Georgia" w:hAnsi="Georgia"/>
          <w:b w:val="0"/>
          <w:i/>
          <w:sz w:val="22"/>
          <w:szCs w:val="22"/>
        </w:rPr>
        <w:t>Federal Register</w:t>
      </w:r>
      <w:r w:rsidRPr="001B21F9">
        <w:rPr>
          <w:rStyle w:val="Strong"/>
          <w:rFonts w:ascii="Georgia" w:hAnsi="Georgia"/>
          <w:b w:val="0"/>
          <w:sz w:val="22"/>
          <w:szCs w:val="22"/>
        </w:rPr>
        <w:t xml:space="preserve">, Vol. </w:t>
      </w:r>
      <w:r w:rsidR="00183C17" w:rsidRPr="00183C17">
        <w:rPr>
          <w:rFonts w:ascii="Georgia" w:hAnsi="Georgia"/>
          <w:sz w:val="22"/>
          <w:szCs w:val="22"/>
        </w:rPr>
        <w:t xml:space="preserve">83, No. </w:t>
      </w:r>
      <w:r w:rsidR="00AE6A84">
        <w:rPr>
          <w:rFonts w:ascii="Georgia" w:hAnsi="Georgia"/>
          <w:sz w:val="22"/>
          <w:szCs w:val="22"/>
        </w:rPr>
        <w:t>80</w:t>
      </w:r>
      <w:r w:rsidR="00183C17" w:rsidRPr="00183C17">
        <w:rPr>
          <w:rFonts w:ascii="Georgia" w:hAnsi="Georgia"/>
          <w:sz w:val="22"/>
          <w:szCs w:val="22"/>
        </w:rPr>
        <w:t xml:space="preserve">, </w:t>
      </w:r>
      <w:r w:rsidR="00CD4760">
        <w:rPr>
          <w:rFonts w:ascii="Georgia" w:hAnsi="Georgia"/>
          <w:sz w:val="22"/>
          <w:szCs w:val="22"/>
        </w:rPr>
        <w:t>April 25</w:t>
      </w:r>
      <w:r w:rsidR="00183C17" w:rsidRPr="00183C17">
        <w:rPr>
          <w:rFonts w:ascii="Georgia" w:hAnsi="Georgia"/>
          <w:sz w:val="22"/>
          <w:szCs w:val="22"/>
        </w:rPr>
        <w:t xml:space="preserve">, 2018: </w:t>
      </w:r>
      <w:r w:rsidR="00183C17" w:rsidRPr="00183C17">
        <w:rPr>
          <w:rFonts w:ascii="Georgia" w:hAnsi="Georgia"/>
          <w:bCs/>
          <w:sz w:val="22"/>
          <w:szCs w:val="22"/>
        </w:rPr>
        <w:t xml:space="preserve">Approval and Promulgation of Implementation Plans; Texas; </w:t>
      </w:r>
      <w:r w:rsidR="00CD4760">
        <w:rPr>
          <w:rFonts w:ascii="Georgia" w:hAnsi="Georgia"/>
          <w:bCs/>
          <w:sz w:val="22"/>
          <w:szCs w:val="22"/>
        </w:rPr>
        <w:t xml:space="preserve">Reasonable Further Progress Plan for </w:t>
      </w:r>
      <w:r w:rsidR="00CD4760" w:rsidRPr="00CD4760">
        <w:rPr>
          <w:rFonts w:ascii="Georgia" w:hAnsi="Georgia"/>
          <w:bCs/>
          <w:sz w:val="22"/>
          <w:szCs w:val="22"/>
        </w:rPr>
        <w:t>the Houston-Galveston-Brazoria (HGB)</w:t>
      </w:r>
      <w:r w:rsidR="00315EAB">
        <w:rPr>
          <w:rFonts w:ascii="Georgia" w:hAnsi="Georgia"/>
          <w:bCs/>
          <w:sz w:val="22"/>
          <w:szCs w:val="22"/>
        </w:rPr>
        <w:t xml:space="preserve"> 2008 eight</w:t>
      </w:r>
      <w:r w:rsidR="00CD4760" w:rsidRPr="00CD4760">
        <w:rPr>
          <w:rFonts w:ascii="Georgia" w:hAnsi="Georgia"/>
          <w:bCs/>
          <w:sz w:val="22"/>
          <w:szCs w:val="22"/>
        </w:rPr>
        <w:t>-hour ozo</w:t>
      </w:r>
      <w:r w:rsidR="00CD4760">
        <w:rPr>
          <w:rFonts w:ascii="Georgia" w:hAnsi="Georgia"/>
          <w:bCs/>
          <w:sz w:val="22"/>
          <w:szCs w:val="22"/>
        </w:rPr>
        <w:t>ne nonattainment area.</w:t>
      </w:r>
    </w:p>
    <w:p w14:paraId="3B969EC9" w14:textId="28307498" w:rsidR="00971E10" w:rsidRPr="001B21F9" w:rsidRDefault="00971E10" w:rsidP="00002BC5">
      <w:pPr>
        <w:spacing w:after="60"/>
        <w:rPr>
          <w:rFonts w:ascii="Georgia" w:hAnsi="Georgia"/>
          <w:sz w:val="22"/>
          <w:szCs w:val="22"/>
        </w:rPr>
      </w:pPr>
    </w:p>
    <w:p w14:paraId="1C565CD7" w14:textId="77777777" w:rsidR="00766E89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Overview of Proposal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</w:p>
    <w:p w14:paraId="19D99407" w14:textId="34C48D09" w:rsidR="00183C17" w:rsidRDefault="00CD4760" w:rsidP="00002BC5">
      <w:r w:rsidRPr="00002BC5">
        <w:rPr>
          <w:rFonts w:eastAsia="Calibri"/>
        </w:rPr>
        <w:t>T</w:t>
      </w:r>
      <w:r w:rsidR="004B2693" w:rsidRPr="00002BC5">
        <w:t xml:space="preserve">he </w:t>
      </w:r>
      <w:r w:rsidR="004E4256">
        <w:t xml:space="preserve">United States </w:t>
      </w:r>
      <w:r w:rsidR="004B2693" w:rsidRPr="00002BC5">
        <w:t>Environmental</w:t>
      </w:r>
      <w:r w:rsidRPr="00002BC5">
        <w:rPr>
          <w:rFonts w:eastAsia="Calibri"/>
        </w:rPr>
        <w:t xml:space="preserve"> </w:t>
      </w:r>
      <w:r w:rsidR="004B2693" w:rsidRPr="00002BC5">
        <w:t>Protection Agency (EPA) is proposing to a</w:t>
      </w:r>
      <w:r w:rsidRPr="00002BC5">
        <w:rPr>
          <w:rFonts w:eastAsia="Calibri"/>
        </w:rPr>
        <w:t>pprove a revision to the Texas state i</w:t>
      </w:r>
      <w:r w:rsidR="004B2693" w:rsidRPr="00002BC5">
        <w:t>mplementation</w:t>
      </w:r>
      <w:r w:rsidRPr="00002BC5">
        <w:rPr>
          <w:rFonts w:eastAsia="Calibri"/>
        </w:rPr>
        <w:t xml:space="preserve"> p</w:t>
      </w:r>
      <w:r w:rsidR="004B2693" w:rsidRPr="00002BC5">
        <w:t>lan (SIP) to meet the Reasonable Further Progress (RFP) requirements for the HGB m</w:t>
      </w:r>
      <w:r w:rsidR="004E4256">
        <w:t>oderate 2008 eight</w:t>
      </w:r>
      <w:r w:rsidR="004B2693" w:rsidRPr="00002BC5">
        <w:t>-hour ozo</w:t>
      </w:r>
      <w:r w:rsidRPr="00002BC5">
        <w:rPr>
          <w:rFonts w:eastAsia="Calibri"/>
        </w:rPr>
        <w:t>ne nonattainment area</w:t>
      </w:r>
      <w:r w:rsidR="004B2693" w:rsidRPr="00002BC5">
        <w:t>.</w:t>
      </w:r>
      <w:r w:rsidRPr="00002BC5">
        <w:rPr>
          <w:rFonts w:eastAsia="Calibri"/>
        </w:rPr>
        <w:t xml:space="preserve"> </w:t>
      </w:r>
      <w:r w:rsidR="004B2693" w:rsidRPr="00002BC5">
        <w:t xml:space="preserve">Specifically, </w:t>
      </w:r>
      <w:r w:rsidRPr="00002BC5">
        <w:rPr>
          <w:rFonts w:eastAsia="Calibri"/>
        </w:rPr>
        <w:t xml:space="preserve">the </w:t>
      </w:r>
      <w:r w:rsidR="004B2693" w:rsidRPr="00002BC5">
        <w:t>EPA is proposing to approve the RFP demonstration, contingency measures, motor</w:t>
      </w:r>
      <w:r w:rsidRPr="00002BC5">
        <w:rPr>
          <w:rFonts w:eastAsia="Calibri"/>
        </w:rPr>
        <w:t xml:space="preserve"> </w:t>
      </w:r>
      <w:r w:rsidR="004B2693" w:rsidRPr="00002BC5">
        <w:t>vehicle emissions budgets</w:t>
      </w:r>
      <w:r w:rsidR="004E4256">
        <w:t>,</w:t>
      </w:r>
      <w:r w:rsidR="004B2693" w:rsidRPr="00002BC5">
        <w:t xml:space="preserve"> and an updated 2011 base year emissions inventory.</w:t>
      </w:r>
    </w:p>
    <w:p w14:paraId="7363630A" w14:textId="77777777" w:rsidR="004E4256" w:rsidRPr="00002BC5" w:rsidRDefault="004E4256" w:rsidP="00002BC5">
      <w:pPr>
        <w:rPr>
          <w:rFonts w:eastAsia="Calibri"/>
        </w:rPr>
      </w:pPr>
    </w:p>
    <w:p w14:paraId="79A098F0" w14:textId="2A3F458C" w:rsidR="004B2693" w:rsidRPr="00002BC5" w:rsidRDefault="004B2693" w:rsidP="00002BC5">
      <w:r w:rsidRPr="00002BC5">
        <w:t xml:space="preserve">In 2008, </w:t>
      </w:r>
      <w:r w:rsidR="00CD4760" w:rsidRPr="00002BC5">
        <w:rPr>
          <w:rFonts w:eastAsia="Calibri"/>
        </w:rPr>
        <w:t>the EPA</w:t>
      </w:r>
      <w:r w:rsidR="004E4256">
        <w:t xml:space="preserve"> revised the eight</w:t>
      </w:r>
      <w:r w:rsidRPr="00002BC5">
        <w:t xml:space="preserve">-hour ozone primary and secondary </w:t>
      </w:r>
      <w:r w:rsidR="004E4256">
        <w:t>N</w:t>
      </w:r>
      <w:r w:rsidRPr="00002BC5">
        <w:t xml:space="preserve">ational </w:t>
      </w:r>
      <w:r w:rsidR="004E4256">
        <w:t>A</w:t>
      </w:r>
      <w:r w:rsidRPr="00002BC5">
        <w:t xml:space="preserve">mbient </w:t>
      </w:r>
      <w:r w:rsidR="004E4256">
        <w:t>Air Q</w:t>
      </w:r>
      <w:r w:rsidRPr="00002BC5">
        <w:t>uality</w:t>
      </w:r>
    </w:p>
    <w:p w14:paraId="09A2AC20" w14:textId="2F6AB275" w:rsidR="00CD4760" w:rsidRDefault="004E4256" w:rsidP="00002BC5">
      <w:r>
        <w:t>S</w:t>
      </w:r>
      <w:r w:rsidR="004B2693" w:rsidRPr="00002BC5">
        <w:t xml:space="preserve">tandards (NAAQS). The HGB area was </w:t>
      </w:r>
      <w:r w:rsidR="00A02658" w:rsidRPr="00002BC5">
        <w:t xml:space="preserve">initially </w:t>
      </w:r>
      <w:r w:rsidR="004B2693" w:rsidRPr="00002BC5">
        <w:t>classified</w:t>
      </w:r>
      <w:r w:rsidR="00A02658">
        <w:t xml:space="preserve"> </w:t>
      </w:r>
      <w:r w:rsidR="004B2693" w:rsidRPr="00002BC5">
        <w:t xml:space="preserve">as a marginal nonattainment area for the 2008 </w:t>
      </w:r>
      <w:r>
        <w:t>eight</w:t>
      </w:r>
      <w:r w:rsidR="004B2693" w:rsidRPr="00002BC5">
        <w:t>-hour ozone NAAQS and given an</w:t>
      </w:r>
      <w:r w:rsidR="00A02658">
        <w:t xml:space="preserve"> </w:t>
      </w:r>
      <w:r w:rsidR="004B2693" w:rsidRPr="00002BC5">
        <w:t xml:space="preserve">attainment date of </w:t>
      </w:r>
      <w:r w:rsidR="00CD4760" w:rsidRPr="00002BC5">
        <w:rPr>
          <w:rFonts w:eastAsia="Calibri"/>
        </w:rPr>
        <w:t>December 31, 2015</w:t>
      </w:r>
      <w:r w:rsidR="004B2693" w:rsidRPr="00002BC5">
        <w:t xml:space="preserve">. </w:t>
      </w:r>
      <w:r w:rsidR="00002BC5">
        <w:t>T</w:t>
      </w:r>
      <w:r w:rsidR="004B2693" w:rsidRPr="00002BC5">
        <w:t>he D.C. Circuit Court issued a decision rejecting, among other</w:t>
      </w:r>
      <w:r w:rsidR="00CD4760" w:rsidRPr="00002BC5">
        <w:rPr>
          <w:rFonts w:eastAsia="Calibri"/>
        </w:rPr>
        <w:t xml:space="preserve"> </w:t>
      </w:r>
      <w:r w:rsidR="004B2693" w:rsidRPr="00002BC5">
        <w:t xml:space="preserve">things, </w:t>
      </w:r>
      <w:r w:rsidR="00CD4760" w:rsidRPr="00002BC5">
        <w:rPr>
          <w:rFonts w:eastAsia="Calibri"/>
        </w:rPr>
        <w:t>the EPA’s</w:t>
      </w:r>
      <w:r w:rsidR="004B2693" w:rsidRPr="00002BC5">
        <w:t xml:space="preserve"> attainment deadlines for the 2008 ozone nonattainment areas.</w:t>
      </w:r>
      <w:r w:rsidR="00CD4760" w:rsidRPr="00002BC5">
        <w:rPr>
          <w:rFonts w:eastAsia="Calibri"/>
        </w:rPr>
        <w:t xml:space="preserve"> </w:t>
      </w:r>
      <w:r w:rsidR="00A02658">
        <w:rPr>
          <w:rFonts w:eastAsia="Calibri"/>
        </w:rPr>
        <w:t>T</w:t>
      </w:r>
      <w:r w:rsidR="00CD4760" w:rsidRPr="00002BC5">
        <w:rPr>
          <w:rFonts w:eastAsia="Calibri"/>
        </w:rPr>
        <w:t xml:space="preserve">he EPA </w:t>
      </w:r>
      <w:r w:rsidR="004B2693" w:rsidRPr="00002BC5">
        <w:t xml:space="preserve">modified the attainment deadlines for all </w:t>
      </w:r>
      <w:r w:rsidR="00A02658" w:rsidRPr="00002BC5">
        <w:t xml:space="preserve">2008 ozone NAAQS </w:t>
      </w:r>
      <w:r>
        <w:t>nonattainment areas</w:t>
      </w:r>
      <w:r w:rsidR="004B2693" w:rsidRPr="00002BC5">
        <w:t xml:space="preserve"> and</w:t>
      </w:r>
      <w:r w:rsidR="00CD4760" w:rsidRPr="00002BC5">
        <w:rPr>
          <w:rFonts w:eastAsia="Calibri"/>
        </w:rPr>
        <w:t xml:space="preserve"> </w:t>
      </w:r>
      <w:r w:rsidR="004B2693" w:rsidRPr="00002BC5">
        <w:t xml:space="preserve">set the attainment deadline for </w:t>
      </w:r>
      <w:r w:rsidR="00A02658">
        <w:t>marginal</w:t>
      </w:r>
      <w:r w:rsidR="004B2693" w:rsidRPr="00002BC5">
        <w:t xml:space="preserve"> areas, including HGB</w:t>
      </w:r>
      <w:r w:rsidR="00002BC5">
        <w:t>,</w:t>
      </w:r>
      <w:r w:rsidR="004B2693" w:rsidRPr="00002BC5">
        <w:t xml:space="preserve"> as July 20, 2015. The HGB area qualified for a </w:t>
      </w:r>
      <w:r>
        <w:t>one</w:t>
      </w:r>
      <w:r w:rsidR="004B2693" w:rsidRPr="00002BC5">
        <w:t>-year</w:t>
      </w:r>
      <w:r w:rsidR="00CD4760" w:rsidRPr="00002BC5">
        <w:rPr>
          <w:rFonts w:eastAsia="Calibri"/>
        </w:rPr>
        <w:t xml:space="preserve"> </w:t>
      </w:r>
      <w:r w:rsidR="00A02658">
        <w:t>extension of that</w:t>
      </w:r>
      <w:r w:rsidR="004B2693" w:rsidRPr="00002BC5">
        <w:t xml:space="preserve"> attainment deadline. </w:t>
      </w:r>
      <w:r w:rsidR="00A02658">
        <w:t xml:space="preserve">However, </w:t>
      </w:r>
      <w:r w:rsidR="004B2693" w:rsidRPr="00002BC5">
        <w:t xml:space="preserve">the HGB area did not meet the </w:t>
      </w:r>
      <w:r w:rsidR="00CD4760" w:rsidRPr="00002BC5">
        <w:t>July</w:t>
      </w:r>
      <w:r w:rsidR="00CD4760" w:rsidRPr="00002BC5">
        <w:rPr>
          <w:rFonts w:eastAsia="Calibri"/>
        </w:rPr>
        <w:t xml:space="preserve"> </w:t>
      </w:r>
      <w:r w:rsidR="00CD4760" w:rsidRPr="00002BC5">
        <w:t>2016</w:t>
      </w:r>
      <w:r w:rsidR="00CD4760" w:rsidRPr="00002BC5">
        <w:rPr>
          <w:rFonts w:eastAsia="Calibri"/>
        </w:rPr>
        <w:t xml:space="preserve"> </w:t>
      </w:r>
      <w:r w:rsidR="004B2693" w:rsidRPr="00002BC5">
        <w:t>deadline</w:t>
      </w:r>
      <w:r w:rsidR="00CD4760" w:rsidRPr="00002BC5">
        <w:rPr>
          <w:rFonts w:eastAsia="Calibri"/>
        </w:rPr>
        <w:t xml:space="preserve"> </w:t>
      </w:r>
      <w:r w:rsidR="00A02658">
        <w:rPr>
          <w:rFonts w:eastAsia="Calibri"/>
        </w:rPr>
        <w:t>and was</w:t>
      </w:r>
      <w:r w:rsidR="00CD4760" w:rsidRPr="00002BC5">
        <w:rPr>
          <w:rFonts w:eastAsia="Calibri"/>
        </w:rPr>
        <w:t xml:space="preserve"> </w:t>
      </w:r>
      <w:r w:rsidR="004B2693" w:rsidRPr="00002BC5">
        <w:t>reclassified to moderate</w:t>
      </w:r>
      <w:r w:rsidR="00A02658">
        <w:t xml:space="preserve"> with a</w:t>
      </w:r>
      <w:r w:rsidR="004B2693" w:rsidRPr="00002BC5">
        <w:t xml:space="preserve"> SIP </w:t>
      </w:r>
      <w:r w:rsidR="00CD4760" w:rsidRPr="00002BC5">
        <w:t xml:space="preserve">due date </w:t>
      </w:r>
      <w:r w:rsidR="00A02658">
        <w:t>of</w:t>
      </w:r>
      <w:r w:rsidR="004B2693" w:rsidRPr="00002BC5">
        <w:t xml:space="preserve"> January 1,</w:t>
      </w:r>
      <w:r w:rsidR="00CD4760" w:rsidRPr="00002BC5">
        <w:rPr>
          <w:rFonts w:eastAsia="Calibri"/>
        </w:rPr>
        <w:t xml:space="preserve"> </w:t>
      </w:r>
      <w:r w:rsidR="004B2693" w:rsidRPr="00002BC5">
        <w:t xml:space="preserve">2017. </w:t>
      </w:r>
      <w:r w:rsidR="00A02658">
        <w:t>The action is the proposed approval of the RFP SIP revision submitted by the TCEQ on December 29, 2016 to meet the requirements described above.</w:t>
      </w:r>
    </w:p>
    <w:p w14:paraId="2EA1EF04" w14:textId="77777777" w:rsidR="00A02658" w:rsidRPr="00002BC5" w:rsidRDefault="00A02658" w:rsidP="00002BC5">
      <w:pPr>
        <w:rPr>
          <w:rFonts w:eastAsia="Calibri"/>
        </w:rPr>
      </w:pPr>
    </w:p>
    <w:p w14:paraId="3527CE2E" w14:textId="15757FDB" w:rsidR="004B2693" w:rsidRPr="00002BC5" w:rsidRDefault="004B2693" w:rsidP="00002BC5">
      <w:pPr>
        <w:rPr>
          <w:rFonts w:eastAsia="Calibri"/>
        </w:rPr>
      </w:pPr>
      <w:r w:rsidRPr="00002BC5">
        <w:t xml:space="preserve">RFP </w:t>
      </w:r>
      <w:r w:rsidR="00A02658" w:rsidRPr="00002BC5">
        <w:rPr>
          <w:rFonts w:eastAsia="Calibri"/>
        </w:rPr>
        <w:t>SIP</w:t>
      </w:r>
      <w:r w:rsidR="00A02658">
        <w:rPr>
          <w:rFonts w:eastAsia="Calibri"/>
        </w:rPr>
        <w:t xml:space="preserve">s </w:t>
      </w:r>
      <w:r w:rsidRPr="00002BC5">
        <w:t xml:space="preserve">must include contingency measures </w:t>
      </w:r>
      <w:r w:rsidR="00E4550E" w:rsidRPr="00002BC5">
        <w:t>that would be implemented if the area</w:t>
      </w:r>
      <w:r w:rsidR="00E4550E" w:rsidRPr="00002BC5">
        <w:rPr>
          <w:rFonts w:eastAsia="Calibri"/>
        </w:rPr>
        <w:t xml:space="preserve"> </w:t>
      </w:r>
      <w:r w:rsidR="00E4550E" w:rsidRPr="00002BC5">
        <w:t>fails to reach the RFP milestones</w:t>
      </w:r>
      <w:r w:rsidR="00E4550E">
        <w:t>. The contingency measure would</w:t>
      </w:r>
      <w:r w:rsidR="00A02658">
        <w:t xml:space="preserve"> reduce </w:t>
      </w:r>
      <w:r w:rsidR="00A02658" w:rsidRPr="00002BC5">
        <w:t>volatile organic compound and nitrogen</w:t>
      </w:r>
      <w:r w:rsidR="00A02658" w:rsidRPr="00002BC5">
        <w:rPr>
          <w:rFonts w:eastAsia="Calibri"/>
        </w:rPr>
        <w:t xml:space="preserve"> </w:t>
      </w:r>
      <w:r w:rsidR="00A02658" w:rsidRPr="00002BC5">
        <w:t xml:space="preserve">oxide emissions </w:t>
      </w:r>
      <w:r w:rsidR="00E4550E">
        <w:t>and</w:t>
      </w:r>
      <w:r w:rsidRPr="00002BC5">
        <w:t xml:space="preserve"> take effect without further action</w:t>
      </w:r>
      <w:r w:rsidR="00002BC5" w:rsidRPr="00002BC5">
        <w:rPr>
          <w:rFonts w:eastAsia="Calibri"/>
        </w:rPr>
        <w:t xml:space="preserve"> </w:t>
      </w:r>
      <w:r w:rsidRPr="00002BC5">
        <w:t xml:space="preserve">by the state or </w:t>
      </w:r>
      <w:r w:rsidR="00002BC5" w:rsidRPr="00002BC5">
        <w:rPr>
          <w:rFonts w:eastAsia="Calibri"/>
        </w:rPr>
        <w:t xml:space="preserve">the </w:t>
      </w:r>
      <w:r w:rsidR="00E4550E">
        <w:t>EPA</w:t>
      </w:r>
      <w:r w:rsidRPr="00002BC5">
        <w:t xml:space="preserve">. </w:t>
      </w:r>
    </w:p>
    <w:p w14:paraId="7F0F95EB" w14:textId="77777777" w:rsidR="004B2693" w:rsidRPr="00183C17" w:rsidRDefault="004B2693" w:rsidP="00002BC5">
      <w:pPr>
        <w:spacing w:after="60"/>
        <w:rPr>
          <w:rFonts w:ascii="Georgia" w:eastAsia="Calibri" w:hAnsi="Georgia"/>
          <w:sz w:val="22"/>
          <w:szCs w:val="22"/>
        </w:rPr>
      </w:pPr>
    </w:p>
    <w:p w14:paraId="0440806D" w14:textId="77777777" w:rsidR="00C21680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Summary of Comments</w:t>
      </w:r>
      <w:r w:rsidR="00C21680" w:rsidRPr="001B21F9">
        <w:rPr>
          <w:rStyle w:val="Strong"/>
          <w:rFonts w:ascii="Georgia" w:hAnsi="Georgia"/>
          <w:sz w:val="22"/>
          <w:szCs w:val="22"/>
        </w:rPr>
        <w:t xml:space="preserve">: </w:t>
      </w:r>
      <w:r w:rsidR="00C21680" w:rsidRPr="001B21F9">
        <w:rPr>
          <w:sz w:val="22"/>
          <w:szCs w:val="22"/>
        </w:rPr>
        <w:t xml:space="preserve"> </w:t>
      </w:r>
    </w:p>
    <w:p w14:paraId="4AC483F3" w14:textId="3C0B1B0E" w:rsidR="00183C17" w:rsidRPr="00E4550E" w:rsidRDefault="00E4550E" w:rsidP="00E4550E">
      <w:pPr>
        <w:pStyle w:val="BodyText"/>
      </w:pPr>
      <w:r w:rsidRPr="00E4550E">
        <w:t>The TCEQ supports the EPA’s proposed approval that Texas meets the RFP requirements for the HGB moderate 2008 eight-hour ozone nonattainment area. Specifically, the TCEQ supports the EPA’s proposed approval of the RFP demonstration, contingency measures, motor vehicle emissions budgets, and updated 2011 base year emissions inventory.</w:t>
      </w:r>
      <w:r w:rsidR="00183C17" w:rsidRPr="00E4550E">
        <w:t xml:space="preserve"> </w:t>
      </w:r>
    </w:p>
    <w:p w14:paraId="7687D2F6" w14:textId="77777777" w:rsidR="00183C17" w:rsidRPr="001B21F9" w:rsidRDefault="00183C17" w:rsidP="00002BC5">
      <w:pPr>
        <w:widowControl/>
        <w:tabs>
          <w:tab w:val="left" w:pos="6255"/>
        </w:tabs>
        <w:autoSpaceDE/>
        <w:autoSpaceDN/>
        <w:adjustRightInd/>
        <w:spacing w:after="60"/>
        <w:rPr>
          <w:rFonts w:ascii="Georgia" w:hAnsi="Georgia"/>
          <w:sz w:val="22"/>
          <w:szCs w:val="22"/>
        </w:rPr>
      </w:pPr>
    </w:p>
    <w:p w14:paraId="6C50A3E7" w14:textId="77777777" w:rsidR="003B0564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Lead Office</w:t>
      </w:r>
      <w:r w:rsidR="003B0564" w:rsidRPr="001B21F9">
        <w:rPr>
          <w:rStyle w:val="Strong"/>
          <w:rFonts w:ascii="Georgia" w:hAnsi="Georgia"/>
          <w:sz w:val="22"/>
          <w:szCs w:val="22"/>
        </w:rPr>
        <w:t>:</w:t>
      </w:r>
      <w:r w:rsidR="00C21680" w:rsidRPr="001B21F9">
        <w:rPr>
          <w:sz w:val="22"/>
          <w:szCs w:val="22"/>
        </w:rPr>
        <w:t xml:space="preserve"> 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Office of Air/Air Quality Division</w:t>
      </w:r>
      <w:r w:rsidR="003B0564" w:rsidRPr="001B21F9">
        <w:rPr>
          <w:sz w:val="22"/>
          <w:szCs w:val="22"/>
        </w:rPr>
        <w:t xml:space="preserve"> </w:t>
      </w:r>
    </w:p>
    <w:p w14:paraId="09A7F200" w14:textId="7F09AD6C" w:rsidR="00C21680" w:rsidRPr="001B21F9" w:rsidRDefault="00DA4BA8" w:rsidP="00002BC5">
      <w:pPr>
        <w:spacing w:after="60"/>
        <w:rPr>
          <w:rFonts w:ascii="Georgia" w:hAnsi="Georgia"/>
          <w:bCs/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Internal Coordination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Daphne McMurrer/</w:t>
      </w:r>
      <w:r w:rsidR="00813DC3">
        <w:rPr>
          <w:rStyle w:val="Strong"/>
          <w:rFonts w:ascii="Georgia" w:hAnsi="Georgia"/>
          <w:b w:val="0"/>
          <w:sz w:val="22"/>
          <w:szCs w:val="22"/>
        </w:rPr>
        <w:t>Guy Hoffman/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OA/AQD/Air Quality Planning Section</w:t>
      </w:r>
    </w:p>
    <w:p w14:paraId="0AFBA7BF" w14:textId="77B54783" w:rsidR="00C21680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Office of Legal Services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183C17" w:rsidRPr="00DE296B">
        <w:rPr>
          <w:rStyle w:val="Strong"/>
          <w:rFonts w:ascii="Georgia" w:hAnsi="Georgia"/>
          <w:b w:val="0"/>
          <w:sz w:val="22"/>
          <w:szCs w:val="22"/>
        </w:rPr>
        <w:t xml:space="preserve">Amy </w:t>
      </w:r>
      <w:r w:rsidR="00DE296B" w:rsidRPr="00DE296B">
        <w:rPr>
          <w:rStyle w:val="Strong"/>
          <w:rFonts w:ascii="Georgia" w:hAnsi="Georgia"/>
          <w:b w:val="0"/>
          <w:sz w:val="22"/>
          <w:szCs w:val="22"/>
        </w:rPr>
        <w:t>Browning/</w:t>
      </w:r>
      <w:r w:rsidR="003E39C8" w:rsidRPr="001B21F9">
        <w:rPr>
          <w:rStyle w:val="Strong"/>
          <w:rFonts w:ascii="Georgia" w:hAnsi="Georgia"/>
          <w:b w:val="0"/>
          <w:sz w:val="22"/>
          <w:szCs w:val="22"/>
        </w:rPr>
        <w:t>Terry Salem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/OLS/Environmental Law Division</w:t>
      </w:r>
      <w:r w:rsidR="00C21680" w:rsidRPr="001B21F9">
        <w:rPr>
          <w:sz w:val="22"/>
          <w:szCs w:val="22"/>
        </w:rPr>
        <w:t xml:space="preserve">  </w:t>
      </w:r>
    </w:p>
    <w:p w14:paraId="1C5AEEB0" w14:textId="77777777" w:rsidR="00C21680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Deputy Director Approval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Steve Hagle, P.E./Office of Air</w:t>
      </w:r>
    </w:p>
    <w:p w14:paraId="3C74F698" w14:textId="73A492F6" w:rsidR="00971E10" w:rsidRPr="001B21F9" w:rsidRDefault="00DA4BA8" w:rsidP="00002BC5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Deadline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E808EE">
        <w:rPr>
          <w:rStyle w:val="Strong"/>
          <w:rFonts w:ascii="Georgia" w:hAnsi="Georgia"/>
          <w:sz w:val="22"/>
          <w:szCs w:val="22"/>
        </w:rPr>
        <w:t>5</w:t>
      </w:r>
      <w:r w:rsidR="00DE296B">
        <w:rPr>
          <w:rStyle w:val="Strong"/>
          <w:rFonts w:ascii="Georgia" w:hAnsi="Georgia"/>
          <w:sz w:val="22"/>
          <w:szCs w:val="22"/>
        </w:rPr>
        <w:t>/</w:t>
      </w:r>
      <w:r w:rsidR="00E808EE">
        <w:rPr>
          <w:rStyle w:val="Strong"/>
          <w:rFonts w:ascii="Georgia" w:hAnsi="Georgia"/>
          <w:sz w:val="22"/>
          <w:szCs w:val="22"/>
        </w:rPr>
        <w:t>25</w:t>
      </w:r>
      <w:r w:rsidR="00DE296B">
        <w:rPr>
          <w:rStyle w:val="Strong"/>
          <w:rFonts w:ascii="Georgia" w:hAnsi="Georgia"/>
          <w:sz w:val="22"/>
          <w:szCs w:val="22"/>
        </w:rPr>
        <w:t>/18</w:t>
      </w:r>
    </w:p>
    <w:sectPr w:rsidR="00971E10" w:rsidRPr="001B21F9">
      <w:footerReference w:type="default" r:id="rId8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CF2B0" w14:textId="77777777" w:rsidR="005778A2" w:rsidRDefault="005778A2">
      <w:r>
        <w:separator/>
      </w:r>
    </w:p>
  </w:endnote>
  <w:endnote w:type="continuationSeparator" w:id="0">
    <w:p w14:paraId="0617D22D" w14:textId="77777777" w:rsidR="005778A2" w:rsidRDefault="005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404" w14:textId="4E6F6225" w:rsidR="00690FF3" w:rsidRPr="00B02E65" w:rsidRDefault="00690FF3">
    <w:pPr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CD26DF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CD26DF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940C" w14:textId="77777777" w:rsidR="005778A2" w:rsidRDefault="005778A2">
      <w:r>
        <w:separator/>
      </w:r>
    </w:p>
  </w:footnote>
  <w:footnote w:type="continuationSeparator" w:id="0">
    <w:p w14:paraId="19FC194F" w14:textId="77777777" w:rsidR="005778A2" w:rsidRDefault="0057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F6A"/>
    <w:multiLevelType w:val="hybridMultilevel"/>
    <w:tmpl w:val="998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5DC9"/>
    <w:multiLevelType w:val="hybridMultilevel"/>
    <w:tmpl w:val="8184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F"/>
    <w:rsid w:val="00002BC5"/>
    <w:rsid w:val="000470B1"/>
    <w:rsid w:val="00067562"/>
    <w:rsid w:val="00081A75"/>
    <w:rsid w:val="000B773F"/>
    <w:rsid w:val="00104914"/>
    <w:rsid w:val="001322FC"/>
    <w:rsid w:val="001548CA"/>
    <w:rsid w:val="00155F25"/>
    <w:rsid w:val="00183C17"/>
    <w:rsid w:val="00187E2A"/>
    <w:rsid w:val="001B1EC0"/>
    <w:rsid w:val="001B21F9"/>
    <w:rsid w:val="001B52A2"/>
    <w:rsid w:val="001F5162"/>
    <w:rsid w:val="00257520"/>
    <w:rsid w:val="002954EB"/>
    <w:rsid w:val="00315204"/>
    <w:rsid w:val="00315EAB"/>
    <w:rsid w:val="003849D6"/>
    <w:rsid w:val="003B0564"/>
    <w:rsid w:val="003C35AB"/>
    <w:rsid w:val="003C6910"/>
    <w:rsid w:val="003E39C8"/>
    <w:rsid w:val="004B2693"/>
    <w:rsid w:val="004E4256"/>
    <w:rsid w:val="004E5E58"/>
    <w:rsid w:val="0056789A"/>
    <w:rsid w:val="005724E6"/>
    <w:rsid w:val="005778A2"/>
    <w:rsid w:val="005900DA"/>
    <w:rsid w:val="005E3FE4"/>
    <w:rsid w:val="00690FF3"/>
    <w:rsid w:val="006D060D"/>
    <w:rsid w:val="00702E44"/>
    <w:rsid w:val="007038A9"/>
    <w:rsid w:val="00727640"/>
    <w:rsid w:val="00735370"/>
    <w:rsid w:val="00766E89"/>
    <w:rsid w:val="007D2371"/>
    <w:rsid w:val="007E0CF9"/>
    <w:rsid w:val="00813DC3"/>
    <w:rsid w:val="008324E8"/>
    <w:rsid w:val="0088477B"/>
    <w:rsid w:val="008B7C19"/>
    <w:rsid w:val="00936DD2"/>
    <w:rsid w:val="00971E10"/>
    <w:rsid w:val="009D41CD"/>
    <w:rsid w:val="009F3310"/>
    <w:rsid w:val="00A02658"/>
    <w:rsid w:val="00A33A92"/>
    <w:rsid w:val="00A34F4A"/>
    <w:rsid w:val="00A377B4"/>
    <w:rsid w:val="00A55362"/>
    <w:rsid w:val="00A92979"/>
    <w:rsid w:val="00AE6A84"/>
    <w:rsid w:val="00B02E65"/>
    <w:rsid w:val="00B214C7"/>
    <w:rsid w:val="00B40ADC"/>
    <w:rsid w:val="00B47ED6"/>
    <w:rsid w:val="00B51D18"/>
    <w:rsid w:val="00B57CBE"/>
    <w:rsid w:val="00C21680"/>
    <w:rsid w:val="00CD26DF"/>
    <w:rsid w:val="00CD4760"/>
    <w:rsid w:val="00DA4BA8"/>
    <w:rsid w:val="00DE296B"/>
    <w:rsid w:val="00E4550E"/>
    <w:rsid w:val="00E52AAD"/>
    <w:rsid w:val="00E61469"/>
    <w:rsid w:val="00E72138"/>
    <w:rsid w:val="00E808EE"/>
    <w:rsid w:val="00F036B0"/>
    <w:rsid w:val="00F26FD4"/>
    <w:rsid w:val="00F81DA7"/>
    <w:rsid w:val="00F9629B"/>
    <w:rsid w:val="00F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6FA50"/>
  <w15:docId w15:val="{EC93A514-8E9F-48A1-8112-EF4D3AC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7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ListParagraph">
    <w:name w:val="List Paragraph"/>
    <w:basedOn w:val="Normal"/>
    <w:uiPriority w:val="34"/>
    <w:qFormat/>
    <w:rsid w:val="001F51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B7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002BC5"/>
    <w:pPr>
      <w:spacing w:after="60"/>
    </w:pPr>
    <w:rPr>
      <w:rFonts w:ascii="Georgia" w:eastAsia="Calibri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02BC5"/>
    <w:rPr>
      <w:rFonts w:ascii="Georgia" w:eastAsia="Calibri" w:hAnsi="Georgia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0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3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6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2624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2018-02-28T21:15:00Z</cp:lastPrinted>
  <dcterms:created xsi:type="dcterms:W3CDTF">2018-05-25T13:38:00Z</dcterms:created>
  <dcterms:modified xsi:type="dcterms:W3CDTF">2018-05-25T13:38:00Z</dcterms:modified>
</cp:coreProperties>
</file>