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34" w:rsidRPr="00386BFD" w:rsidRDefault="00597F34" w:rsidP="00597F34">
      <w:pPr>
        <w:pStyle w:val="Heading1"/>
        <w:jc w:val="center"/>
        <w:rPr>
          <w:rFonts w:ascii="Lucida Bright" w:hAnsi="Lucida Bright"/>
          <w:sz w:val="16"/>
          <w:szCs w:val="16"/>
        </w:rPr>
      </w:pPr>
      <w:r w:rsidRPr="00386BFD">
        <w:rPr>
          <w:rFonts w:ascii="Lucida Bright" w:hAnsi="Lucida Bright"/>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386BFD">
        <w:rPr>
          <w:rFonts w:ascii="Lucida Bright" w:hAnsi="Lucida Bright"/>
        </w:rPr>
        <w:t>National Comments</w:t>
      </w:r>
    </w:p>
    <w:p w:rsidR="00597F34" w:rsidRPr="00386BFD" w:rsidRDefault="00597F34" w:rsidP="00597F34">
      <w:pPr>
        <w:pStyle w:val="Heading1"/>
        <w:jc w:val="center"/>
        <w:rPr>
          <w:rFonts w:ascii="Lucida Bright" w:hAnsi="Lucida Bright"/>
        </w:rPr>
      </w:pPr>
      <w:r w:rsidRPr="00386BFD">
        <w:rPr>
          <w:rFonts w:ascii="Lucida Bright" w:hAnsi="Lucida Bright"/>
        </w:rPr>
        <w:t>Executive Review Summary</w:t>
      </w:r>
    </w:p>
    <w:p w:rsidR="00597F34" w:rsidRPr="00386BFD" w:rsidRDefault="00597F34" w:rsidP="00597F34">
      <w:pPr>
        <w:jc w:val="center"/>
        <w:rPr>
          <w:rFonts w:ascii="Lucida Bright" w:hAnsi="Lucida Bright"/>
          <w:b/>
          <w:bCs/>
          <w:sz w:val="30"/>
          <w:szCs w:val="30"/>
        </w:rPr>
      </w:pPr>
    </w:p>
    <w:p w:rsidR="00597F34" w:rsidRPr="00386BFD" w:rsidRDefault="00597F34" w:rsidP="00597F34">
      <w:pPr>
        <w:jc w:val="center"/>
        <w:rPr>
          <w:rFonts w:ascii="Lucida Bright" w:hAnsi="Lucida Bright"/>
          <w:b/>
          <w:bCs/>
          <w:sz w:val="30"/>
          <w:szCs w:val="30"/>
        </w:rPr>
      </w:pPr>
    </w:p>
    <w:p w:rsidR="00597F34" w:rsidRPr="00386BFD" w:rsidRDefault="00597F34" w:rsidP="00597F34">
      <w:pPr>
        <w:jc w:val="center"/>
        <w:rPr>
          <w:rFonts w:ascii="Lucida Bright" w:hAnsi="Lucida Bright"/>
          <w:b/>
          <w:bCs/>
          <w:sz w:val="30"/>
          <w:szCs w:val="30"/>
        </w:rPr>
      </w:pPr>
    </w:p>
    <w:p w:rsidR="00597F34" w:rsidRPr="00386BFD" w:rsidRDefault="00597F34" w:rsidP="00597F34">
      <w:pPr>
        <w:rPr>
          <w:rStyle w:val="Strong"/>
          <w:rFonts w:ascii="Lucida Bright" w:hAnsi="Lucida Bright"/>
        </w:rPr>
      </w:pPr>
      <w:r w:rsidRPr="00386BFD">
        <w:rPr>
          <w:rStyle w:val="Strong"/>
          <w:rFonts w:ascii="Lucida Bright" w:hAnsi="Lucida Bright"/>
        </w:rPr>
        <w:t>TCEQ Proposed Comments On:</w:t>
      </w:r>
      <w:r w:rsidR="00386BFD" w:rsidRPr="00386BFD">
        <w:rPr>
          <w:rStyle w:val="Strong"/>
          <w:rFonts w:ascii="Lucida Bright" w:hAnsi="Lucida Bright"/>
        </w:rPr>
        <w:t xml:space="preserve"> </w:t>
      </w:r>
      <w:r w:rsidR="00386BFD" w:rsidRPr="00386BFD">
        <w:rPr>
          <w:rStyle w:val="Strong"/>
          <w:rFonts w:ascii="Lucida Bright" w:hAnsi="Lucida Bright"/>
          <w:b w:val="0"/>
          <w:sz w:val="22"/>
          <w:szCs w:val="22"/>
        </w:rPr>
        <w:t>Nuclear Regulatory Commission Draft Regulatory Analysis for Final Rule: Low-Level Radioactive Waste Disposal</w:t>
      </w:r>
    </w:p>
    <w:p w:rsidR="00597F34" w:rsidRPr="00386BFD" w:rsidRDefault="00597F34" w:rsidP="00597F34">
      <w:pPr>
        <w:rPr>
          <w:rFonts w:ascii="Lucida Bright" w:hAnsi="Lucida Bright"/>
        </w:rPr>
      </w:pPr>
    </w:p>
    <w:p w:rsidR="00597F34" w:rsidRPr="00386BFD" w:rsidRDefault="00597F34" w:rsidP="00597F34">
      <w:pPr>
        <w:rPr>
          <w:rFonts w:ascii="Lucida Bright" w:hAnsi="Lucida Bright"/>
        </w:rPr>
      </w:pPr>
    </w:p>
    <w:p w:rsidR="00386BFD" w:rsidRPr="00386BFD" w:rsidRDefault="00597F34" w:rsidP="00386BFD">
      <w:pPr>
        <w:spacing w:before="240"/>
        <w:rPr>
          <w:rFonts w:ascii="Lucida Bright" w:hAnsi="Lucida Bright"/>
          <w:sz w:val="22"/>
          <w:szCs w:val="22"/>
        </w:rPr>
      </w:pPr>
      <w:r w:rsidRPr="00386BFD">
        <w:rPr>
          <w:rStyle w:val="Strong"/>
          <w:rFonts w:ascii="Lucida Bright" w:hAnsi="Lucida Bright"/>
        </w:rPr>
        <w:t>Overview of Proposal:</w:t>
      </w:r>
      <w:r w:rsidR="00386BFD">
        <w:rPr>
          <w:rStyle w:val="Strong"/>
          <w:rFonts w:ascii="Lucida Bright" w:hAnsi="Lucida Bright"/>
        </w:rPr>
        <w:t xml:space="preserve"> </w:t>
      </w:r>
      <w:r w:rsidR="00386BFD" w:rsidRPr="00386BFD">
        <w:rPr>
          <w:rStyle w:val="Strong"/>
          <w:rFonts w:ascii="Lucida Bright" w:hAnsi="Lucida Bright"/>
          <w:b w:val="0"/>
          <w:sz w:val="22"/>
          <w:szCs w:val="22"/>
        </w:rPr>
        <w:t xml:space="preserve">The </w:t>
      </w:r>
      <w:r w:rsidR="00386BFD" w:rsidRPr="00386BFD">
        <w:rPr>
          <w:rFonts w:ascii="Lucida Bright" w:hAnsi="Lucida Bright"/>
          <w:sz w:val="22"/>
          <w:szCs w:val="22"/>
        </w:rPr>
        <w:t xml:space="preserve">NRC is seeking comments on questions raised in the Federal Register Notice </w:t>
      </w:r>
      <w:bookmarkStart w:id="0" w:name="_GoBack"/>
      <w:r w:rsidR="00386BFD">
        <w:rPr>
          <w:rFonts w:ascii="Lucida Bright" w:hAnsi="Lucida Bright"/>
          <w:sz w:val="22"/>
          <w:szCs w:val="22"/>
        </w:rPr>
        <w:t xml:space="preserve">(FRN) </w:t>
      </w:r>
      <w:r w:rsidR="00386BFD" w:rsidRPr="00386BFD">
        <w:rPr>
          <w:rFonts w:ascii="Lucida Bright" w:hAnsi="Lucida Bright"/>
          <w:sz w:val="22"/>
          <w:szCs w:val="22"/>
        </w:rPr>
        <w:t>FR DOC # 2017–22459</w:t>
      </w:r>
      <w:bookmarkEnd w:id="0"/>
      <w:r w:rsidR="00386BFD" w:rsidRPr="00386BFD">
        <w:rPr>
          <w:rFonts w:ascii="Lucida Bright" w:hAnsi="Lucida Bright"/>
          <w:sz w:val="22"/>
          <w:szCs w:val="22"/>
        </w:rPr>
        <w:t xml:space="preserve"> dated October 17, 2017 that address the NRC’s approach for seeking specific cost and benefit information to better inform the updated draft regulatory analysis. The draft regulatory analysis supports the proposed rulemaking to implement </w:t>
      </w:r>
      <w:r w:rsidR="00386BFD">
        <w:rPr>
          <w:rFonts w:ascii="Lucida Bright" w:hAnsi="Lucida Bright"/>
          <w:sz w:val="22"/>
          <w:szCs w:val="22"/>
        </w:rPr>
        <w:t>revisions to 10 CFR Part 61, “Licensing Requirements for Land Disposal of Radioactive Waste.”</w:t>
      </w:r>
      <w:r w:rsidR="00386BFD" w:rsidRPr="00386BFD">
        <w:rPr>
          <w:rFonts w:ascii="Lucida Bright" w:hAnsi="Lucida Bright"/>
          <w:sz w:val="22"/>
          <w:szCs w:val="22"/>
        </w:rPr>
        <w:t xml:space="preserve"> </w:t>
      </w:r>
    </w:p>
    <w:p w:rsidR="00597F34" w:rsidRPr="00386BFD" w:rsidRDefault="00597F34" w:rsidP="00597F34">
      <w:pPr>
        <w:rPr>
          <w:rStyle w:val="Strong"/>
          <w:rFonts w:ascii="Lucida Bright" w:hAnsi="Lucida Bright"/>
        </w:rPr>
      </w:pPr>
    </w:p>
    <w:p w:rsidR="00597F34" w:rsidRPr="00386BFD" w:rsidRDefault="00597F34" w:rsidP="00597F34">
      <w:pPr>
        <w:pStyle w:val="BodyText"/>
        <w:rPr>
          <w:rFonts w:ascii="Lucida Bright" w:hAnsi="Lucida Bright"/>
        </w:rPr>
      </w:pPr>
    </w:p>
    <w:p w:rsidR="00597F34" w:rsidRPr="00386BFD" w:rsidRDefault="00597F34" w:rsidP="00597F34">
      <w:pPr>
        <w:rPr>
          <w:rStyle w:val="Strong"/>
          <w:rFonts w:ascii="Lucida Bright" w:hAnsi="Lucida Bright"/>
          <w:b w:val="0"/>
        </w:rPr>
      </w:pPr>
      <w:r w:rsidRPr="00386BFD">
        <w:rPr>
          <w:rStyle w:val="Strong"/>
          <w:rFonts w:ascii="Lucida Bright" w:hAnsi="Lucida Bright"/>
          <w:b w:val="0"/>
        </w:rPr>
        <w:t xml:space="preserve">   </w:t>
      </w:r>
    </w:p>
    <w:p w:rsidR="00597F34" w:rsidRPr="00386BFD" w:rsidRDefault="00597F34" w:rsidP="00597F34">
      <w:pPr>
        <w:rPr>
          <w:rStyle w:val="Strong"/>
          <w:rFonts w:ascii="Lucida Bright" w:hAnsi="Lucida Bright"/>
          <w:b w:val="0"/>
          <w:sz w:val="22"/>
          <w:szCs w:val="22"/>
        </w:rPr>
      </w:pPr>
      <w:r w:rsidRPr="00386BFD">
        <w:rPr>
          <w:rStyle w:val="Strong"/>
          <w:rFonts w:ascii="Lucida Bright" w:hAnsi="Lucida Bright"/>
        </w:rPr>
        <w:t xml:space="preserve">Summary of Comments: </w:t>
      </w:r>
      <w:r w:rsidR="00386BFD">
        <w:rPr>
          <w:rStyle w:val="Strong"/>
          <w:rFonts w:ascii="Lucida Bright" w:hAnsi="Lucida Bright"/>
          <w:b w:val="0"/>
          <w:sz w:val="22"/>
          <w:szCs w:val="22"/>
        </w:rPr>
        <w:t xml:space="preserve">The TCEQ provided responses to seven questions posed in the FRN in order to better inform the NRC for information gathering as it relates to economic impacts to states and regulated entities from the proposed changes to 10 CFR Part 61, </w:t>
      </w:r>
      <w:r w:rsidR="00386BFD">
        <w:rPr>
          <w:rFonts w:ascii="Lucida Bright" w:hAnsi="Lucida Bright"/>
          <w:sz w:val="22"/>
          <w:szCs w:val="22"/>
        </w:rPr>
        <w:t>“Licensing Requirements for Land Disposal of Radioactive Waste.”</w:t>
      </w:r>
    </w:p>
    <w:p w:rsidR="00597F34" w:rsidRPr="00386BFD" w:rsidRDefault="00597F34" w:rsidP="00597F34">
      <w:pPr>
        <w:rPr>
          <w:rFonts w:ascii="Lucida Bright" w:hAnsi="Lucida Bright"/>
        </w:rPr>
      </w:pPr>
      <w:r w:rsidRPr="00386BFD">
        <w:rPr>
          <w:rFonts w:ascii="Lucida Bright" w:hAnsi="Lucida Bright"/>
        </w:rPr>
        <w:t xml:space="preserve"> </w:t>
      </w:r>
    </w:p>
    <w:p w:rsidR="00597F34" w:rsidRPr="00386BFD" w:rsidRDefault="00597F34" w:rsidP="00597F34">
      <w:pPr>
        <w:rPr>
          <w:rFonts w:ascii="Lucida Bright" w:hAnsi="Lucida Bright"/>
        </w:rPr>
      </w:pPr>
    </w:p>
    <w:p w:rsidR="00597F34" w:rsidRPr="00386BFD" w:rsidRDefault="00597F34" w:rsidP="00597F34">
      <w:pPr>
        <w:rPr>
          <w:rFonts w:ascii="Lucida Bright" w:hAnsi="Lucida Bright"/>
        </w:rPr>
      </w:pPr>
      <w:r w:rsidRPr="00386BFD">
        <w:rPr>
          <w:rStyle w:val="Strong"/>
          <w:rFonts w:ascii="Lucida Bright" w:hAnsi="Lucida Bright"/>
        </w:rPr>
        <w:t xml:space="preserve">Lead Office: </w:t>
      </w:r>
      <w:r w:rsidR="00386BFD">
        <w:rPr>
          <w:rStyle w:val="Strong"/>
          <w:rFonts w:ascii="Lucida Bright" w:hAnsi="Lucida Bright"/>
          <w:b w:val="0"/>
          <w:sz w:val="22"/>
          <w:szCs w:val="22"/>
        </w:rPr>
        <w:t>Office of Waste</w:t>
      </w:r>
      <w:r w:rsidRPr="00386BFD">
        <w:rPr>
          <w:rStyle w:val="Strong"/>
          <w:rFonts w:ascii="Lucida Bright" w:hAnsi="Lucida Bright"/>
        </w:rPr>
        <w:t xml:space="preserve">  </w:t>
      </w:r>
      <w:r w:rsidRPr="00386BFD">
        <w:rPr>
          <w:rFonts w:ascii="Lucida Bright" w:hAnsi="Lucida Bright"/>
        </w:rPr>
        <w:t xml:space="preserve">  </w:t>
      </w:r>
    </w:p>
    <w:p w:rsidR="00597F34" w:rsidRPr="00386BFD" w:rsidRDefault="00597F34" w:rsidP="00597F34">
      <w:pPr>
        <w:rPr>
          <w:rFonts w:ascii="Lucida Bright" w:hAnsi="Lucida Bright"/>
        </w:rPr>
      </w:pPr>
    </w:p>
    <w:p w:rsidR="00597F34" w:rsidRPr="00386BFD" w:rsidRDefault="00597F34" w:rsidP="00597F34">
      <w:pPr>
        <w:rPr>
          <w:rFonts w:ascii="Lucida Bright" w:hAnsi="Lucida Bright"/>
        </w:rPr>
      </w:pPr>
      <w:r w:rsidRPr="00386BFD">
        <w:rPr>
          <w:rStyle w:val="Strong"/>
          <w:rFonts w:ascii="Lucida Bright" w:hAnsi="Lucida Bright"/>
        </w:rPr>
        <w:t xml:space="preserve">Internal Coordination: </w:t>
      </w:r>
      <w:r w:rsidR="00B47199">
        <w:rPr>
          <w:rFonts w:ascii="Lucida Bright" w:hAnsi="Lucida Bright"/>
          <w:sz w:val="22"/>
          <w:szCs w:val="22"/>
        </w:rPr>
        <w:t>NA</w:t>
      </w:r>
      <w:r w:rsidRPr="00386BFD">
        <w:rPr>
          <w:rFonts w:ascii="Lucida Bright" w:hAnsi="Lucida Bright"/>
        </w:rPr>
        <w:t xml:space="preserve">   </w:t>
      </w:r>
    </w:p>
    <w:p w:rsidR="00597F34" w:rsidRPr="00386BFD" w:rsidRDefault="00597F34" w:rsidP="00597F34">
      <w:pPr>
        <w:rPr>
          <w:rFonts w:ascii="Lucida Bright" w:hAnsi="Lucida Bright"/>
        </w:rPr>
      </w:pPr>
    </w:p>
    <w:p w:rsidR="00597F34" w:rsidRPr="00386BFD" w:rsidRDefault="00597F34" w:rsidP="00597F34">
      <w:pPr>
        <w:rPr>
          <w:rFonts w:ascii="Lucida Bright" w:hAnsi="Lucida Bright"/>
        </w:rPr>
      </w:pPr>
      <w:r w:rsidRPr="00386BFD">
        <w:rPr>
          <w:rStyle w:val="Strong"/>
          <w:rFonts w:ascii="Lucida Bright" w:hAnsi="Lucida Bright"/>
        </w:rPr>
        <w:t>Office of Legal Services:</w:t>
      </w:r>
      <w:r w:rsidR="00B47199">
        <w:rPr>
          <w:rFonts w:ascii="Lucida Bright" w:hAnsi="Lucida Bright"/>
        </w:rPr>
        <w:t xml:space="preserve"> </w:t>
      </w:r>
      <w:r w:rsidR="00B47199" w:rsidRPr="00B47199">
        <w:rPr>
          <w:rFonts w:ascii="Lucida Bright" w:hAnsi="Lucida Bright"/>
          <w:sz w:val="22"/>
          <w:szCs w:val="22"/>
        </w:rPr>
        <w:t>NA</w:t>
      </w:r>
    </w:p>
    <w:p w:rsidR="00597F34" w:rsidRPr="00386BFD" w:rsidRDefault="00597F34" w:rsidP="00597F34">
      <w:pPr>
        <w:rPr>
          <w:rFonts w:ascii="Lucida Bright" w:hAnsi="Lucida Bright"/>
        </w:rPr>
      </w:pPr>
    </w:p>
    <w:p w:rsidR="00597F34" w:rsidRPr="00386BFD" w:rsidRDefault="00597F34" w:rsidP="00597F34">
      <w:pPr>
        <w:rPr>
          <w:rStyle w:val="Strong"/>
          <w:rFonts w:ascii="Lucida Bright" w:hAnsi="Lucida Bright"/>
        </w:rPr>
      </w:pPr>
      <w:r w:rsidRPr="00386BFD">
        <w:rPr>
          <w:rStyle w:val="Strong"/>
          <w:rFonts w:ascii="Lucida Bright" w:hAnsi="Lucida Bright"/>
        </w:rPr>
        <w:t xml:space="preserve">Deputy Director Approval:  </w:t>
      </w:r>
      <w:r w:rsidRPr="00386BFD">
        <w:rPr>
          <w:rStyle w:val="Strong"/>
          <w:rFonts w:ascii="Lucida Bright" w:hAnsi="Lucida Bright"/>
        </w:rPr>
        <w:tab/>
      </w:r>
    </w:p>
    <w:p w:rsidR="00597F34" w:rsidRPr="00386BFD" w:rsidRDefault="00597F34" w:rsidP="00597F34">
      <w:pPr>
        <w:rPr>
          <w:rStyle w:val="Strong"/>
          <w:rFonts w:ascii="Lucida Bright" w:hAnsi="Lucida Bright"/>
        </w:rPr>
      </w:pPr>
    </w:p>
    <w:p w:rsidR="00597F34" w:rsidRPr="00386BFD" w:rsidRDefault="00D425DC" w:rsidP="00597F34">
      <w:pPr>
        <w:rPr>
          <w:rFonts w:ascii="Lucida Bright" w:hAnsi="Lucida Bright"/>
        </w:rPr>
      </w:pPr>
      <w:r w:rsidRPr="00386BFD">
        <w:rPr>
          <w:rStyle w:val="Strong"/>
          <w:rFonts w:ascii="Lucida Bright" w:hAnsi="Lucida Bright"/>
        </w:rPr>
        <w:t>Deadline</w:t>
      </w:r>
      <w:r w:rsidR="00597F34" w:rsidRPr="00386BFD">
        <w:rPr>
          <w:rFonts w:ascii="Lucida Bright" w:hAnsi="Lucida Bright"/>
        </w:rPr>
        <w:t xml:space="preserve">: </w:t>
      </w:r>
      <w:r w:rsidR="00B47199" w:rsidRPr="00B47199">
        <w:rPr>
          <w:rFonts w:ascii="Lucida Bright" w:hAnsi="Lucida Bright"/>
          <w:sz w:val="22"/>
          <w:szCs w:val="22"/>
        </w:rPr>
        <w:t>November 16, 2017</w:t>
      </w:r>
    </w:p>
    <w:p w:rsidR="00597F34" w:rsidRPr="00386BFD" w:rsidRDefault="00597F34" w:rsidP="00597F34">
      <w:pPr>
        <w:rPr>
          <w:rFonts w:ascii="Lucida Bright" w:hAnsi="Lucida Bright"/>
        </w:rPr>
      </w:pPr>
    </w:p>
    <w:p w:rsidR="00A03680" w:rsidRPr="00386BFD" w:rsidRDefault="00A03680" w:rsidP="00261265">
      <w:pPr>
        <w:pStyle w:val="BodyText"/>
        <w:rPr>
          <w:rFonts w:ascii="Lucida Bright" w:hAnsi="Lucida Bright"/>
        </w:rPr>
      </w:pPr>
    </w:p>
    <w:sectPr w:rsidR="00A03680" w:rsidRPr="00386BFD" w:rsidSect="00A960F0">
      <w:footerReference w:type="default" r:id="rId9"/>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0F6" w:rsidRDefault="003360F6">
      <w:r>
        <w:separator/>
      </w:r>
    </w:p>
  </w:endnote>
  <w:endnote w:type="continuationSeparator" w:id="0">
    <w:p w:rsidR="003360F6" w:rsidRDefault="0033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52" w:rsidRPr="00B02E65" w:rsidRDefault="00047100">
    <w:pP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0F6" w:rsidRDefault="003360F6">
      <w:r>
        <w:separator/>
      </w:r>
    </w:p>
  </w:footnote>
  <w:footnote w:type="continuationSeparator" w:id="0">
    <w:p w:rsidR="003360F6" w:rsidRDefault="0033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47100"/>
    <w:rsid w:val="00051B7F"/>
    <w:rsid w:val="00060630"/>
    <w:rsid w:val="00116413"/>
    <w:rsid w:val="001A17DC"/>
    <w:rsid w:val="001F0D2F"/>
    <w:rsid w:val="00261265"/>
    <w:rsid w:val="00267310"/>
    <w:rsid w:val="002677C4"/>
    <w:rsid w:val="00297D38"/>
    <w:rsid w:val="002D4E2D"/>
    <w:rsid w:val="002E28F4"/>
    <w:rsid w:val="003360F6"/>
    <w:rsid w:val="00351FD0"/>
    <w:rsid w:val="00386BFD"/>
    <w:rsid w:val="00393C75"/>
    <w:rsid w:val="003B41DF"/>
    <w:rsid w:val="003F5ABB"/>
    <w:rsid w:val="004D2CA6"/>
    <w:rsid w:val="005464F5"/>
    <w:rsid w:val="0055212A"/>
    <w:rsid w:val="00557C47"/>
    <w:rsid w:val="00597F34"/>
    <w:rsid w:val="005F337F"/>
    <w:rsid w:val="00630094"/>
    <w:rsid w:val="0065525B"/>
    <w:rsid w:val="006730D8"/>
    <w:rsid w:val="006A24FC"/>
    <w:rsid w:val="006C6CEB"/>
    <w:rsid w:val="007142DB"/>
    <w:rsid w:val="00720D87"/>
    <w:rsid w:val="0072249E"/>
    <w:rsid w:val="00727F1C"/>
    <w:rsid w:val="00732647"/>
    <w:rsid w:val="00746472"/>
    <w:rsid w:val="0075745D"/>
    <w:rsid w:val="007F1D92"/>
    <w:rsid w:val="007F5FB9"/>
    <w:rsid w:val="008755F2"/>
    <w:rsid w:val="008E33DD"/>
    <w:rsid w:val="009255A6"/>
    <w:rsid w:val="00974E8C"/>
    <w:rsid w:val="00996B99"/>
    <w:rsid w:val="009C2564"/>
    <w:rsid w:val="00A03680"/>
    <w:rsid w:val="00A2193F"/>
    <w:rsid w:val="00A75BA9"/>
    <w:rsid w:val="00AB074C"/>
    <w:rsid w:val="00B02DB1"/>
    <w:rsid w:val="00B3681B"/>
    <w:rsid w:val="00B4403F"/>
    <w:rsid w:val="00B47199"/>
    <w:rsid w:val="00B519FF"/>
    <w:rsid w:val="00BF000E"/>
    <w:rsid w:val="00C95864"/>
    <w:rsid w:val="00D425DC"/>
    <w:rsid w:val="00D44331"/>
    <w:rsid w:val="00D65EC5"/>
    <w:rsid w:val="00D9218C"/>
    <w:rsid w:val="00DB2BCD"/>
    <w:rsid w:val="00DB788B"/>
    <w:rsid w:val="00E14844"/>
    <w:rsid w:val="00E50AEA"/>
    <w:rsid w:val="00E910F6"/>
    <w:rsid w:val="00EF6A56"/>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3A3BC-D3E1-480F-B32D-7E486D71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widowControl/>
      <w:numPr>
        <w:numId w:val="29"/>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31"/>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35"/>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37"/>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39"/>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41"/>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46502-7501-4B7D-B212-8524D633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Redmond</dc:creator>
  <cp:lastModifiedBy>Ken Sherry</cp:lastModifiedBy>
  <cp:revision>2</cp:revision>
  <dcterms:created xsi:type="dcterms:W3CDTF">2017-11-16T14:44:00Z</dcterms:created>
  <dcterms:modified xsi:type="dcterms:W3CDTF">2017-11-16T14:44:00Z</dcterms:modified>
</cp:coreProperties>
</file>