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60" w:rsidRPr="004F6A60" w:rsidRDefault="004F6A60" w:rsidP="004F6A60">
      <w:pPr>
        <w:pStyle w:val="BodyText"/>
        <w:spacing w:before="240"/>
        <w:jc w:val="center"/>
        <w:rPr>
          <w:b/>
        </w:rPr>
      </w:pPr>
      <w:bookmarkStart w:id="0" w:name="_GoBack"/>
      <w:bookmarkEnd w:id="0"/>
      <w:r w:rsidRPr="004F6A60">
        <w:rPr>
          <w:b/>
        </w:rPr>
        <w:t>Attachment 1</w:t>
      </w:r>
    </w:p>
    <w:p w:rsidR="00644714" w:rsidRDefault="00644714" w:rsidP="004F6A60">
      <w:pPr>
        <w:pStyle w:val="BodyText"/>
        <w:numPr>
          <w:ilvl w:val="0"/>
          <w:numId w:val="14"/>
        </w:numPr>
        <w:spacing w:before="240"/>
        <w:rPr>
          <w:b/>
        </w:rPr>
      </w:pPr>
      <w:r w:rsidRPr="00644714">
        <w:rPr>
          <w:b/>
        </w:rPr>
        <w:t>Summary of Proposed Action</w:t>
      </w:r>
    </w:p>
    <w:p w:rsidR="00644714" w:rsidRDefault="00644714" w:rsidP="003813EE">
      <w:pPr>
        <w:pStyle w:val="BodyText"/>
        <w:ind w:left="360"/>
      </w:pPr>
      <w:r w:rsidRPr="00644714">
        <w:t>On</w:t>
      </w:r>
      <w:r>
        <w:t xml:space="preserve"> January 6, 2016, the U.S. Environmental Protection Agency (EPA) published in the </w:t>
      </w:r>
      <w:r w:rsidRPr="00644714">
        <w:rPr>
          <w:i/>
        </w:rPr>
        <w:t>Federal Register</w:t>
      </w:r>
      <w:r>
        <w:rPr>
          <w:i/>
        </w:rPr>
        <w:t xml:space="preserve"> </w:t>
      </w:r>
      <w:r>
        <w:t>a proposed rule</w:t>
      </w:r>
      <w:r w:rsidR="00560DC3">
        <w:t>making</w:t>
      </w:r>
      <w:r>
        <w:t xml:space="preserve"> that would revise the small MS4 regulations to ensure that the permitting author</w:t>
      </w:r>
      <w:r w:rsidR="003813EE">
        <w:t>ity determines the adequacy of best management p</w:t>
      </w:r>
      <w:r>
        <w:t>ractices (BMPs)</w:t>
      </w:r>
      <w:r w:rsidR="00AF7F7B">
        <w:t xml:space="preserve"> and other requirements, and provides public notice and the opportunity to request a public hearing on the requirement for each MS4. The proposal would not establish any new substantive requirements for small MS4s. </w:t>
      </w:r>
    </w:p>
    <w:p w:rsidR="00AF7F7B" w:rsidRDefault="005C5C1E" w:rsidP="0026572A">
      <w:pPr>
        <w:pStyle w:val="BodyText"/>
        <w:spacing w:before="240"/>
        <w:ind w:left="360"/>
      </w:pPr>
      <w:r>
        <w:t>The proposed rule</w:t>
      </w:r>
      <w:r w:rsidR="00560DC3">
        <w:t>making</w:t>
      </w:r>
      <w:r>
        <w:t xml:space="preserve"> results from a decision by the Ninth Circuit U.S. Court of Appeals in </w:t>
      </w:r>
      <w:r w:rsidRPr="006C23A5">
        <w:rPr>
          <w:i/>
        </w:rPr>
        <w:t>Environmental Defense Center,</w:t>
      </w:r>
      <w:r w:rsidR="003813EE" w:rsidRPr="006C23A5">
        <w:rPr>
          <w:i/>
        </w:rPr>
        <w:t xml:space="preserve"> et al. v. EPA</w:t>
      </w:r>
      <w:r w:rsidR="003813EE">
        <w:t xml:space="preserve">, in 344 F.3d 832. </w:t>
      </w:r>
      <w:r w:rsidR="00AF7F7B">
        <w:t>The proposed rule</w:t>
      </w:r>
      <w:r w:rsidR="00C0514F">
        <w:t>making</w:t>
      </w:r>
      <w:r w:rsidR="00AF7F7B">
        <w:t xml:space="preserve"> discu</w:t>
      </w:r>
      <w:r>
        <w:t>sses three options for addressing the remand</w:t>
      </w:r>
      <w:r w:rsidR="009235BD">
        <w:t>, with the third option being a hybrid of the first two.</w:t>
      </w:r>
      <w:r w:rsidR="005F5776">
        <w:t xml:space="preserve"> </w:t>
      </w:r>
      <w:r w:rsidR="00C0514F">
        <w:rPr>
          <w:rFonts w:cs="Tahoma"/>
        </w:rPr>
        <w:t xml:space="preserve">The proposed rulemaking includes proposed rule language </w:t>
      </w:r>
      <w:r w:rsidR="00C0514F" w:rsidRPr="00C0514F">
        <w:rPr>
          <w:rFonts w:cs="Tahoma"/>
          <w:i/>
        </w:rPr>
        <w:t>only</w:t>
      </w:r>
      <w:r w:rsidR="00C0514F">
        <w:rPr>
          <w:rFonts w:cs="Tahoma"/>
        </w:rPr>
        <w:t xml:space="preserve"> for Option 1 (Traditional General Permit Approach); and describes in the preamble the concepts, </w:t>
      </w:r>
      <w:r w:rsidR="00C0514F" w:rsidRPr="006E397A">
        <w:rPr>
          <w:rFonts w:cs="Tahoma"/>
          <w:i/>
        </w:rPr>
        <w:t>without</w:t>
      </w:r>
      <w:r w:rsidR="00C0514F">
        <w:rPr>
          <w:rFonts w:cs="Tahoma"/>
        </w:rPr>
        <w:t xml:space="preserve"> proposed rule language, for Option 2 (Procedural Approach) and Option 3 (State Choice Approach).</w:t>
      </w:r>
    </w:p>
    <w:p w:rsidR="00644714" w:rsidRDefault="00AB33F8" w:rsidP="00CC4A58">
      <w:pPr>
        <w:pStyle w:val="BodyText"/>
        <w:numPr>
          <w:ilvl w:val="0"/>
          <w:numId w:val="14"/>
        </w:numPr>
        <w:spacing w:before="240"/>
        <w:rPr>
          <w:b/>
        </w:rPr>
      </w:pPr>
      <w:r w:rsidRPr="00AB33F8">
        <w:rPr>
          <w:b/>
        </w:rPr>
        <w:t>Comments</w:t>
      </w:r>
    </w:p>
    <w:p w:rsidR="00AB33F8" w:rsidRDefault="00AB33F8" w:rsidP="003813EE">
      <w:pPr>
        <w:pStyle w:val="BodyText"/>
        <w:ind w:left="360"/>
      </w:pPr>
      <w:r>
        <w:t>The TCEQ appreciates the opportunity to comment on the proposed rule</w:t>
      </w:r>
      <w:r w:rsidR="00C0514F">
        <w:t>making and concepts described in the preamble</w:t>
      </w:r>
      <w:r>
        <w:t xml:space="preserve"> and offers the following comments.</w:t>
      </w:r>
    </w:p>
    <w:p w:rsidR="004159DB" w:rsidRDefault="004159DB" w:rsidP="00FC1D02">
      <w:pPr>
        <w:pStyle w:val="BodyText"/>
        <w:numPr>
          <w:ilvl w:val="0"/>
          <w:numId w:val="16"/>
        </w:numPr>
        <w:spacing w:before="240"/>
        <w:rPr>
          <w:b/>
        </w:rPr>
      </w:pPr>
      <w:r w:rsidRPr="004159DB">
        <w:rPr>
          <w:b/>
        </w:rPr>
        <w:t xml:space="preserve">Option for modifying the general permit under the minor modification procedures in 40 CFR </w:t>
      </w:r>
      <w:r w:rsidR="00FC1D02" w:rsidRPr="00FC1D02">
        <w:rPr>
          <w:b/>
        </w:rPr>
        <w:t>§</w:t>
      </w:r>
      <w:r w:rsidRPr="004159DB">
        <w:rPr>
          <w:b/>
        </w:rPr>
        <w:t>122.63 for “nonsubstantial revisions” to BMPs</w:t>
      </w:r>
      <w:r w:rsidR="00686FCE">
        <w:rPr>
          <w:b/>
        </w:rPr>
        <w:t xml:space="preserve"> and what criteria should apply for distinguishing between when a change to BMPs are </w:t>
      </w:r>
      <w:r w:rsidR="0021053E">
        <w:rPr>
          <w:b/>
        </w:rPr>
        <w:t>“</w:t>
      </w:r>
      <w:r w:rsidR="00686FCE">
        <w:rPr>
          <w:b/>
        </w:rPr>
        <w:t>substantial</w:t>
      </w:r>
      <w:r w:rsidR="0021053E">
        <w:rPr>
          <w:b/>
        </w:rPr>
        <w:t>”</w:t>
      </w:r>
      <w:r w:rsidR="00686FCE">
        <w:rPr>
          <w:b/>
        </w:rPr>
        <w:t xml:space="preserve"> and require full public participation process or </w:t>
      </w:r>
      <w:r w:rsidR="0021053E">
        <w:rPr>
          <w:b/>
        </w:rPr>
        <w:t xml:space="preserve">when a change is </w:t>
      </w:r>
      <w:r w:rsidR="00686FCE">
        <w:rPr>
          <w:b/>
        </w:rPr>
        <w:t>not substantial.</w:t>
      </w:r>
    </w:p>
    <w:p w:rsidR="0017086C" w:rsidRDefault="007A4B1D" w:rsidP="004159DB">
      <w:pPr>
        <w:pStyle w:val="BodyText"/>
        <w:ind w:left="360"/>
      </w:pPr>
      <w:r>
        <w:t>T</w:t>
      </w:r>
      <w:r w:rsidR="0021053E">
        <w:t>he T</w:t>
      </w:r>
      <w:r>
        <w:t xml:space="preserve">CEQ </w:t>
      </w:r>
      <w:r w:rsidR="00F152DA">
        <w:t xml:space="preserve">does not support that the regulations define what constitutes a nonsubstantial versus a substantial </w:t>
      </w:r>
      <w:r w:rsidR="007009BD">
        <w:t>change</w:t>
      </w:r>
      <w:r w:rsidR="00F152DA">
        <w:t xml:space="preserve"> to an MS4’s </w:t>
      </w:r>
      <w:r w:rsidR="004D6ED9">
        <w:t>Notices of Intent (</w:t>
      </w:r>
      <w:r w:rsidR="00F152DA">
        <w:t>NOI</w:t>
      </w:r>
      <w:r w:rsidR="004D6ED9">
        <w:t>)</w:t>
      </w:r>
      <w:r w:rsidR="00F152DA">
        <w:t xml:space="preserve"> and </w:t>
      </w:r>
      <w:r w:rsidR="004D6ED9">
        <w:t>Stormwater Management Program (</w:t>
      </w:r>
      <w:r w:rsidR="00F152DA">
        <w:t>SWMP</w:t>
      </w:r>
      <w:r w:rsidR="004D6ED9">
        <w:t>)</w:t>
      </w:r>
      <w:r w:rsidR="00F152DA">
        <w:t xml:space="preserve">; this should be left to the permitting authority to include in its general permit. </w:t>
      </w:r>
      <w:r w:rsidR="00783B37">
        <w:t xml:space="preserve">The permitting authority should have the flexibility to establish in its small MS4 general permit a process for MS4s making changes to the SWMPs without triggering the permit modification procedures in 40 CFR Part 122. </w:t>
      </w:r>
    </w:p>
    <w:p w:rsidR="00884173" w:rsidRDefault="00F152DA" w:rsidP="0017086C">
      <w:pPr>
        <w:pStyle w:val="BodyText"/>
        <w:spacing w:before="240"/>
        <w:ind w:left="360"/>
      </w:pPr>
      <w:r>
        <w:t xml:space="preserve">The TCEQ currently </w:t>
      </w:r>
      <w:r w:rsidR="00884173">
        <w:t xml:space="preserve">reviews and </w:t>
      </w:r>
      <w:r w:rsidR="007A4B1D">
        <w:t xml:space="preserve">approves </w:t>
      </w:r>
      <w:r w:rsidR="0021053E">
        <w:t xml:space="preserve">the </w:t>
      </w:r>
      <w:r w:rsidR="007A4B1D">
        <w:t xml:space="preserve">NOIs and SWMPs </w:t>
      </w:r>
      <w:r w:rsidR="00884173">
        <w:t>submitted by the MS4</w:t>
      </w:r>
      <w:r w:rsidR="00783B37">
        <w:t>s</w:t>
      </w:r>
      <w:r w:rsidR="007A4B1D">
        <w:t xml:space="preserve">. </w:t>
      </w:r>
      <w:r w:rsidR="00BC19CE">
        <w:t xml:space="preserve">The SWMPs are considered the MS4s’ permits and are enforceable documents. </w:t>
      </w:r>
      <w:r w:rsidR="00623BA6">
        <w:t xml:space="preserve">Once </w:t>
      </w:r>
      <w:r w:rsidR="0021053E">
        <w:t>these are technically complete, t</w:t>
      </w:r>
      <w:r w:rsidR="00623BA6">
        <w:t>he MS4</w:t>
      </w:r>
      <w:r w:rsidR="008E02E9">
        <w:t xml:space="preserve"> provides public notice on the NOI and the SWMP</w:t>
      </w:r>
      <w:r w:rsidR="008E46B2">
        <w:t xml:space="preserve"> and an </w:t>
      </w:r>
      <w:r w:rsidR="00623BA6">
        <w:t>opportunity for a public meeting</w:t>
      </w:r>
      <w:r w:rsidR="005A14C3">
        <w:t xml:space="preserve">. </w:t>
      </w:r>
      <w:r w:rsidR="0021053E">
        <w:t>After approval, t</w:t>
      </w:r>
      <w:r w:rsidR="00884173">
        <w:t xml:space="preserve">he SWMPs </w:t>
      </w:r>
      <w:r w:rsidR="0021053E">
        <w:t xml:space="preserve">may need to be revised by the </w:t>
      </w:r>
      <w:r w:rsidR="00884173">
        <w:t>MS4 to make changes to BMPs</w:t>
      </w:r>
      <w:r w:rsidR="0021053E">
        <w:t>, etc.</w:t>
      </w:r>
      <w:r w:rsidR="00884173">
        <w:t xml:space="preserve">, </w:t>
      </w:r>
      <w:r w:rsidR="0021053E">
        <w:t xml:space="preserve">and </w:t>
      </w:r>
      <w:r w:rsidR="00884173">
        <w:t xml:space="preserve">the </w:t>
      </w:r>
      <w:r w:rsidR="0021053E">
        <w:lastRenderedPageBreak/>
        <w:t xml:space="preserve">approval </w:t>
      </w:r>
      <w:r w:rsidR="00961793">
        <w:t>of</w:t>
      </w:r>
      <w:r w:rsidR="0021053E">
        <w:t xml:space="preserve"> the </w:t>
      </w:r>
      <w:r w:rsidR="00884173">
        <w:t xml:space="preserve">changes are requested </w:t>
      </w:r>
      <w:r w:rsidR="0021053E">
        <w:t>to TCEQ via</w:t>
      </w:r>
      <w:r w:rsidR="00884173">
        <w:t xml:space="preserve"> a Notice of Change </w:t>
      </w:r>
      <w:r w:rsidR="0021053E">
        <w:t xml:space="preserve">(NOC) </w:t>
      </w:r>
      <w:r w:rsidR="00884173">
        <w:t>form. T</w:t>
      </w:r>
      <w:r w:rsidR="0021053E">
        <w:t>he T</w:t>
      </w:r>
      <w:r w:rsidR="00884173">
        <w:t>CEQ reviews the request</w:t>
      </w:r>
      <w:r w:rsidR="0021053E">
        <w:t>s</w:t>
      </w:r>
      <w:r w:rsidR="00884173">
        <w:t xml:space="preserve"> for changes and </w:t>
      </w:r>
      <w:r w:rsidR="0021053E">
        <w:t>determines</w:t>
      </w:r>
      <w:r w:rsidR="00884173">
        <w:t xml:space="preserve"> whether they can be approved or </w:t>
      </w:r>
      <w:r w:rsidR="0021053E">
        <w:t>denied</w:t>
      </w:r>
      <w:r w:rsidR="00884173">
        <w:t>.</w:t>
      </w:r>
      <w:r w:rsidR="00686FCE">
        <w:t xml:space="preserve"> Some changes</w:t>
      </w:r>
      <w:r w:rsidR="0021053E">
        <w:t>, as outlined in the Small MS4 General Permit,</w:t>
      </w:r>
      <w:r w:rsidR="00686FCE">
        <w:t xml:space="preserve"> </w:t>
      </w:r>
      <w:r w:rsidR="0021053E">
        <w:t>do not require the MS4 to submit an NOC form for TCEQ’s approval</w:t>
      </w:r>
      <w:r w:rsidR="004D6ED9">
        <w:t xml:space="preserve"> (</w:t>
      </w:r>
      <w:r w:rsidR="0021053E">
        <w:t>ex</w:t>
      </w:r>
      <w:r w:rsidR="004D6ED9">
        <w:t>.</w:t>
      </w:r>
      <w:r w:rsidR="0021053E">
        <w:t xml:space="preserve"> </w:t>
      </w:r>
      <w:r w:rsidR="00686FCE">
        <w:t>adding or replacing BMPs with similar alternate BMPs</w:t>
      </w:r>
      <w:r w:rsidR="004D6ED9">
        <w:t>)</w:t>
      </w:r>
      <w:r w:rsidR="00686FCE">
        <w:t xml:space="preserve">. </w:t>
      </w:r>
      <w:r w:rsidR="005F30BD">
        <w:t xml:space="preserve">The TCEQ nor the MS4s have experienced a problem following this process during the last ten years. If an MS4 makes changes that require an NOC form to be submitted to the TCEQ and fails to submit the NOC, the MS4 </w:t>
      </w:r>
      <w:r w:rsidR="00605EC2">
        <w:t xml:space="preserve">becomes </w:t>
      </w:r>
      <w:r w:rsidR="00FC685C">
        <w:t>non</w:t>
      </w:r>
      <w:r w:rsidR="005F30BD">
        <w:t>complian</w:t>
      </w:r>
      <w:r w:rsidR="00605EC2">
        <w:t>t</w:t>
      </w:r>
      <w:r w:rsidR="005F30BD">
        <w:t>.</w:t>
      </w:r>
      <w:r w:rsidR="006C23A5">
        <w:t xml:space="preserve"> </w:t>
      </w:r>
      <w:r w:rsidR="00FC685C">
        <w:t xml:space="preserve">It should also be noted that </w:t>
      </w:r>
      <w:r w:rsidR="00104C29">
        <w:t>in the almost ten years that TCEQ has implemented the MS4 program, TCEQ has not received any public comments on the NOIs or SWMPs.  Therefore, requiring public notice for changes to the NOIs or SMWPs is not the best way to use resources that can be best utilize</w:t>
      </w:r>
      <w:r w:rsidR="006C23A5">
        <w:t>d</w:t>
      </w:r>
      <w:r w:rsidR="00104C29">
        <w:t xml:space="preserve"> elsewhere in the implementation of the MS4 program at the MS4 and state levels.</w:t>
      </w:r>
      <w:r w:rsidR="005F30BD">
        <w:t xml:space="preserve"> </w:t>
      </w:r>
    </w:p>
    <w:p w:rsidR="004159DB" w:rsidRDefault="00EB7205" w:rsidP="00CC4A58">
      <w:pPr>
        <w:pStyle w:val="BodyText"/>
        <w:numPr>
          <w:ilvl w:val="0"/>
          <w:numId w:val="16"/>
        </w:numPr>
        <w:spacing w:before="240"/>
        <w:rPr>
          <w:b/>
        </w:rPr>
      </w:pPr>
      <w:r w:rsidRPr="005A14C3">
        <w:rPr>
          <w:b/>
        </w:rPr>
        <w:t>Should EPA</w:t>
      </w:r>
      <w:r w:rsidR="00605EC2">
        <w:rPr>
          <w:b/>
        </w:rPr>
        <w:t>’</w:t>
      </w:r>
      <w:r w:rsidRPr="005A14C3">
        <w:rPr>
          <w:b/>
        </w:rPr>
        <w:t xml:space="preserve">s Option 2 the “Procedural Approach” enable permitting authorities </w:t>
      </w:r>
      <w:r w:rsidR="005A14C3" w:rsidRPr="005A14C3">
        <w:rPr>
          <w:b/>
        </w:rPr>
        <w:t xml:space="preserve">relying on the MS4 to public </w:t>
      </w:r>
      <w:r w:rsidR="00716F94">
        <w:rPr>
          <w:b/>
        </w:rPr>
        <w:t xml:space="preserve">notice </w:t>
      </w:r>
      <w:r w:rsidR="005A14C3" w:rsidRPr="005A14C3">
        <w:rPr>
          <w:b/>
        </w:rPr>
        <w:t>its</w:t>
      </w:r>
      <w:r w:rsidRPr="005A14C3">
        <w:rPr>
          <w:b/>
        </w:rPr>
        <w:t xml:space="preserve"> NOI </w:t>
      </w:r>
      <w:r w:rsidR="00716F94">
        <w:rPr>
          <w:b/>
        </w:rPr>
        <w:t xml:space="preserve">to </w:t>
      </w:r>
      <w:r w:rsidR="005A14C3" w:rsidRPr="005A14C3">
        <w:rPr>
          <w:b/>
        </w:rPr>
        <w:t xml:space="preserve">be able to use this approach to satisfy the public notice requirement </w:t>
      </w:r>
      <w:r w:rsidR="00184F62">
        <w:rPr>
          <w:b/>
        </w:rPr>
        <w:t>for the individual NOI?</w:t>
      </w:r>
    </w:p>
    <w:p w:rsidR="005A14C3" w:rsidRDefault="003B776B" w:rsidP="005A14C3">
      <w:pPr>
        <w:pStyle w:val="BodyText"/>
        <w:ind w:left="360"/>
      </w:pPr>
      <w:r>
        <w:t xml:space="preserve">Yes. </w:t>
      </w:r>
      <w:r w:rsidR="00716F94">
        <w:t xml:space="preserve">The TCEQ </w:t>
      </w:r>
      <w:r w:rsidR="00FC1E3C">
        <w:t>strongly advocates</w:t>
      </w:r>
      <w:r w:rsidR="00716F94">
        <w:t xml:space="preserve"> that the final rule for the Option 2 </w:t>
      </w:r>
      <w:r w:rsidR="00514C35">
        <w:t>“Procedural A</w:t>
      </w:r>
      <w:r w:rsidR="00716F94">
        <w:t>pproach</w:t>
      </w:r>
      <w:r w:rsidR="00514C35">
        <w:t>”</w:t>
      </w:r>
      <w:r w:rsidR="00716F94">
        <w:t xml:space="preserve"> allow the flexibility for the permitting authorities to decide if the MS4 should publish its own public notice instead of the permitting authority.</w:t>
      </w:r>
      <w:r>
        <w:t xml:space="preserve"> </w:t>
      </w:r>
      <w:r w:rsidR="00A32B9B">
        <w:t xml:space="preserve">As the permitting authority, Texas has established in the general permit itself a process for making changes to the SWMP and identifies what changes could be made and under what circumstances. </w:t>
      </w:r>
      <w:r w:rsidR="00716F94">
        <w:t>In Texas, a</w:t>
      </w:r>
      <w:r w:rsidR="00B22A30">
        <w:t xml:space="preserve">fter the NOI and SWMP </w:t>
      </w:r>
      <w:r w:rsidR="00716F94">
        <w:t>are technically complete</w:t>
      </w:r>
      <w:r w:rsidR="00B22A30">
        <w:t xml:space="preserve">, TCEQ relies on the MS4s to publish </w:t>
      </w:r>
      <w:r w:rsidR="00716F94">
        <w:t xml:space="preserve">its public </w:t>
      </w:r>
      <w:r w:rsidR="00B22A30">
        <w:t>notice</w:t>
      </w:r>
      <w:r w:rsidR="00E04F97">
        <w:t xml:space="preserve"> in a newspaper of general circulation in the area where the MS4 is located</w:t>
      </w:r>
      <w:r w:rsidR="00B22A30">
        <w:t>. If an MS4 does not compl</w:t>
      </w:r>
      <w:r w:rsidR="00716F94">
        <w:t>y with the notice requirement, T</w:t>
      </w:r>
      <w:r w:rsidR="00B22A30">
        <w:t xml:space="preserve">CEQ will not issue the authorization thus ensuring that no authorizations </w:t>
      </w:r>
      <w:r w:rsidR="00092D08">
        <w:t>are issued unless the public has been</w:t>
      </w:r>
      <w:r w:rsidR="00B22A30">
        <w:t xml:space="preserve"> notified</w:t>
      </w:r>
      <w:r w:rsidR="00B67084">
        <w:t xml:space="preserve"> and given the opportunity to provide comments or request a public meeting</w:t>
      </w:r>
      <w:r w:rsidR="00B22A30">
        <w:t xml:space="preserve">. </w:t>
      </w:r>
      <w:r w:rsidR="00716F94">
        <w:t>The TCEQ has not had any issues relying on the MS4s for the public notice.</w:t>
      </w:r>
      <w:r w:rsidR="00B67084">
        <w:t xml:space="preserve"> If comments are received, TCEQ work</w:t>
      </w:r>
      <w:r w:rsidR="000462F1">
        <w:t>s</w:t>
      </w:r>
      <w:r w:rsidR="00B67084">
        <w:t xml:space="preserve"> with the MS4 to respond to the comments and if needed</w:t>
      </w:r>
      <w:r w:rsidR="00F86AB1">
        <w:t>,</w:t>
      </w:r>
      <w:r w:rsidR="00B67084">
        <w:t xml:space="preserve"> require the NOI and/or SMWP to be revised.</w:t>
      </w:r>
    </w:p>
    <w:p w:rsidR="001F1553" w:rsidRDefault="00A32B9B" w:rsidP="0026572A">
      <w:pPr>
        <w:pStyle w:val="BodyText"/>
        <w:spacing w:before="240"/>
        <w:ind w:left="360"/>
      </w:pPr>
      <w:r>
        <w:t>Texas’</w:t>
      </w:r>
      <w:r w:rsidR="00F86AB1">
        <w:t xml:space="preserve"> approach satisfies</w:t>
      </w:r>
      <w:r w:rsidR="00B22A30">
        <w:t xml:space="preserve"> th</w:t>
      </w:r>
      <w:r w:rsidR="00A739B0">
        <w:t>e public notice re</w:t>
      </w:r>
      <w:r w:rsidR="00F86AB1">
        <w:t>quirement. I</w:t>
      </w:r>
      <w:r w:rsidR="00E04F97">
        <w:t>t is worth noting t</w:t>
      </w:r>
      <w:r w:rsidR="00716F94">
        <w:t xml:space="preserve">hat during the almost </w:t>
      </w:r>
      <w:r w:rsidR="00FD2263">
        <w:t>ten</w:t>
      </w:r>
      <w:r w:rsidR="00716F94">
        <w:t xml:space="preserve"> years that T</w:t>
      </w:r>
      <w:r w:rsidR="00E04F97">
        <w:t xml:space="preserve">CEQ has followed this approach, </w:t>
      </w:r>
      <w:r w:rsidR="00716F94">
        <w:t xml:space="preserve">the </w:t>
      </w:r>
      <w:r w:rsidR="00E04F97">
        <w:t xml:space="preserve">TCEQ has </w:t>
      </w:r>
      <w:r w:rsidR="00716F94">
        <w:t xml:space="preserve">not </w:t>
      </w:r>
      <w:r w:rsidR="00E04F97">
        <w:t>received any public comments</w:t>
      </w:r>
      <w:r w:rsidR="00092D08">
        <w:t xml:space="preserve"> on the NOIs </w:t>
      </w:r>
      <w:r w:rsidR="00716F94">
        <w:t xml:space="preserve">or </w:t>
      </w:r>
      <w:r w:rsidR="00092D08">
        <w:t>SWMPs</w:t>
      </w:r>
      <w:r w:rsidR="00E04F97">
        <w:t xml:space="preserve">, suggesting that alternate methods of publishing </w:t>
      </w:r>
      <w:r w:rsidR="00FD2263">
        <w:t xml:space="preserve">the public </w:t>
      </w:r>
      <w:r w:rsidR="00E04F97">
        <w:t xml:space="preserve">notice could be considered such as using </w:t>
      </w:r>
      <w:r w:rsidR="00AC451F">
        <w:t xml:space="preserve">a web-based public notice in </w:t>
      </w:r>
      <w:r w:rsidR="00E04F97">
        <w:t>the MS4’s and</w:t>
      </w:r>
      <w:r w:rsidR="00FC0D4F">
        <w:t>/or</w:t>
      </w:r>
      <w:r w:rsidR="00E04F97">
        <w:t xml:space="preserve"> the </w:t>
      </w:r>
      <w:r w:rsidR="00FD2263">
        <w:t>permitting authority’</w:t>
      </w:r>
      <w:r w:rsidR="00E04F97">
        <w:t>s website</w:t>
      </w:r>
      <w:r w:rsidR="00092D08">
        <w:t>(s)</w:t>
      </w:r>
      <w:r w:rsidR="00FD2263">
        <w:t xml:space="preserve"> to fulfill this requirement</w:t>
      </w:r>
      <w:r w:rsidR="00E04F97">
        <w:t>.</w:t>
      </w:r>
      <w:r w:rsidR="00AC451F">
        <w:t xml:space="preserve"> This alternate web-based public notice method would save the MS4s and/or permitting authorities money while still reaching a wide or even </w:t>
      </w:r>
      <w:r w:rsidR="003B776B">
        <w:t xml:space="preserve">broader </w:t>
      </w:r>
      <w:r w:rsidR="00AC451F">
        <w:t>audience.</w:t>
      </w:r>
    </w:p>
    <w:p w:rsidR="0017086C" w:rsidRDefault="0017086C">
      <w:pPr>
        <w:tabs>
          <w:tab w:val="clear" w:pos="720"/>
        </w:tabs>
        <w:rPr>
          <w:b/>
        </w:rPr>
      </w:pPr>
    </w:p>
    <w:p w:rsidR="001F1553" w:rsidRDefault="001F1553" w:rsidP="00CC4A58">
      <w:pPr>
        <w:pStyle w:val="BodyText"/>
        <w:numPr>
          <w:ilvl w:val="0"/>
          <w:numId w:val="16"/>
        </w:numPr>
        <w:spacing w:before="240"/>
        <w:rPr>
          <w:b/>
        </w:rPr>
      </w:pPr>
      <w:r w:rsidRPr="001F1553">
        <w:rPr>
          <w:b/>
        </w:rPr>
        <w:lastRenderedPageBreak/>
        <w:t xml:space="preserve">Should EPA adopt </w:t>
      </w:r>
      <w:r w:rsidR="00184F62">
        <w:rPr>
          <w:b/>
        </w:rPr>
        <w:t xml:space="preserve">as </w:t>
      </w:r>
      <w:r w:rsidRPr="001F1553">
        <w:rPr>
          <w:b/>
        </w:rPr>
        <w:t xml:space="preserve">its final rule </w:t>
      </w:r>
      <w:r w:rsidR="00B44837">
        <w:rPr>
          <w:b/>
        </w:rPr>
        <w:t>Option 2 “Procedural A</w:t>
      </w:r>
      <w:r w:rsidRPr="001F1553">
        <w:rPr>
          <w:b/>
        </w:rPr>
        <w:t>pproach</w:t>
      </w:r>
      <w:r w:rsidR="00B44837">
        <w:rPr>
          <w:b/>
        </w:rPr>
        <w:t>”</w:t>
      </w:r>
      <w:r w:rsidR="00184F62">
        <w:rPr>
          <w:b/>
        </w:rPr>
        <w:t>?</w:t>
      </w:r>
      <w:r w:rsidR="00BC19CE">
        <w:rPr>
          <w:b/>
        </w:rPr>
        <w:t xml:space="preserve"> </w:t>
      </w:r>
    </w:p>
    <w:p w:rsidR="0083659A" w:rsidRDefault="001C5C0E" w:rsidP="00184F62">
      <w:pPr>
        <w:pStyle w:val="BodyText"/>
        <w:ind w:left="360"/>
      </w:pPr>
      <w:r>
        <w:t xml:space="preserve">Yes. </w:t>
      </w:r>
      <w:r w:rsidR="00D10BFC" w:rsidRPr="00D10BFC">
        <w:t>The TCEQ</w:t>
      </w:r>
      <w:r w:rsidR="00410206">
        <w:t xml:space="preserve"> strongly</w:t>
      </w:r>
      <w:r w:rsidR="00D10BFC" w:rsidRPr="00D10BFC">
        <w:t xml:space="preserve"> </w:t>
      </w:r>
      <w:r w:rsidR="00FC1E3C">
        <w:t>requests</w:t>
      </w:r>
      <w:r w:rsidR="00FC1E3C" w:rsidRPr="00D10BFC">
        <w:t xml:space="preserve"> </w:t>
      </w:r>
      <w:r w:rsidR="00D10BFC" w:rsidRPr="00D10BFC">
        <w:t xml:space="preserve">that the final rule include the Option 2 “Procedural Approach”. </w:t>
      </w:r>
      <w:r w:rsidR="00596D75">
        <w:t xml:space="preserve">Although EPA did not provide actual </w:t>
      </w:r>
      <w:r w:rsidR="0083659A">
        <w:t xml:space="preserve">line-by-line </w:t>
      </w:r>
      <w:r w:rsidR="00596D75">
        <w:t xml:space="preserve">regulatory text, the concept for how Option 2 would work was described to some detail in the preamble. The TCEQ </w:t>
      </w:r>
      <w:r w:rsidR="00455B4F">
        <w:t xml:space="preserve">strongly </w:t>
      </w:r>
      <w:r w:rsidR="00596D75">
        <w:t xml:space="preserve">urges EPA to provide the actual rule language </w:t>
      </w:r>
      <w:r w:rsidR="00455B4F">
        <w:t xml:space="preserve">for Option 2 </w:t>
      </w:r>
      <w:r w:rsidR="00596D75">
        <w:t>in a supplemental notice</w:t>
      </w:r>
      <w:r w:rsidR="0083659A">
        <w:t xml:space="preserve"> to give the states the opportunity to review and comment</w:t>
      </w:r>
      <w:r w:rsidR="00596D75">
        <w:t xml:space="preserve">. </w:t>
      </w:r>
    </w:p>
    <w:p w:rsidR="00184F62" w:rsidRDefault="00184F62" w:rsidP="0083659A">
      <w:pPr>
        <w:pStyle w:val="BodyText"/>
        <w:spacing w:before="240"/>
        <w:ind w:left="360"/>
      </w:pPr>
      <w:r>
        <w:t xml:space="preserve">As described </w:t>
      </w:r>
      <w:r w:rsidR="008606E9">
        <w:t xml:space="preserve">in the two comments </w:t>
      </w:r>
      <w:r>
        <w:t xml:space="preserve">above, TCEQ developed and </w:t>
      </w:r>
      <w:r w:rsidR="00470615">
        <w:t>is implementing</w:t>
      </w:r>
      <w:r>
        <w:t xml:space="preserve"> </w:t>
      </w:r>
      <w:r w:rsidR="00410163">
        <w:t xml:space="preserve">a process similar to </w:t>
      </w:r>
      <w:r>
        <w:t xml:space="preserve">the “Procedural Approach” </w:t>
      </w:r>
      <w:r w:rsidR="00410163">
        <w:t xml:space="preserve">described in the preamble </w:t>
      </w:r>
      <w:r>
        <w:t>and prefer</w:t>
      </w:r>
      <w:r w:rsidR="00FC0D4F">
        <w:t>s</w:t>
      </w:r>
      <w:r>
        <w:t xml:space="preserve"> to keep using that method. </w:t>
      </w:r>
      <w:r w:rsidR="00514C35">
        <w:t xml:space="preserve">The approach works well in Texas. </w:t>
      </w:r>
      <w:r>
        <w:t>T</w:t>
      </w:r>
      <w:r w:rsidR="00514C35">
        <w:t>he T</w:t>
      </w:r>
      <w:r>
        <w:t>CEQ understands that only a handful of states use that app</w:t>
      </w:r>
      <w:r w:rsidR="00E04F97">
        <w:t>roach and that other states use</w:t>
      </w:r>
      <w:r>
        <w:t xml:space="preserve"> other approaches. </w:t>
      </w:r>
    </w:p>
    <w:p w:rsidR="00D550D8" w:rsidRDefault="00D550D8" w:rsidP="0026572A">
      <w:pPr>
        <w:pStyle w:val="BodyText"/>
        <w:spacing w:before="240"/>
        <w:ind w:left="360"/>
      </w:pPr>
      <w:r>
        <w:t xml:space="preserve">Multiple MS4s </w:t>
      </w:r>
      <w:r w:rsidR="006C23A5">
        <w:t xml:space="preserve">in Texas </w:t>
      </w:r>
      <w:r>
        <w:t>have parti</w:t>
      </w:r>
      <w:r w:rsidR="008E43A0">
        <w:t xml:space="preserve">cipated in </w:t>
      </w:r>
      <w:r w:rsidR="006C23A5">
        <w:t xml:space="preserve">the </w:t>
      </w:r>
      <w:r w:rsidR="008E43A0">
        <w:t xml:space="preserve">permit development </w:t>
      </w:r>
      <w:r w:rsidR="006C23A5">
        <w:t xml:space="preserve">process </w:t>
      </w:r>
      <w:r w:rsidR="00B33C4C">
        <w:t>in 2007 and 2013, when</w:t>
      </w:r>
      <w:r w:rsidR="00514C35">
        <w:t xml:space="preserve"> the Small MS4 General P</w:t>
      </w:r>
      <w:r w:rsidR="008E43A0">
        <w:t>ermit was issued. Stakeholders have expressed that they do not want the general permit to be</w:t>
      </w:r>
      <w:r w:rsidR="00410206">
        <w:t xml:space="preserve"> overly</w:t>
      </w:r>
      <w:r w:rsidR="008E43A0">
        <w:t xml:space="preserve"> </w:t>
      </w:r>
      <w:r w:rsidR="009E0177">
        <w:t>pr</w:t>
      </w:r>
      <w:r w:rsidR="008E43A0">
        <w:t xml:space="preserve">escriptive and prefer to develop their own </w:t>
      </w:r>
      <w:r w:rsidR="006C23A5">
        <w:t>BMPs</w:t>
      </w:r>
      <w:r w:rsidR="008E43A0">
        <w:t xml:space="preserve"> </w:t>
      </w:r>
      <w:r w:rsidR="006C23A5">
        <w:t xml:space="preserve">and measureable goals for the six minimum control measures </w:t>
      </w:r>
      <w:r w:rsidR="008E43A0">
        <w:t xml:space="preserve">due to the variation of </w:t>
      </w:r>
      <w:r w:rsidR="006C23A5">
        <w:t xml:space="preserve">each </w:t>
      </w:r>
      <w:r w:rsidR="008E43A0">
        <w:t>MS4</w:t>
      </w:r>
      <w:r w:rsidR="00B33C4C">
        <w:t>. The TCEQ</w:t>
      </w:r>
      <w:r w:rsidR="009E0177">
        <w:t>’</w:t>
      </w:r>
      <w:r w:rsidR="00B33C4C">
        <w:t xml:space="preserve">s MS4 general permit takes into account that larger MS4s have more resources than smaller MS4s by having a tiered </w:t>
      </w:r>
      <w:r w:rsidR="009E0177">
        <w:t xml:space="preserve">permitting </w:t>
      </w:r>
      <w:r w:rsidR="00092D08">
        <w:t>approach</w:t>
      </w:r>
      <w:r w:rsidR="00B33C4C">
        <w:t xml:space="preserve"> where larger MS4s have more permit requirements than small MS4s. </w:t>
      </w:r>
      <w:r w:rsidR="00092D08">
        <w:t>Stakeholders are very supportive</w:t>
      </w:r>
      <w:r w:rsidR="009E0177">
        <w:t xml:space="preserve"> of this approach.</w:t>
      </w:r>
    </w:p>
    <w:p w:rsidR="0064406A" w:rsidRDefault="00D247D4" w:rsidP="0026572A">
      <w:pPr>
        <w:pStyle w:val="BodyText"/>
        <w:spacing w:before="240"/>
        <w:ind w:left="360"/>
      </w:pPr>
      <w:r>
        <w:t xml:space="preserve">The TCEQ does not support </w:t>
      </w:r>
      <w:r w:rsidRPr="00D247D4">
        <w:t xml:space="preserve">Option 1 “Traditional </w:t>
      </w:r>
      <w:r w:rsidR="0017086C">
        <w:t xml:space="preserve">General Permit </w:t>
      </w:r>
      <w:r w:rsidRPr="00D247D4">
        <w:t xml:space="preserve">Approach” since it is a very prescriptive approach and does not offer </w:t>
      </w:r>
      <w:r w:rsidRPr="00D247D4">
        <w:rPr>
          <w:color w:val="000000"/>
        </w:rPr>
        <w:t xml:space="preserve">flexibility and does not take into consideration the uniqueness of each MS4’s needs and environmental concerns. </w:t>
      </w:r>
      <w:r w:rsidR="002C3245">
        <w:t xml:space="preserve">It is </w:t>
      </w:r>
      <w:r w:rsidR="0064406A" w:rsidRPr="00D247D4">
        <w:t>TCEQ</w:t>
      </w:r>
      <w:r w:rsidR="006C23A5" w:rsidRPr="00D247D4">
        <w:t>’</w:t>
      </w:r>
      <w:r w:rsidR="0064406A" w:rsidRPr="00D247D4">
        <w:t>s concern that if all requirements were</w:t>
      </w:r>
      <w:r w:rsidR="0064406A">
        <w:t xml:space="preserve"> included in a general permit </w:t>
      </w:r>
      <w:r w:rsidR="00685ED1">
        <w:t xml:space="preserve">and MS4s would obtain authorization by submitting a NOI – and not develop their own </w:t>
      </w:r>
      <w:r w:rsidR="006C23A5">
        <w:t>program</w:t>
      </w:r>
      <w:r w:rsidR="00685ED1">
        <w:t xml:space="preserve"> (</w:t>
      </w:r>
      <w:r w:rsidR="00C2546A">
        <w:t xml:space="preserve">the </w:t>
      </w:r>
      <w:r w:rsidR="00685ED1">
        <w:t xml:space="preserve">SWMP), there would be more compliance issues. </w:t>
      </w:r>
      <w:r w:rsidR="00A07BE6">
        <w:t xml:space="preserve">Many </w:t>
      </w:r>
      <w:r w:rsidR="00685ED1">
        <w:t xml:space="preserve">MS4s might </w:t>
      </w:r>
      <w:r w:rsidR="00E44401">
        <w:t>prepare the</w:t>
      </w:r>
      <w:r w:rsidR="00685ED1">
        <w:t xml:space="preserve"> NOIs without completely understanding </w:t>
      </w:r>
      <w:r w:rsidR="00A07BE6">
        <w:t xml:space="preserve">the </w:t>
      </w:r>
      <w:r w:rsidR="00E44401">
        <w:t xml:space="preserve">general </w:t>
      </w:r>
      <w:r w:rsidR="00685ED1">
        <w:t xml:space="preserve">permit requirements. Evaluating each SWMP allows TCEQ to </w:t>
      </w:r>
      <w:r w:rsidR="000D6BAC">
        <w:t>verify</w:t>
      </w:r>
      <w:r w:rsidR="00AF06A3">
        <w:t xml:space="preserve"> that the MS4 has addressed all</w:t>
      </w:r>
      <w:r w:rsidR="00371555">
        <w:t xml:space="preserve"> requirements </w:t>
      </w:r>
      <w:r w:rsidR="00AF06A3">
        <w:t>of the general permit</w:t>
      </w:r>
      <w:r w:rsidR="000D6BAC">
        <w:t xml:space="preserve"> </w:t>
      </w:r>
      <w:r w:rsidR="00371555">
        <w:t xml:space="preserve">and request information about BMPs, implementation schedules, measurable goals, </w:t>
      </w:r>
      <w:r w:rsidR="00C2546A">
        <w:t xml:space="preserve">and </w:t>
      </w:r>
      <w:r w:rsidR="00371555">
        <w:t xml:space="preserve">required elements while still allowing MS4s the flexibility they </w:t>
      </w:r>
      <w:r w:rsidR="00A07BE6">
        <w:t>need</w:t>
      </w:r>
      <w:r w:rsidR="00371555">
        <w:t xml:space="preserve"> due to </w:t>
      </w:r>
      <w:r w:rsidR="00A07BE6">
        <w:t>local site conditions and resources</w:t>
      </w:r>
      <w:r w:rsidR="00371555">
        <w:t>.</w:t>
      </w:r>
    </w:p>
    <w:p w:rsidR="00BC19CE" w:rsidRPr="00A432FA" w:rsidRDefault="00A432FA" w:rsidP="00CC4A58">
      <w:pPr>
        <w:pStyle w:val="BodyText"/>
        <w:numPr>
          <w:ilvl w:val="0"/>
          <w:numId w:val="16"/>
        </w:numPr>
        <w:spacing w:before="240"/>
        <w:rPr>
          <w:b/>
        </w:rPr>
      </w:pPr>
      <w:r w:rsidRPr="00A432FA">
        <w:rPr>
          <w:b/>
        </w:rPr>
        <w:t>Should EPA include a third</w:t>
      </w:r>
      <w:r w:rsidR="00D24877">
        <w:rPr>
          <w:b/>
        </w:rPr>
        <w:t xml:space="preserve"> option </w:t>
      </w:r>
      <w:r w:rsidR="005B1587">
        <w:rPr>
          <w:b/>
        </w:rPr>
        <w:t xml:space="preserve">(Option 3 – State Choice Approach) </w:t>
      </w:r>
      <w:r w:rsidR="00D24877">
        <w:rPr>
          <w:b/>
        </w:rPr>
        <w:t xml:space="preserve">where states can </w:t>
      </w:r>
      <w:r w:rsidR="00A8600F">
        <w:rPr>
          <w:b/>
        </w:rPr>
        <w:t>choose</w:t>
      </w:r>
      <w:r w:rsidR="00D24877">
        <w:rPr>
          <w:b/>
        </w:rPr>
        <w:t xml:space="preserve"> O</w:t>
      </w:r>
      <w:r w:rsidRPr="00A432FA">
        <w:rPr>
          <w:b/>
        </w:rPr>
        <w:t>ption 1 (Traditiona</w:t>
      </w:r>
      <w:r w:rsidR="005B1587">
        <w:rPr>
          <w:b/>
        </w:rPr>
        <w:t>l General Permit Approach</w:t>
      </w:r>
      <w:r w:rsidR="00D24877">
        <w:rPr>
          <w:b/>
        </w:rPr>
        <w:t>) or O</w:t>
      </w:r>
      <w:r w:rsidR="005B1587">
        <w:rPr>
          <w:b/>
        </w:rPr>
        <w:t>ption 2 (</w:t>
      </w:r>
      <w:r w:rsidRPr="00A432FA">
        <w:rPr>
          <w:b/>
        </w:rPr>
        <w:t>Procedural Approach)</w:t>
      </w:r>
      <w:r w:rsidR="00D24877">
        <w:rPr>
          <w:b/>
        </w:rPr>
        <w:t>? Whi</w:t>
      </w:r>
      <w:r w:rsidR="000938BD">
        <w:rPr>
          <w:b/>
        </w:rPr>
        <w:t xml:space="preserve">ch approach </w:t>
      </w:r>
      <w:r w:rsidR="00D24877">
        <w:rPr>
          <w:b/>
        </w:rPr>
        <w:t xml:space="preserve">is Texas </w:t>
      </w:r>
      <w:r w:rsidR="000938BD">
        <w:rPr>
          <w:b/>
        </w:rPr>
        <w:t xml:space="preserve">likely to </w:t>
      </w:r>
      <w:r w:rsidR="00D1376A">
        <w:rPr>
          <w:b/>
        </w:rPr>
        <w:t>choose?</w:t>
      </w:r>
    </w:p>
    <w:p w:rsidR="005A14C3" w:rsidRDefault="001C5C0E" w:rsidP="00A432FA">
      <w:pPr>
        <w:pStyle w:val="BodyText"/>
        <w:ind w:left="360"/>
      </w:pPr>
      <w:r>
        <w:t>Yes. T</w:t>
      </w:r>
      <w:r w:rsidR="00566601">
        <w:t>he TCEQ</w:t>
      </w:r>
      <w:r w:rsidR="00410206">
        <w:t xml:space="preserve"> highly</w:t>
      </w:r>
      <w:r w:rsidR="00566601">
        <w:t xml:space="preserve"> </w:t>
      </w:r>
      <w:r w:rsidR="00A432FA" w:rsidRPr="00A432FA">
        <w:t xml:space="preserve">recommends that </w:t>
      </w:r>
      <w:r w:rsidR="000938BD">
        <w:t>the final rule</w:t>
      </w:r>
      <w:r w:rsidR="00A432FA">
        <w:t xml:space="preserve"> </w:t>
      </w:r>
      <w:r w:rsidR="000938BD">
        <w:t>also</w:t>
      </w:r>
      <w:r w:rsidR="00566601">
        <w:t xml:space="preserve"> include O</w:t>
      </w:r>
      <w:r w:rsidR="00A432FA">
        <w:t xml:space="preserve">ption 3 to provide </w:t>
      </w:r>
      <w:r w:rsidR="008338B8">
        <w:t xml:space="preserve">the </w:t>
      </w:r>
      <w:r w:rsidR="00A432FA">
        <w:t xml:space="preserve">most flexibility to </w:t>
      </w:r>
      <w:r w:rsidR="00566601">
        <w:t>the permitting authorities</w:t>
      </w:r>
      <w:r w:rsidR="002755FB">
        <w:t xml:space="preserve"> since this option </w:t>
      </w:r>
      <w:r w:rsidR="002755FB" w:rsidRPr="002755FB">
        <w:t xml:space="preserve">would enable the permitting authority to choose between </w:t>
      </w:r>
      <w:r w:rsidR="002755FB">
        <w:t>Option 1 and Option 2</w:t>
      </w:r>
      <w:r w:rsidR="002755FB" w:rsidRPr="002755FB">
        <w:t xml:space="preserve">, or to implement a combination of these </w:t>
      </w:r>
      <w:r w:rsidR="002755FB">
        <w:t xml:space="preserve">two </w:t>
      </w:r>
      <w:r w:rsidR="002755FB" w:rsidRPr="002755FB">
        <w:t>approaches</w:t>
      </w:r>
      <w:r w:rsidR="00A432FA">
        <w:t xml:space="preserve">. </w:t>
      </w:r>
      <w:r w:rsidR="008606E9" w:rsidRPr="002D2B26">
        <w:t>The TCEQ intends to choose Option 3 if</w:t>
      </w:r>
      <w:r w:rsidR="008338B8" w:rsidRPr="002D2B26">
        <w:t xml:space="preserve"> available in the final rule </w:t>
      </w:r>
      <w:r w:rsidR="008338B8" w:rsidRPr="002D2B26">
        <w:rPr>
          <w:i/>
        </w:rPr>
        <w:t>only if</w:t>
      </w:r>
      <w:r w:rsidR="008338B8" w:rsidRPr="002D2B26">
        <w:t xml:space="preserve"> </w:t>
      </w:r>
      <w:r w:rsidR="002755FB" w:rsidRPr="002D2B26">
        <w:t xml:space="preserve">EPA </w:t>
      </w:r>
      <w:r w:rsidR="008338B8" w:rsidRPr="002D2B26">
        <w:t>does</w:t>
      </w:r>
      <w:r w:rsidR="008338B8">
        <w:t xml:space="preserve"> not create new </w:t>
      </w:r>
      <w:r w:rsidR="00FB54BE">
        <w:t xml:space="preserve">requirements, </w:t>
      </w:r>
      <w:r w:rsidR="008338B8">
        <w:t>burdens or conditions</w:t>
      </w:r>
      <w:r w:rsidR="00FB54BE">
        <w:t xml:space="preserve"> associated with the selection of Option 1 or Option 2</w:t>
      </w:r>
      <w:r w:rsidR="008338B8">
        <w:t xml:space="preserve">. </w:t>
      </w:r>
      <w:r w:rsidR="000938BD">
        <w:t xml:space="preserve"> </w:t>
      </w:r>
      <w:r w:rsidR="002D2B26">
        <w:t xml:space="preserve">The regulatory language for Option 3 should not limit the flexibility of </w:t>
      </w:r>
      <w:r w:rsidR="00FB54BE" w:rsidRPr="00FB54BE">
        <w:t>when and why a state may choose one option over th</w:t>
      </w:r>
      <w:r w:rsidR="002D2B26">
        <w:t>e other</w:t>
      </w:r>
      <w:r w:rsidR="00FB54BE" w:rsidRPr="00FB54BE">
        <w:t>.</w:t>
      </w:r>
      <w:r w:rsidR="002D2B26" w:rsidRPr="002D2B26">
        <w:t xml:space="preserve"> </w:t>
      </w:r>
      <w:r w:rsidR="002D2B26">
        <w:t xml:space="preserve">As noted </w:t>
      </w:r>
      <w:r w:rsidR="005E515B">
        <w:t xml:space="preserve">in comments above and </w:t>
      </w:r>
      <w:r w:rsidR="002D2B26">
        <w:t xml:space="preserve">in the </w:t>
      </w:r>
      <w:r w:rsidR="002D2B26" w:rsidRPr="00566601">
        <w:rPr>
          <w:i/>
        </w:rPr>
        <w:t>Federal Register</w:t>
      </w:r>
      <w:r w:rsidR="002D2B26">
        <w:t>, the TCEQ follows a similar approach as the proposed concept for Option 2 “Procedural Approach” described by EPA in the preamble.</w:t>
      </w:r>
      <w:r w:rsidR="005E515B">
        <w:t xml:space="preserve"> As such, if Option 3 is not an option available in the final rule, then TCEQ would choose Option 2.</w:t>
      </w:r>
      <w:r w:rsidR="002D2B26">
        <w:t xml:space="preserve">   </w:t>
      </w:r>
    </w:p>
    <w:p w:rsidR="009E0177" w:rsidRPr="00B73EC9" w:rsidRDefault="00311615" w:rsidP="00CC4A58">
      <w:pPr>
        <w:pStyle w:val="BodyText"/>
        <w:numPr>
          <w:ilvl w:val="0"/>
          <w:numId w:val="16"/>
        </w:numPr>
        <w:spacing w:before="240"/>
        <w:rPr>
          <w:b/>
        </w:rPr>
      </w:pPr>
      <w:r>
        <w:rPr>
          <w:b/>
        </w:rPr>
        <w:t>Where states have the permitting authority, should EPA have the opportunity to review the NOIs and SWMPs prior to approval?</w:t>
      </w:r>
      <w:r w:rsidR="00635480" w:rsidRPr="00B73EC9">
        <w:rPr>
          <w:b/>
        </w:rPr>
        <w:t xml:space="preserve"> </w:t>
      </w:r>
    </w:p>
    <w:p w:rsidR="00311615" w:rsidRDefault="001C5C0E" w:rsidP="008F641D">
      <w:pPr>
        <w:pStyle w:val="Style4"/>
        <w:ind w:left="360"/>
        <w:rPr>
          <w:rFonts w:ascii="Times New Roman" w:hAnsi="Times New Roman"/>
          <w:sz w:val="24"/>
          <w:szCs w:val="24"/>
        </w:rPr>
      </w:pPr>
      <w:r>
        <w:rPr>
          <w:sz w:val="24"/>
          <w:szCs w:val="24"/>
        </w:rPr>
        <w:t xml:space="preserve">No. </w:t>
      </w:r>
      <w:r w:rsidR="007331C2">
        <w:rPr>
          <w:sz w:val="24"/>
          <w:szCs w:val="24"/>
        </w:rPr>
        <w:t>The TC</w:t>
      </w:r>
      <w:r w:rsidR="00311615">
        <w:rPr>
          <w:sz w:val="24"/>
          <w:szCs w:val="24"/>
        </w:rPr>
        <w:t>E</w:t>
      </w:r>
      <w:r w:rsidR="007331C2">
        <w:rPr>
          <w:sz w:val="24"/>
          <w:szCs w:val="24"/>
        </w:rPr>
        <w:t>Q</w:t>
      </w:r>
      <w:r w:rsidR="001C2746">
        <w:rPr>
          <w:sz w:val="24"/>
          <w:szCs w:val="24"/>
        </w:rPr>
        <w:t xml:space="preserve"> does not support EPA having the opportunity to review the NOIs and SWMPs prior to approval. In Texas, u</w:t>
      </w:r>
      <w:r w:rsidR="00BE475C" w:rsidRPr="00DD529B">
        <w:rPr>
          <w:sz w:val="24"/>
          <w:szCs w:val="24"/>
        </w:rPr>
        <w:t xml:space="preserve">nder the </w:t>
      </w:r>
      <w:r w:rsidR="001C2746">
        <w:rPr>
          <w:sz w:val="24"/>
          <w:szCs w:val="24"/>
        </w:rPr>
        <w:t xml:space="preserve">Memorandum of Agreement (MOA) </w:t>
      </w:r>
      <w:r w:rsidR="00BE475C" w:rsidRPr="00DD529B">
        <w:rPr>
          <w:sz w:val="24"/>
          <w:szCs w:val="24"/>
        </w:rPr>
        <w:t>t</w:t>
      </w:r>
      <w:r w:rsidR="00410206" w:rsidRPr="00DD529B">
        <w:rPr>
          <w:sz w:val="24"/>
          <w:szCs w:val="24"/>
        </w:rPr>
        <w:t xml:space="preserve">he EPA reviews </w:t>
      </w:r>
      <w:r w:rsidR="001C2746">
        <w:rPr>
          <w:sz w:val="24"/>
          <w:szCs w:val="24"/>
        </w:rPr>
        <w:t xml:space="preserve">and approves the </w:t>
      </w:r>
      <w:r w:rsidR="00410206" w:rsidRPr="00DD529B">
        <w:rPr>
          <w:sz w:val="24"/>
          <w:szCs w:val="24"/>
        </w:rPr>
        <w:t xml:space="preserve">draft general permit in which </w:t>
      </w:r>
      <w:r w:rsidR="001C2746">
        <w:rPr>
          <w:sz w:val="24"/>
          <w:szCs w:val="24"/>
        </w:rPr>
        <w:t xml:space="preserve">the </w:t>
      </w:r>
      <w:r w:rsidR="00410206" w:rsidRPr="00DD529B">
        <w:rPr>
          <w:sz w:val="24"/>
          <w:szCs w:val="24"/>
        </w:rPr>
        <w:t>SWMP requirements are outlined</w:t>
      </w:r>
      <w:r w:rsidR="001C2746">
        <w:rPr>
          <w:sz w:val="24"/>
          <w:szCs w:val="24"/>
        </w:rPr>
        <w:t>. The TCEQ</w:t>
      </w:r>
      <w:r w:rsidR="00BE475C" w:rsidRPr="00DD529B">
        <w:rPr>
          <w:sz w:val="24"/>
          <w:szCs w:val="24"/>
        </w:rPr>
        <w:t xml:space="preserve"> review</w:t>
      </w:r>
      <w:r w:rsidR="001C2746">
        <w:rPr>
          <w:sz w:val="24"/>
          <w:szCs w:val="24"/>
        </w:rPr>
        <w:t>s</w:t>
      </w:r>
      <w:r w:rsidR="00BE475C" w:rsidRPr="00DD529B">
        <w:rPr>
          <w:sz w:val="24"/>
          <w:szCs w:val="24"/>
        </w:rPr>
        <w:t xml:space="preserve"> the SWMPs</w:t>
      </w:r>
      <w:r w:rsidR="001C2746">
        <w:rPr>
          <w:sz w:val="24"/>
          <w:szCs w:val="24"/>
        </w:rPr>
        <w:t>; there is n</w:t>
      </w:r>
      <w:r w:rsidR="00BE475C">
        <w:rPr>
          <w:sz w:val="24"/>
          <w:szCs w:val="24"/>
        </w:rPr>
        <w:t xml:space="preserve">o reason </w:t>
      </w:r>
      <w:r w:rsidR="001C2746">
        <w:rPr>
          <w:sz w:val="24"/>
          <w:szCs w:val="24"/>
        </w:rPr>
        <w:t xml:space="preserve">for </w:t>
      </w:r>
      <w:r w:rsidR="00BE475C">
        <w:rPr>
          <w:sz w:val="24"/>
          <w:szCs w:val="24"/>
        </w:rPr>
        <w:t xml:space="preserve">both agencies </w:t>
      </w:r>
      <w:r w:rsidR="001C2746">
        <w:rPr>
          <w:sz w:val="24"/>
          <w:szCs w:val="24"/>
        </w:rPr>
        <w:t xml:space="preserve">to conduct the technical </w:t>
      </w:r>
      <w:r w:rsidR="00BE475C">
        <w:rPr>
          <w:sz w:val="24"/>
          <w:szCs w:val="24"/>
        </w:rPr>
        <w:t xml:space="preserve">review </w:t>
      </w:r>
      <w:r w:rsidR="001C2746">
        <w:rPr>
          <w:sz w:val="24"/>
          <w:szCs w:val="24"/>
        </w:rPr>
        <w:t xml:space="preserve">of the </w:t>
      </w:r>
      <w:r w:rsidR="00BE475C">
        <w:rPr>
          <w:sz w:val="24"/>
          <w:szCs w:val="24"/>
        </w:rPr>
        <w:t xml:space="preserve">SWMPs. </w:t>
      </w:r>
      <w:r w:rsidR="001C2746">
        <w:rPr>
          <w:sz w:val="24"/>
          <w:szCs w:val="24"/>
        </w:rPr>
        <w:t>If</w:t>
      </w:r>
      <w:r w:rsidR="00311615" w:rsidRPr="00093573">
        <w:rPr>
          <w:sz w:val="24"/>
          <w:szCs w:val="24"/>
        </w:rPr>
        <w:t xml:space="preserve"> the </w:t>
      </w:r>
      <w:r w:rsidR="001C2746">
        <w:rPr>
          <w:sz w:val="24"/>
          <w:szCs w:val="24"/>
        </w:rPr>
        <w:t xml:space="preserve">EPA were to review the </w:t>
      </w:r>
      <w:r w:rsidR="00311615" w:rsidRPr="00093573">
        <w:rPr>
          <w:sz w:val="24"/>
          <w:szCs w:val="24"/>
        </w:rPr>
        <w:t xml:space="preserve">MS4 NOIs and SWMPs </w:t>
      </w:r>
      <w:r w:rsidR="008F641D" w:rsidRPr="00093573">
        <w:rPr>
          <w:sz w:val="24"/>
          <w:szCs w:val="24"/>
        </w:rPr>
        <w:t xml:space="preserve">the approval </w:t>
      </w:r>
      <w:r w:rsidR="00311615" w:rsidRPr="00093573">
        <w:rPr>
          <w:sz w:val="24"/>
          <w:szCs w:val="24"/>
        </w:rPr>
        <w:t>process</w:t>
      </w:r>
      <w:r w:rsidR="008F641D" w:rsidRPr="00093573">
        <w:rPr>
          <w:sz w:val="24"/>
          <w:szCs w:val="24"/>
        </w:rPr>
        <w:t xml:space="preserve"> </w:t>
      </w:r>
      <w:r w:rsidR="001C2746">
        <w:rPr>
          <w:sz w:val="24"/>
          <w:szCs w:val="24"/>
        </w:rPr>
        <w:t xml:space="preserve">would be greatly </w:t>
      </w:r>
      <w:r w:rsidR="008F641D" w:rsidRPr="00093573">
        <w:rPr>
          <w:sz w:val="24"/>
          <w:szCs w:val="24"/>
        </w:rPr>
        <w:t>delayed</w:t>
      </w:r>
      <w:r w:rsidR="00311615" w:rsidRPr="00093573">
        <w:rPr>
          <w:sz w:val="24"/>
          <w:szCs w:val="24"/>
        </w:rPr>
        <w:t>.</w:t>
      </w:r>
      <w:r w:rsidR="00BE475C">
        <w:rPr>
          <w:rFonts w:ascii="Times New Roman" w:hAnsi="Times New Roman"/>
          <w:sz w:val="24"/>
          <w:szCs w:val="24"/>
        </w:rPr>
        <w:t xml:space="preserve"> </w:t>
      </w:r>
    </w:p>
    <w:p w:rsidR="00311615" w:rsidRDefault="00311615" w:rsidP="00311615">
      <w:pPr>
        <w:pStyle w:val="CommentText"/>
        <w:rPr>
          <w:rFonts w:asciiTheme="minorHAnsi" w:hAnsiTheme="minorHAnsi"/>
        </w:rPr>
      </w:pPr>
      <w:r>
        <w:t xml:space="preserve"> </w:t>
      </w:r>
    </w:p>
    <w:p w:rsidR="001919AD" w:rsidRPr="00B73EC9" w:rsidRDefault="00021911" w:rsidP="00CC4A58">
      <w:pPr>
        <w:pStyle w:val="BodyText"/>
        <w:numPr>
          <w:ilvl w:val="0"/>
          <w:numId w:val="16"/>
        </w:numPr>
        <w:spacing w:before="240"/>
        <w:rPr>
          <w:b/>
        </w:rPr>
      </w:pPr>
      <w:r w:rsidRPr="00021911">
        <w:rPr>
          <w:b/>
        </w:rPr>
        <w:t>Economic Analysis Cost Estimates</w:t>
      </w:r>
      <w:r w:rsidR="0034739F">
        <w:rPr>
          <w:b/>
        </w:rPr>
        <w:t xml:space="preserve"> – Clarification </w:t>
      </w:r>
      <w:r w:rsidR="001919AD" w:rsidRPr="00B73EC9">
        <w:rPr>
          <w:b/>
        </w:rPr>
        <w:t xml:space="preserve"> </w:t>
      </w:r>
    </w:p>
    <w:p w:rsidR="00AA259F" w:rsidRPr="004159DB" w:rsidRDefault="001919AD" w:rsidP="0034739F">
      <w:pPr>
        <w:pStyle w:val="BodyText"/>
        <w:ind w:left="360"/>
        <w:rPr>
          <w:b/>
        </w:rPr>
      </w:pPr>
      <w:r>
        <w:t>The TCE</w:t>
      </w:r>
      <w:r w:rsidR="001C2746">
        <w:t>Q</w:t>
      </w:r>
      <w:r>
        <w:t xml:space="preserve"> notes that a </w:t>
      </w:r>
      <w:r w:rsidR="00021911">
        <w:t>clarification</w:t>
      </w:r>
      <w:r>
        <w:t xml:space="preserve"> needs to be made to the </w:t>
      </w:r>
      <w:r w:rsidR="00021911" w:rsidRPr="00021911">
        <w:t>Economic Analysis Cost Estimates</w:t>
      </w:r>
      <w:r w:rsidR="00021911">
        <w:t xml:space="preserve"> spreadsheet included </w:t>
      </w:r>
      <w:r w:rsidR="0034739F">
        <w:t>as one of the 21</w:t>
      </w:r>
      <w:r w:rsidR="00021911">
        <w:t xml:space="preserve"> Supporting Documents</w:t>
      </w:r>
      <w:r w:rsidR="0034739F">
        <w:t xml:space="preserve">. The information in the spreadsheet under the tab </w:t>
      </w:r>
      <w:r w:rsidR="00D44375">
        <w:t>en</w:t>
      </w:r>
      <w:r w:rsidR="0034739F">
        <w:t>titled</w:t>
      </w:r>
      <w:r w:rsidR="00021911">
        <w:t xml:space="preserve"> </w:t>
      </w:r>
      <w:r w:rsidR="0034739F">
        <w:t>“</w:t>
      </w:r>
      <w:r w:rsidR="00021911">
        <w:t>Opt. 1 State Permits</w:t>
      </w:r>
      <w:r w:rsidR="0034739F">
        <w:t>”</w:t>
      </w:r>
      <w:r w:rsidR="00021911">
        <w:t xml:space="preserve"> includes Texas. Although the </w:t>
      </w:r>
      <w:r w:rsidR="0034739F">
        <w:t>column titled</w:t>
      </w:r>
      <w:r w:rsidR="00021911">
        <w:t xml:space="preserve"> </w:t>
      </w:r>
      <w:r w:rsidR="0034739F">
        <w:t>“</w:t>
      </w:r>
      <w:r w:rsidR="00021911" w:rsidRPr="00021911">
        <w:t>States that issue general small MS4 permits</w:t>
      </w:r>
      <w:r w:rsidR="0034739F">
        <w:t xml:space="preserve">” specifies that Texas is one of these states, it is unclear why states that are not Option 1 states would be included in this tab and could be misleading.  </w:t>
      </w:r>
    </w:p>
    <w:sectPr w:rsidR="00AA259F" w:rsidRPr="004159DB" w:rsidSect="00A036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4E6" w:rsidRDefault="00BF34E6" w:rsidP="00644714">
      <w:pPr>
        <w:spacing w:before="0" w:after="0"/>
      </w:pPr>
      <w:r>
        <w:separator/>
      </w:r>
    </w:p>
  </w:endnote>
  <w:endnote w:type="continuationSeparator" w:id="0">
    <w:p w:rsidR="00BF34E6" w:rsidRDefault="00BF34E6" w:rsidP="00644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838649"/>
      <w:docPartObj>
        <w:docPartGallery w:val="Page Numbers (Bottom of Page)"/>
        <w:docPartUnique/>
      </w:docPartObj>
    </w:sdtPr>
    <w:sdtEndPr>
      <w:rPr>
        <w:noProof/>
        <w:sz w:val="22"/>
      </w:rPr>
    </w:sdtEndPr>
    <w:sdtContent>
      <w:p w:rsidR="0026572A" w:rsidRDefault="0026572A" w:rsidP="00BD1F1B">
        <w:pPr>
          <w:pStyle w:val="Footer"/>
          <w:jc w:val="right"/>
        </w:pPr>
      </w:p>
      <w:p w:rsidR="00BD1F1B" w:rsidRPr="004F6A60" w:rsidRDefault="004F6A60" w:rsidP="00BD1F1B">
        <w:pPr>
          <w:pStyle w:val="Footer"/>
          <w:jc w:val="right"/>
          <w:rPr>
            <w:sz w:val="22"/>
          </w:rPr>
        </w:pPr>
        <w:r w:rsidRPr="004F6A60">
          <w:rPr>
            <w:sz w:val="22"/>
          </w:rPr>
          <w:t xml:space="preserve">Page </w:t>
        </w:r>
        <w:r w:rsidR="00BD1F1B" w:rsidRPr="004F6A60">
          <w:rPr>
            <w:sz w:val="22"/>
          </w:rPr>
          <w:fldChar w:fldCharType="begin"/>
        </w:r>
        <w:r w:rsidR="00BD1F1B" w:rsidRPr="004F6A60">
          <w:rPr>
            <w:sz w:val="22"/>
          </w:rPr>
          <w:instrText xml:space="preserve"> PAGE   \* MERGEFORMAT </w:instrText>
        </w:r>
        <w:r w:rsidR="00BD1F1B" w:rsidRPr="004F6A60">
          <w:rPr>
            <w:sz w:val="22"/>
          </w:rPr>
          <w:fldChar w:fldCharType="separate"/>
        </w:r>
        <w:r w:rsidR="009C1182">
          <w:rPr>
            <w:noProof/>
            <w:sz w:val="22"/>
          </w:rPr>
          <w:t>2</w:t>
        </w:r>
        <w:r w:rsidR="00BD1F1B" w:rsidRPr="004F6A60">
          <w:rPr>
            <w:noProof/>
            <w:sz w:val="22"/>
          </w:rPr>
          <w:fldChar w:fldCharType="end"/>
        </w:r>
      </w:p>
    </w:sdtContent>
  </w:sdt>
  <w:p w:rsidR="00BD1F1B" w:rsidRDefault="00BD1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4E6" w:rsidRDefault="00BF34E6" w:rsidP="00644714">
      <w:pPr>
        <w:spacing w:before="0" w:after="0"/>
      </w:pPr>
      <w:r>
        <w:separator/>
      </w:r>
    </w:p>
  </w:footnote>
  <w:footnote w:type="continuationSeparator" w:id="0">
    <w:p w:rsidR="00BF34E6" w:rsidRDefault="00BF34E6" w:rsidP="0064471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2A" w:rsidRPr="004F6A60" w:rsidRDefault="0026572A" w:rsidP="0026572A">
    <w:pPr>
      <w:pStyle w:val="Header"/>
    </w:pPr>
    <w:r w:rsidRPr="004F6A60">
      <w:t>Texas Commission on Environmental Quality</w:t>
    </w:r>
    <w:r w:rsidR="004D6ED9">
      <w:t xml:space="preserve"> (TCEQ)</w:t>
    </w:r>
  </w:p>
  <w:p w:rsidR="0026572A" w:rsidRPr="004F6A60" w:rsidRDefault="0026572A" w:rsidP="0026572A">
    <w:pPr>
      <w:pStyle w:val="Header"/>
    </w:pPr>
    <w:r w:rsidRPr="004F6A60">
      <w:t>Comments on the Proposed Rule</w:t>
    </w:r>
    <w:r w:rsidR="00560DC3">
      <w:t>making</w:t>
    </w:r>
    <w:r w:rsidRPr="004F6A60">
      <w:t xml:space="preserve"> on the National Pollutant Discharge Elimination System (NPDES) Municipal Separate Storm Sewer System (MS4) General Permit Remand</w:t>
    </w:r>
  </w:p>
  <w:p w:rsidR="0026572A" w:rsidRPr="004F6A60" w:rsidRDefault="0026572A" w:rsidP="0026572A">
    <w:pPr>
      <w:pStyle w:val="BodyText"/>
    </w:pPr>
  </w:p>
  <w:p w:rsidR="0026572A" w:rsidRPr="004F6A60" w:rsidRDefault="0026572A" w:rsidP="0026572A">
    <w:pPr>
      <w:pStyle w:val="BodyText"/>
    </w:pPr>
    <w:r w:rsidRPr="004F6A60">
      <w:t>EPA Docket ID No. EPA-HQ-OW-2015-0671</w:t>
    </w:r>
  </w:p>
  <w:p w:rsidR="0026572A" w:rsidRDefault="00265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333309"/>
    <w:multiLevelType w:val="hybridMultilevel"/>
    <w:tmpl w:val="679AE5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AB4D95"/>
    <w:multiLevelType w:val="hybridMultilevel"/>
    <w:tmpl w:val="E048AC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6C5B9C"/>
    <w:multiLevelType w:val="hybridMultilevel"/>
    <w:tmpl w:val="6D0CC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C65C2D"/>
    <w:multiLevelType w:val="hybridMultilevel"/>
    <w:tmpl w:val="F034B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6"/>
  </w:num>
  <w:num w:numId="9">
    <w:abstractNumId w:val="14"/>
  </w:num>
  <w:num w:numId="10">
    <w:abstractNumId w:val="13"/>
  </w:num>
  <w:num w:numId="11">
    <w:abstractNumId w:val="7"/>
  </w:num>
  <w:num w:numId="12">
    <w:abstractNumId w:val="9"/>
  </w:num>
  <w:num w:numId="13">
    <w:abstractNumId w:val="8"/>
  </w:num>
  <w:num w:numId="14">
    <w:abstractNumId w:val="10"/>
  </w:num>
  <w:num w:numId="15">
    <w:abstractNumId w:val="15"/>
  </w:num>
  <w:num w:numId="16">
    <w:abstractNumId w:val="11"/>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AE"/>
    <w:rsid w:val="000130D7"/>
    <w:rsid w:val="00021911"/>
    <w:rsid w:val="000335A7"/>
    <w:rsid w:val="000462F1"/>
    <w:rsid w:val="00051B7F"/>
    <w:rsid w:val="00092D08"/>
    <w:rsid w:val="00093573"/>
    <w:rsid w:val="000938BD"/>
    <w:rsid w:val="000D2624"/>
    <w:rsid w:val="000D6BAC"/>
    <w:rsid w:val="00104C29"/>
    <w:rsid w:val="00116413"/>
    <w:rsid w:val="0017086C"/>
    <w:rsid w:val="00184F62"/>
    <w:rsid w:val="001919AD"/>
    <w:rsid w:val="001B6A8D"/>
    <w:rsid w:val="001C2746"/>
    <w:rsid w:val="001C5C0E"/>
    <w:rsid w:val="001D27BF"/>
    <w:rsid w:val="001E422F"/>
    <w:rsid w:val="001F1553"/>
    <w:rsid w:val="0021053E"/>
    <w:rsid w:val="002265D2"/>
    <w:rsid w:val="00261265"/>
    <w:rsid w:val="0026572A"/>
    <w:rsid w:val="00267310"/>
    <w:rsid w:val="002677C4"/>
    <w:rsid w:val="00270AA1"/>
    <w:rsid w:val="002755FB"/>
    <w:rsid w:val="002837AE"/>
    <w:rsid w:val="00297D38"/>
    <w:rsid w:val="002C3245"/>
    <w:rsid w:val="002D2B26"/>
    <w:rsid w:val="002D4E2D"/>
    <w:rsid w:val="002E77B0"/>
    <w:rsid w:val="00311615"/>
    <w:rsid w:val="0034739F"/>
    <w:rsid w:val="00351573"/>
    <w:rsid w:val="00351FD0"/>
    <w:rsid w:val="00371555"/>
    <w:rsid w:val="003813EE"/>
    <w:rsid w:val="00393C75"/>
    <w:rsid w:val="003B41DF"/>
    <w:rsid w:val="003B776B"/>
    <w:rsid w:val="003E137E"/>
    <w:rsid w:val="003F5ABB"/>
    <w:rsid w:val="00410163"/>
    <w:rsid w:val="00410206"/>
    <w:rsid w:val="004159DB"/>
    <w:rsid w:val="004426FD"/>
    <w:rsid w:val="004510DF"/>
    <w:rsid w:val="00455B4F"/>
    <w:rsid w:val="00470615"/>
    <w:rsid w:val="0049657C"/>
    <w:rsid w:val="004D2A69"/>
    <w:rsid w:val="004D2CA6"/>
    <w:rsid w:val="004D6ED9"/>
    <w:rsid w:val="004E76DC"/>
    <w:rsid w:val="004F6A60"/>
    <w:rsid w:val="00514C35"/>
    <w:rsid w:val="0052197D"/>
    <w:rsid w:val="005464F5"/>
    <w:rsid w:val="0055212A"/>
    <w:rsid w:val="00560DC3"/>
    <w:rsid w:val="00566601"/>
    <w:rsid w:val="00596D75"/>
    <w:rsid w:val="005A14C3"/>
    <w:rsid w:val="005B0B16"/>
    <w:rsid w:val="005B1587"/>
    <w:rsid w:val="005C5C1E"/>
    <w:rsid w:val="005E515B"/>
    <w:rsid w:val="005F30BD"/>
    <w:rsid w:val="005F337F"/>
    <w:rsid w:val="005F5776"/>
    <w:rsid w:val="00605EC2"/>
    <w:rsid w:val="00623BA6"/>
    <w:rsid w:val="00635480"/>
    <w:rsid w:val="0064406A"/>
    <w:rsid w:val="00644714"/>
    <w:rsid w:val="00651ACB"/>
    <w:rsid w:val="0065525B"/>
    <w:rsid w:val="006730D8"/>
    <w:rsid w:val="00685ED1"/>
    <w:rsid w:val="00686FCE"/>
    <w:rsid w:val="006A01F6"/>
    <w:rsid w:val="006C23A5"/>
    <w:rsid w:val="006C6CEB"/>
    <w:rsid w:val="007009BD"/>
    <w:rsid w:val="00716F94"/>
    <w:rsid w:val="0072249E"/>
    <w:rsid w:val="00727F1C"/>
    <w:rsid w:val="00732647"/>
    <w:rsid w:val="007331C2"/>
    <w:rsid w:val="007410F7"/>
    <w:rsid w:val="00746472"/>
    <w:rsid w:val="0075745D"/>
    <w:rsid w:val="007664E9"/>
    <w:rsid w:val="00782A52"/>
    <w:rsid w:val="00783B37"/>
    <w:rsid w:val="007A4B1D"/>
    <w:rsid w:val="007F1D92"/>
    <w:rsid w:val="00807E51"/>
    <w:rsid w:val="008338B8"/>
    <w:rsid w:val="0083659A"/>
    <w:rsid w:val="008606E9"/>
    <w:rsid w:val="00860D47"/>
    <w:rsid w:val="008755F2"/>
    <w:rsid w:val="00884173"/>
    <w:rsid w:val="008E02E9"/>
    <w:rsid w:val="008E33DD"/>
    <w:rsid w:val="008E43A0"/>
    <w:rsid w:val="008E46B2"/>
    <w:rsid w:val="008F641D"/>
    <w:rsid w:val="009235BD"/>
    <w:rsid w:val="00942801"/>
    <w:rsid w:val="00961793"/>
    <w:rsid w:val="00974E8C"/>
    <w:rsid w:val="00996B99"/>
    <w:rsid w:val="009C1182"/>
    <w:rsid w:val="009E0177"/>
    <w:rsid w:val="00A03680"/>
    <w:rsid w:val="00A0589A"/>
    <w:rsid w:val="00A07BE6"/>
    <w:rsid w:val="00A2193F"/>
    <w:rsid w:val="00A32B9B"/>
    <w:rsid w:val="00A432FA"/>
    <w:rsid w:val="00A650BA"/>
    <w:rsid w:val="00A739B0"/>
    <w:rsid w:val="00A75BA9"/>
    <w:rsid w:val="00A8600F"/>
    <w:rsid w:val="00AA259F"/>
    <w:rsid w:val="00AB074C"/>
    <w:rsid w:val="00AB33F8"/>
    <w:rsid w:val="00AC451F"/>
    <w:rsid w:val="00AF06A3"/>
    <w:rsid w:val="00AF6E5B"/>
    <w:rsid w:val="00AF7F7B"/>
    <w:rsid w:val="00B22A30"/>
    <w:rsid w:val="00B33C4C"/>
    <w:rsid w:val="00B3681B"/>
    <w:rsid w:val="00B4403F"/>
    <w:rsid w:val="00B44837"/>
    <w:rsid w:val="00B67084"/>
    <w:rsid w:val="00B73EC9"/>
    <w:rsid w:val="00B9499D"/>
    <w:rsid w:val="00BA5320"/>
    <w:rsid w:val="00BC19CE"/>
    <w:rsid w:val="00BD1F1B"/>
    <w:rsid w:val="00BE475C"/>
    <w:rsid w:val="00BF000E"/>
    <w:rsid w:val="00BF079F"/>
    <w:rsid w:val="00BF34E6"/>
    <w:rsid w:val="00C0514F"/>
    <w:rsid w:val="00C2546A"/>
    <w:rsid w:val="00C95864"/>
    <w:rsid w:val="00CC4A58"/>
    <w:rsid w:val="00CE5861"/>
    <w:rsid w:val="00D10BFC"/>
    <w:rsid w:val="00D1376A"/>
    <w:rsid w:val="00D2276B"/>
    <w:rsid w:val="00D247D4"/>
    <w:rsid w:val="00D24877"/>
    <w:rsid w:val="00D44331"/>
    <w:rsid w:val="00D44375"/>
    <w:rsid w:val="00D550D8"/>
    <w:rsid w:val="00D9218C"/>
    <w:rsid w:val="00DA208E"/>
    <w:rsid w:val="00DB788B"/>
    <w:rsid w:val="00DD529B"/>
    <w:rsid w:val="00E04F97"/>
    <w:rsid w:val="00E10925"/>
    <w:rsid w:val="00E14844"/>
    <w:rsid w:val="00E301D2"/>
    <w:rsid w:val="00E44401"/>
    <w:rsid w:val="00E61D5D"/>
    <w:rsid w:val="00E72DB1"/>
    <w:rsid w:val="00E910F6"/>
    <w:rsid w:val="00EB7205"/>
    <w:rsid w:val="00EF6A56"/>
    <w:rsid w:val="00F00844"/>
    <w:rsid w:val="00F152DA"/>
    <w:rsid w:val="00F169A4"/>
    <w:rsid w:val="00F404D5"/>
    <w:rsid w:val="00F4745C"/>
    <w:rsid w:val="00F56A6D"/>
    <w:rsid w:val="00F56E78"/>
    <w:rsid w:val="00F82D4A"/>
    <w:rsid w:val="00F84C3B"/>
    <w:rsid w:val="00F86AB1"/>
    <w:rsid w:val="00F904EC"/>
    <w:rsid w:val="00FA13B3"/>
    <w:rsid w:val="00FB1DEC"/>
    <w:rsid w:val="00FB54BE"/>
    <w:rsid w:val="00FC0D4F"/>
    <w:rsid w:val="00FC1D02"/>
    <w:rsid w:val="00FC1E3C"/>
    <w:rsid w:val="00FC685C"/>
    <w:rsid w:val="00FD2263"/>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406F7-F0E2-49BA-AE15-42A65ABA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uiPriority w:val="99"/>
    <w:semiHidden/>
    <w:rsid w:val="00AB074C"/>
    <w:rPr>
      <w:rFonts w:ascii="Comic Sans MS" w:hAnsi="Comic Sans MS"/>
      <w:sz w:val="20"/>
      <w:szCs w:val="20"/>
    </w:rPr>
  </w:style>
  <w:style w:type="character" w:customStyle="1" w:styleId="CommentTextChar">
    <w:name w:val="Comment Text Char"/>
    <w:basedOn w:val="DefaultParagraphFont"/>
    <w:link w:val="CommentText"/>
    <w:uiPriority w:val="99"/>
    <w:semiHidden/>
    <w:rsid w:val="00AB074C"/>
    <w:rPr>
      <w:rFonts w:ascii="Comic Sans MS" w:hAnsi="Comic Sans MS" w:cstheme="minorBidi"/>
    </w:rPr>
  </w:style>
  <w:style w:type="paragraph" w:styleId="Header">
    <w:name w:val="header"/>
    <w:basedOn w:val="Normal"/>
    <w:link w:val="HeaderChar"/>
    <w:uiPriority w:val="99"/>
    <w:rsid w:val="00AB074C"/>
    <w:pPr>
      <w:tabs>
        <w:tab w:val="center" w:pos="4320"/>
        <w:tab w:val="right" w:pos="8640"/>
      </w:tabs>
    </w:pPr>
  </w:style>
  <w:style w:type="character" w:customStyle="1" w:styleId="HeaderChar">
    <w:name w:val="Header Char"/>
    <w:basedOn w:val="DefaultParagraphFont"/>
    <w:link w:val="Header"/>
    <w:uiPriority w:val="99"/>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uiPriority w:val="99"/>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Style4">
    <w:name w:val="Style4"/>
    <w:basedOn w:val="Normal"/>
    <w:qFormat/>
    <w:rsid w:val="00B73EC9"/>
    <w:pPr>
      <w:widowControl w:val="0"/>
      <w:tabs>
        <w:tab w:val="clear" w:pos="720"/>
      </w:tabs>
      <w:autoSpaceDE w:val="0"/>
      <w:autoSpaceDN w:val="0"/>
      <w:adjustRightInd w:val="0"/>
      <w:spacing w:before="0" w:after="0"/>
    </w:pPr>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407284">
      <w:bodyDiv w:val="1"/>
      <w:marLeft w:val="0"/>
      <w:marRight w:val="0"/>
      <w:marTop w:val="0"/>
      <w:marBottom w:val="0"/>
      <w:divBdr>
        <w:top w:val="none" w:sz="0" w:space="0" w:color="auto"/>
        <w:left w:val="none" w:sz="0" w:space="0" w:color="auto"/>
        <w:bottom w:val="none" w:sz="0" w:space="0" w:color="auto"/>
        <w:right w:val="none" w:sz="0" w:space="0" w:color="auto"/>
      </w:divBdr>
      <w:divsChild>
        <w:div w:id="1453092094">
          <w:marLeft w:val="0"/>
          <w:marRight w:val="0"/>
          <w:marTop w:val="0"/>
          <w:marBottom w:val="0"/>
          <w:divBdr>
            <w:top w:val="none" w:sz="0" w:space="0" w:color="auto"/>
            <w:left w:val="none" w:sz="0" w:space="0" w:color="auto"/>
            <w:bottom w:val="none" w:sz="0" w:space="0" w:color="auto"/>
            <w:right w:val="none" w:sz="0" w:space="0" w:color="auto"/>
          </w:divBdr>
          <w:divsChild>
            <w:div w:id="4802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5D19C-8EE7-4136-AF0C-2C26C7EB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1467</Words>
  <Characters>8364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Nielsen</dc:creator>
  <cp:lastModifiedBy>Ken Sherry</cp:lastModifiedBy>
  <cp:revision>2</cp:revision>
  <cp:lastPrinted>2016-03-07T19:03:00Z</cp:lastPrinted>
  <dcterms:created xsi:type="dcterms:W3CDTF">2016-03-31T14:23:00Z</dcterms:created>
  <dcterms:modified xsi:type="dcterms:W3CDTF">2016-03-31T14:23:00Z</dcterms:modified>
</cp:coreProperties>
</file>