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B1417" w14:textId="77777777" w:rsidR="00597F34" w:rsidRPr="00FE4160" w:rsidRDefault="00597F34" w:rsidP="00435F2C">
      <w:pPr>
        <w:pStyle w:val="Heading1"/>
        <w:spacing w:before="120"/>
        <w:jc w:val="center"/>
        <w:rPr>
          <w:sz w:val="16"/>
          <w:szCs w:val="16"/>
        </w:rPr>
      </w:pPr>
      <w:r w:rsidRPr="00FE4160">
        <w:rPr>
          <w:noProof/>
        </w:rPr>
        <w:drawing>
          <wp:anchor distT="0" distB="0" distL="114300" distR="114300" simplePos="0" relativeHeight="251659264" behindDoc="0" locked="0" layoutInCell="1" allowOverlap="1" wp14:anchorId="19C34597" wp14:editId="735183C0">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FE4160">
        <w:t>National Comments</w:t>
      </w:r>
    </w:p>
    <w:p w14:paraId="055E6BC9" w14:textId="77777777" w:rsidR="00597F34" w:rsidRPr="00FE4160" w:rsidRDefault="00597F34" w:rsidP="00597F34">
      <w:pPr>
        <w:pStyle w:val="Heading1"/>
        <w:jc w:val="center"/>
      </w:pPr>
      <w:r w:rsidRPr="00FE4160">
        <w:t>Executive Review Summary</w:t>
      </w:r>
    </w:p>
    <w:p w14:paraId="12599EB1" w14:textId="77777777" w:rsidR="00597F34" w:rsidRPr="000B773F" w:rsidRDefault="00597F34" w:rsidP="00597F34">
      <w:pPr>
        <w:jc w:val="center"/>
        <w:rPr>
          <w:rFonts w:ascii="Georgia" w:hAnsi="Georgia"/>
          <w:b/>
          <w:bCs/>
          <w:sz w:val="30"/>
          <w:szCs w:val="30"/>
        </w:rPr>
      </w:pPr>
    </w:p>
    <w:p w14:paraId="1329A746" w14:textId="77777777" w:rsidR="00597F34" w:rsidRPr="000B773F" w:rsidRDefault="00597F34" w:rsidP="00597F34">
      <w:pPr>
        <w:jc w:val="center"/>
        <w:rPr>
          <w:rFonts w:ascii="Georgia" w:hAnsi="Georgia"/>
          <w:b/>
          <w:bCs/>
          <w:sz w:val="30"/>
          <w:szCs w:val="30"/>
        </w:rPr>
      </w:pPr>
    </w:p>
    <w:p w14:paraId="4002DA08" w14:textId="77777777" w:rsidR="00597F34" w:rsidRPr="000B773F" w:rsidRDefault="00597F34" w:rsidP="00597F34">
      <w:pPr>
        <w:jc w:val="center"/>
        <w:rPr>
          <w:rFonts w:ascii="Georgia" w:hAnsi="Georgia"/>
          <w:b/>
          <w:bCs/>
          <w:sz w:val="30"/>
          <w:szCs w:val="30"/>
        </w:rPr>
      </w:pPr>
    </w:p>
    <w:p w14:paraId="48734830" w14:textId="77777777" w:rsidR="00597F34" w:rsidRPr="00FE4160" w:rsidRDefault="00597F34" w:rsidP="00597F34">
      <w:pPr>
        <w:rPr>
          <w:rStyle w:val="Strong"/>
          <w:rFonts w:ascii="Verdana" w:hAnsi="Verdana"/>
          <w:sz w:val="22"/>
          <w:szCs w:val="22"/>
        </w:rPr>
      </w:pPr>
      <w:r w:rsidRPr="00FE4160">
        <w:rPr>
          <w:rStyle w:val="Strong"/>
          <w:rFonts w:ascii="Verdana" w:hAnsi="Verdana"/>
          <w:sz w:val="22"/>
          <w:szCs w:val="22"/>
        </w:rPr>
        <w:t>TCEQ Proposed Comments On:</w:t>
      </w:r>
    </w:p>
    <w:p w14:paraId="09A526C4" w14:textId="77777777" w:rsidR="00597F34" w:rsidRPr="00FE4160" w:rsidRDefault="00597F34" w:rsidP="00597F34">
      <w:pPr>
        <w:rPr>
          <w:rFonts w:ascii="Verdana" w:hAnsi="Verdana"/>
          <w:sz w:val="22"/>
          <w:szCs w:val="22"/>
        </w:rPr>
      </w:pPr>
    </w:p>
    <w:p w14:paraId="1FCCF211" w14:textId="78A36BF2" w:rsidR="00597F34" w:rsidRPr="00FE4160" w:rsidRDefault="00951537" w:rsidP="00597F34">
      <w:pPr>
        <w:rPr>
          <w:rFonts w:ascii="Verdana" w:hAnsi="Verdana"/>
          <w:sz w:val="22"/>
          <w:szCs w:val="22"/>
        </w:rPr>
      </w:pPr>
      <w:r w:rsidRPr="00FE4160">
        <w:rPr>
          <w:rFonts w:ascii="Verdana" w:hAnsi="Verdana"/>
          <w:sz w:val="22"/>
          <w:szCs w:val="22"/>
        </w:rPr>
        <w:t xml:space="preserve">Request for </w:t>
      </w:r>
      <w:r w:rsidR="00AA1DE4" w:rsidRPr="00FE4160">
        <w:rPr>
          <w:rFonts w:ascii="Verdana" w:hAnsi="Verdana"/>
          <w:sz w:val="22"/>
          <w:szCs w:val="22"/>
        </w:rPr>
        <w:t>Scientific Views</w:t>
      </w:r>
      <w:r w:rsidR="00597F34" w:rsidRPr="00FE4160">
        <w:rPr>
          <w:rFonts w:ascii="Verdana" w:hAnsi="Verdana"/>
          <w:sz w:val="22"/>
          <w:szCs w:val="22"/>
        </w:rPr>
        <w:t xml:space="preserve">; </w:t>
      </w:r>
      <w:bookmarkStart w:id="0" w:name="_GoBack"/>
      <w:r w:rsidR="00AA1DE4" w:rsidRPr="00FE4160">
        <w:rPr>
          <w:rFonts w:ascii="Verdana" w:hAnsi="Verdana"/>
          <w:sz w:val="22"/>
          <w:szCs w:val="22"/>
        </w:rPr>
        <w:t>Draft Human Health Recreational Ambient Water Quality Criteria and/or Swimming Advisories for Microcystins and Cylindrospermopsin</w:t>
      </w:r>
      <w:bookmarkEnd w:id="0"/>
      <w:r w:rsidR="00597F34" w:rsidRPr="00FE4160">
        <w:rPr>
          <w:rFonts w:ascii="Verdana" w:hAnsi="Verdana"/>
          <w:sz w:val="22"/>
          <w:szCs w:val="22"/>
        </w:rPr>
        <w:t xml:space="preserve">; </w:t>
      </w:r>
      <w:r w:rsidR="00D02028" w:rsidRPr="00FE4160">
        <w:rPr>
          <w:rFonts w:ascii="Verdana" w:hAnsi="Verdana"/>
          <w:sz w:val="22"/>
          <w:szCs w:val="22"/>
        </w:rPr>
        <w:t>Drafts for Public Comment</w:t>
      </w:r>
      <w:r w:rsidR="00597F34" w:rsidRPr="00FE4160">
        <w:rPr>
          <w:rFonts w:ascii="Verdana" w:hAnsi="Verdana"/>
          <w:sz w:val="22"/>
          <w:szCs w:val="22"/>
        </w:rPr>
        <w:t xml:space="preserve">; </w:t>
      </w:r>
      <w:r w:rsidR="00AF4843" w:rsidRPr="00FE4160">
        <w:rPr>
          <w:rFonts w:ascii="Verdana" w:hAnsi="Verdana"/>
          <w:sz w:val="22"/>
          <w:szCs w:val="22"/>
        </w:rPr>
        <w:t>posted</w:t>
      </w:r>
      <w:r w:rsidR="00597F34" w:rsidRPr="00FE4160">
        <w:rPr>
          <w:rFonts w:ascii="Verdana" w:hAnsi="Verdana"/>
          <w:sz w:val="22"/>
          <w:szCs w:val="22"/>
        </w:rPr>
        <w:t xml:space="preserve"> in </w:t>
      </w:r>
      <w:r w:rsidR="00AF4843" w:rsidRPr="00FE4160">
        <w:rPr>
          <w:rFonts w:ascii="Verdana" w:hAnsi="Verdana"/>
          <w:sz w:val="22"/>
          <w:szCs w:val="22"/>
        </w:rPr>
        <w:t>Docket ID No. EPA-HQ-OW-2016-</w:t>
      </w:r>
      <w:r w:rsidR="00AA1DE4" w:rsidRPr="00FE4160">
        <w:rPr>
          <w:rFonts w:ascii="Verdana" w:hAnsi="Verdana"/>
          <w:sz w:val="22"/>
          <w:szCs w:val="22"/>
        </w:rPr>
        <w:t xml:space="preserve">0715 </w:t>
      </w:r>
      <w:r w:rsidR="00AF4843" w:rsidRPr="00FE4160">
        <w:rPr>
          <w:rFonts w:ascii="Verdana" w:hAnsi="Verdana"/>
          <w:sz w:val="22"/>
          <w:szCs w:val="22"/>
        </w:rPr>
        <w:t xml:space="preserve">of Regulations.gov.  </w:t>
      </w:r>
    </w:p>
    <w:p w14:paraId="146F26E2" w14:textId="77777777" w:rsidR="00597F34" w:rsidRPr="00FE4160" w:rsidRDefault="00597F34" w:rsidP="00597F34">
      <w:pPr>
        <w:rPr>
          <w:rFonts w:ascii="Verdana" w:hAnsi="Verdana"/>
          <w:sz w:val="22"/>
          <w:szCs w:val="22"/>
        </w:rPr>
      </w:pPr>
    </w:p>
    <w:p w14:paraId="07336221" w14:textId="77777777" w:rsidR="00597F34" w:rsidRPr="00FE4160" w:rsidRDefault="00597F34" w:rsidP="00597F34">
      <w:pPr>
        <w:rPr>
          <w:rStyle w:val="Strong"/>
          <w:rFonts w:ascii="Verdana" w:hAnsi="Verdana"/>
          <w:sz w:val="22"/>
          <w:szCs w:val="22"/>
        </w:rPr>
      </w:pPr>
      <w:r w:rsidRPr="00FE4160">
        <w:rPr>
          <w:rStyle w:val="Strong"/>
          <w:rFonts w:ascii="Verdana" w:hAnsi="Verdana"/>
          <w:sz w:val="22"/>
          <w:szCs w:val="22"/>
        </w:rPr>
        <w:t>Overview of Proposal:</w:t>
      </w:r>
    </w:p>
    <w:p w14:paraId="59483E0A" w14:textId="77777777" w:rsidR="00597F34" w:rsidRPr="00FE4160" w:rsidRDefault="00597F34" w:rsidP="00597F34">
      <w:pPr>
        <w:rPr>
          <w:rFonts w:ascii="Verdana" w:hAnsi="Verdana"/>
          <w:sz w:val="22"/>
          <w:szCs w:val="22"/>
        </w:rPr>
      </w:pPr>
    </w:p>
    <w:p w14:paraId="37F4153D" w14:textId="3411CCA3" w:rsidR="00395FAA" w:rsidRPr="00FE4160" w:rsidRDefault="00292CFB" w:rsidP="007063E4">
      <w:pPr>
        <w:rPr>
          <w:rStyle w:val="Strong"/>
          <w:rFonts w:ascii="Verdana" w:hAnsi="Verdana"/>
          <w:b w:val="0"/>
          <w:sz w:val="22"/>
          <w:szCs w:val="22"/>
        </w:rPr>
      </w:pPr>
      <w:r w:rsidRPr="00FE4160">
        <w:rPr>
          <w:rStyle w:val="Strong"/>
          <w:rFonts w:ascii="Verdana" w:hAnsi="Verdana"/>
          <w:b w:val="0"/>
          <w:sz w:val="22"/>
          <w:szCs w:val="22"/>
        </w:rPr>
        <w:t>The EPA published draft</w:t>
      </w:r>
      <w:r w:rsidRPr="00FE4160">
        <w:rPr>
          <w:rFonts w:ascii="Verdana" w:hAnsi="Verdana"/>
          <w:sz w:val="22"/>
          <w:szCs w:val="22"/>
        </w:rPr>
        <w:t xml:space="preserve"> </w:t>
      </w:r>
      <w:r w:rsidRPr="00FE4160">
        <w:rPr>
          <w:rStyle w:val="Strong"/>
          <w:rFonts w:ascii="Verdana" w:hAnsi="Verdana"/>
          <w:b w:val="0"/>
          <w:sz w:val="22"/>
          <w:szCs w:val="22"/>
        </w:rPr>
        <w:t xml:space="preserve">nationally-recommended ambient water quality criteria and/or swimming advisories for microcystins and cylindrospermopsin to protect human health while recreating in freshwater. EPA is publishing these draft recommendations for states to consider for adoption as water quality standards in accordance with </w:t>
      </w:r>
      <w:r w:rsidR="00086153" w:rsidRPr="00FE4160">
        <w:rPr>
          <w:rStyle w:val="Strong"/>
          <w:rFonts w:ascii="Verdana" w:hAnsi="Verdana"/>
          <w:b w:val="0"/>
          <w:sz w:val="22"/>
          <w:szCs w:val="22"/>
        </w:rPr>
        <w:t xml:space="preserve">Section </w:t>
      </w:r>
      <w:r w:rsidRPr="00FE4160">
        <w:rPr>
          <w:rStyle w:val="Strong"/>
          <w:rFonts w:ascii="Verdana" w:hAnsi="Verdana"/>
          <w:b w:val="0"/>
          <w:sz w:val="22"/>
          <w:szCs w:val="22"/>
        </w:rPr>
        <w:t xml:space="preserve">303(c) of the </w:t>
      </w:r>
      <w:r w:rsidR="00E30FF4" w:rsidRPr="00FE4160">
        <w:rPr>
          <w:rStyle w:val="Strong"/>
          <w:rFonts w:ascii="Verdana" w:hAnsi="Verdana"/>
          <w:b w:val="0"/>
          <w:sz w:val="22"/>
          <w:szCs w:val="22"/>
        </w:rPr>
        <w:t>Clean Water Act (</w:t>
      </w:r>
      <w:r w:rsidRPr="00FE4160">
        <w:rPr>
          <w:rStyle w:val="Strong"/>
          <w:rFonts w:ascii="Verdana" w:hAnsi="Verdana"/>
          <w:b w:val="0"/>
          <w:sz w:val="22"/>
          <w:szCs w:val="22"/>
        </w:rPr>
        <w:t>CWA</w:t>
      </w:r>
      <w:r w:rsidR="00E30FF4" w:rsidRPr="00FE4160">
        <w:rPr>
          <w:rStyle w:val="Strong"/>
          <w:rFonts w:ascii="Verdana" w:hAnsi="Verdana"/>
          <w:b w:val="0"/>
          <w:sz w:val="22"/>
          <w:szCs w:val="22"/>
        </w:rPr>
        <w:t>)</w:t>
      </w:r>
      <w:r w:rsidRPr="00FE4160">
        <w:rPr>
          <w:rStyle w:val="Strong"/>
          <w:rFonts w:ascii="Verdana" w:hAnsi="Verdana"/>
          <w:b w:val="0"/>
          <w:sz w:val="22"/>
          <w:szCs w:val="22"/>
        </w:rPr>
        <w:t xml:space="preserve">, or for use as swimming advisory values to implement in state recreational water advisory programs. The EPA published the draft recommendations on December 19, 2016 in accordance with </w:t>
      </w:r>
      <w:r w:rsidR="00AA1DE4" w:rsidRPr="00FE4160">
        <w:rPr>
          <w:rStyle w:val="Strong"/>
          <w:rFonts w:ascii="Verdana" w:hAnsi="Verdana"/>
          <w:b w:val="0"/>
          <w:sz w:val="22"/>
          <w:szCs w:val="22"/>
        </w:rPr>
        <w:t>Section 304(a)(1) of the CWA</w:t>
      </w:r>
      <w:r w:rsidRPr="00FE4160">
        <w:rPr>
          <w:rStyle w:val="Strong"/>
          <w:rFonts w:ascii="Verdana" w:hAnsi="Verdana"/>
          <w:b w:val="0"/>
          <w:sz w:val="22"/>
          <w:szCs w:val="22"/>
        </w:rPr>
        <w:t xml:space="preserve">. </w:t>
      </w:r>
      <w:r w:rsidR="00EE2161" w:rsidRPr="00FE4160">
        <w:rPr>
          <w:rStyle w:val="Strong"/>
          <w:rFonts w:ascii="Verdana" w:hAnsi="Verdana"/>
          <w:b w:val="0"/>
          <w:sz w:val="22"/>
          <w:szCs w:val="22"/>
        </w:rPr>
        <w:t xml:space="preserve">The 60-day public comment period for the draft </w:t>
      </w:r>
      <w:r w:rsidR="0085095F" w:rsidRPr="00FE4160">
        <w:rPr>
          <w:rStyle w:val="Strong"/>
          <w:rFonts w:ascii="Verdana" w:hAnsi="Verdana"/>
          <w:b w:val="0"/>
          <w:sz w:val="22"/>
          <w:szCs w:val="22"/>
        </w:rPr>
        <w:t xml:space="preserve">criteria and/or advisories </w:t>
      </w:r>
      <w:r w:rsidR="00EE2161" w:rsidRPr="00FE4160">
        <w:rPr>
          <w:rStyle w:val="Strong"/>
          <w:rFonts w:ascii="Verdana" w:hAnsi="Verdana"/>
          <w:b w:val="0"/>
          <w:sz w:val="22"/>
          <w:szCs w:val="22"/>
        </w:rPr>
        <w:t>began on December 19, 2016</w:t>
      </w:r>
      <w:r w:rsidR="007D406B">
        <w:rPr>
          <w:rStyle w:val="Strong"/>
          <w:rFonts w:ascii="Verdana" w:hAnsi="Verdana"/>
          <w:b w:val="0"/>
          <w:sz w:val="22"/>
          <w:szCs w:val="22"/>
        </w:rPr>
        <w:t xml:space="preserve"> and was extended for an additional 31 days, until March 20, 2017</w:t>
      </w:r>
      <w:r w:rsidR="00EE2161" w:rsidRPr="00FE4160">
        <w:rPr>
          <w:rStyle w:val="Strong"/>
          <w:rFonts w:ascii="Verdana" w:hAnsi="Verdana"/>
          <w:b w:val="0"/>
          <w:sz w:val="22"/>
          <w:szCs w:val="22"/>
        </w:rPr>
        <w:t xml:space="preserve">. </w:t>
      </w:r>
      <w:r w:rsidR="00AA1DE4" w:rsidRPr="00FE4160">
        <w:rPr>
          <w:rStyle w:val="Strong"/>
          <w:rFonts w:ascii="Verdana" w:hAnsi="Verdana"/>
          <w:b w:val="0"/>
          <w:sz w:val="22"/>
          <w:szCs w:val="22"/>
        </w:rPr>
        <w:t>EPA is seeking public comment on the proposed draft criteri</w:t>
      </w:r>
      <w:r w:rsidR="00EE2161" w:rsidRPr="00FE4160">
        <w:rPr>
          <w:rStyle w:val="Strong"/>
          <w:rFonts w:ascii="Verdana" w:hAnsi="Verdana"/>
          <w:b w:val="0"/>
          <w:sz w:val="22"/>
          <w:szCs w:val="22"/>
        </w:rPr>
        <w:t>a and/or advisories</w:t>
      </w:r>
      <w:r w:rsidR="00AA1DE4" w:rsidRPr="00FE4160">
        <w:rPr>
          <w:rStyle w:val="Strong"/>
          <w:rFonts w:ascii="Verdana" w:hAnsi="Verdana"/>
          <w:b w:val="0"/>
          <w:sz w:val="22"/>
          <w:szCs w:val="22"/>
        </w:rPr>
        <w:t xml:space="preserve">, as well as additional scientific </w:t>
      </w:r>
      <w:r w:rsidR="00EE2161" w:rsidRPr="00FE4160">
        <w:rPr>
          <w:rStyle w:val="Strong"/>
          <w:rFonts w:ascii="Verdana" w:hAnsi="Verdana"/>
          <w:b w:val="0"/>
          <w:sz w:val="22"/>
          <w:szCs w:val="22"/>
        </w:rPr>
        <w:t xml:space="preserve">views, data and </w:t>
      </w:r>
      <w:r w:rsidR="00AA1DE4" w:rsidRPr="00FE4160">
        <w:rPr>
          <w:rStyle w:val="Strong"/>
          <w:rFonts w:ascii="Verdana" w:hAnsi="Verdana"/>
          <w:b w:val="0"/>
          <w:sz w:val="22"/>
          <w:szCs w:val="22"/>
        </w:rPr>
        <w:t xml:space="preserve">information regarding the </w:t>
      </w:r>
      <w:r w:rsidR="00EE2161" w:rsidRPr="00FE4160">
        <w:rPr>
          <w:rStyle w:val="Strong"/>
          <w:rFonts w:ascii="Verdana" w:hAnsi="Verdana"/>
          <w:b w:val="0"/>
          <w:sz w:val="22"/>
          <w:szCs w:val="22"/>
        </w:rPr>
        <w:t>technical approach used to develop the draft criteria and/or advisories</w:t>
      </w:r>
      <w:r w:rsidR="00AA1DE4" w:rsidRPr="00FE4160">
        <w:rPr>
          <w:rStyle w:val="Strong"/>
          <w:rFonts w:ascii="Verdana" w:hAnsi="Verdana"/>
          <w:b w:val="0"/>
          <w:sz w:val="22"/>
          <w:szCs w:val="22"/>
        </w:rPr>
        <w:t xml:space="preserve">.  </w:t>
      </w:r>
    </w:p>
    <w:p w14:paraId="0334110E" w14:textId="77777777" w:rsidR="00395FAA" w:rsidRPr="00FE4160" w:rsidRDefault="00395FAA" w:rsidP="007063E4">
      <w:pPr>
        <w:rPr>
          <w:rStyle w:val="Strong"/>
          <w:rFonts w:ascii="Verdana" w:hAnsi="Verdana"/>
          <w:b w:val="0"/>
          <w:sz w:val="22"/>
          <w:szCs w:val="22"/>
        </w:rPr>
      </w:pPr>
    </w:p>
    <w:p w14:paraId="15EBD98D" w14:textId="77777777" w:rsidR="006B2F92" w:rsidRDefault="00AA1DE4" w:rsidP="007063E4">
      <w:pPr>
        <w:rPr>
          <w:rStyle w:val="Strong"/>
          <w:rFonts w:ascii="Verdana" w:hAnsi="Verdana"/>
          <w:b w:val="0"/>
          <w:sz w:val="22"/>
          <w:szCs w:val="22"/>
        </w:rPr>
      </w:pPr>
      <w:r w:rsidRPr="00FE4160">
        <w:rPr>
          <w:rStyle w:val="Strong"/>
          <w:rFonts w:ascii="Verdana" w:hAnsi="Verdana"/>
          <w:b w:val="0"/>
          <w:sz w:val="22"/>
          <w:szCs w:val="22"/>
        </w:rPr>
        <w:t xml:space="preserve">The EPA’s proposed draft </w:t>
      </w:r>
      <w:r w:rsidR="00CE4D47">
        <w:rPr>
          <w:rStyle w:val="Strong"/>
          <w:rFonts w:ascii="Verdana" w:hAnsi="Verdana"/>
          <w:b w:val="0"/>
          <w:sz w:val="22"/>
          <w:szCs w:val="22"/>
        </w:rPr>
        <w:t xml:space="preserve">water quality </w:t>
      </w:r>
      <w:r w:rsidRPr="00FE4160">
        <w:rPr>
          <w:rStyle w:val="Strong"/>
          <w:rFonts w:ascii="Verdana" w:hAnsi="Verdana"/>
          <w:b w:val="0"/>
          <w:sz w:val="22"/>
          <w:szCs w:val="22"/>
        </w:rPr>
        <w:t>criteri</w:t>
      </w:r>
      <w:r w:rsidR="00EE2161" w:rsidRPr="00FE4160">
        <w:rPr>
          <w:rStyle w:val="Strong"/>
          <w:rFonts w:ascii="Verdana" w:hAnsi="Verdana"/>
          <w:b w:val="0"/>
          <w:sz w:val="22"/>
          <w:szCs w:val="22"/>
        </w:rPr>
        <w:t>a</w:t>
      </w:r>
      <w:r w:rsidR="00F46599" w:rsidRPr="00FE4160">
        <w:rPr>
          <w:rStyle w:val="Strong"/>
          <w:rFonts w:ascii="Verdana" w:hAnsi="Verdana"/>
          <w:b w:val="0"/>
          <w:sz w:val="22"/>
          <w:szCs w:val="22"/>
        </w:rPr>
        <w:t xml:space="preserve"> and/or advisories</w:t>
      </w:r>
      <w:r w:rsidR="00EE2161" w:rsidRPr="00FE4160">
        <w:rPr>
          <w:rStyle w:val="Strong"/>
          <w:rFonts w:ascii="Verdana" w:hAnsi="Verdana"/>
          <w:b w:val="0"/>
          <w:sz w:val="22"/>
          <w:szCs w:val="22"/>
        </w:rPr>
        <w:t xml:space="preserve"> to protect recreational uses</w:t>
      </w:r>
      <w:r w:rsidRPr="00FE4160">
        <w:rPr>
          <w:rStyle w:val="Strong"/>
          <w:rFonts w:ascii="Verdana" w:hAnsi="Verdana"/>
          <w:b w:val="0"/>
          <w:sz w:val="22"/>
          <w:szCs w:val="22"/>
        </w:rPr>
        <w:t xml:space="preserve"> </w:t>
      </w:r>
      <w:r w:rsidR="00EE2161" w:rsidRPr="00FE4160">
        <w:rPr>
          <w:rStyle w:val="Strong"/>
          <w:rFonts w:ascii="Verdana" w:hAnsi="Verdana"/>
          <w:b w:val="0"/>
          <w:sz w:val="22"/>
          <w:szCs w:val="22"/>
        </w:rPr>
        <w:t>is as follows</w:t>
      </w:r>
      <w:r w:rsidR="00395FAA" w:rsidRPr="00FE4160">
        <w:rPr>
          <w:rStyle w:val="Strong"/>
          <w:rFonts w:ascii="Verdana" w:hAnsi="Verdana"/>
          <w:b w:val="0"/>
          <w:sz w:val="22"/>
          <w:szCs w:val="22"/>
        </w:rPr>
        <w:t xml:space="preserve">: </w:t>
      </w:r>
    </w:p>
    <w:p w14:paraId="42466A46" w14:textId="122E5AE7" w:rsidR="006B2F92" w:rsidRDefault="006B2F92" w:rsidP="00435F2C">
      <w:pPr>
        <w:pStyle w:val="ListParagraph"/>
        <w:numPr>
          <w:ilvl w:val="0"/>
          <w:numId w:val="24"/>
        </w:numPr>
        <w:rPr>
          <w:rStyle w:val="Strong"/>
          <w:rFonts w:ascii="Verdana" w:hAnsi="Verdana"/>
          <w:b w:val="0"/>
          <w:sz w:val="22"/>
          <w:szCs w:val="22"/>
        </w:rPr>
      </w:pPr>
      <w:r>
        <w:rPr>
          <w:rStyle w:val="Strong"/>
          <w:rFonts w:ascii="Verdana" w:hAnsi="Verdana"/>
          <w:b w:val="0"/>
          <w:sz w:val="22"/>
          <w:szCs w:val="22"/>
        </w:rPr>
        <w:t>When used as water quality criteria</w:t>
      </w:r>
      <w:r w:rsidR="00374209">
        <w:rPr>
          <w:rStyle w:val="Strong"/>
          <w:rFonts w:ascii="Verdana" w:hAnsi="Verdana"/>
          <w:b w:val="0"/>
          <w:sz w:val="22"/>
          <w:szCs w:val="22"/>
        </w:rPr>
        <w:t xml:space="preserve"> to be adopted into state water quality standards, the recommendations are</w:t>
      </w:r>
      <w:r>
        <w:rPr>
          <w:rStyle w:val="Strong"/>
          <w:rFonts w:ascii="Verdana" w:hAnsi="Verdana"/>
          <w:b w:val="0"/>
          <w:sz w:val="22"/>
          <w:szCs w:val="22"/>
        </w:rPr>
        <w:t>:</w:t>
      </w:r>
    </w:p>
    <w:p w14:paraId="074E837D" w14:textId="579DF322" w:rsidR="006B2F92" w:rsidRDefault="006B2F92" w:rsidP="00435F2C">
      <w:pPr>
        <w:pStyle w:val="ListParagraph"/>
        <w:numPr>
          <w:ilvl w:val="1"/>
          <w:numId w:val="24"/>
        </w:numPr>
        <w:rPr>
          <w:rStyle w:val="Strong"/>
          <w:rFonts w:ascii="Verdana" w:hAnsi="Verdana"/>
          <w:b w:val="0"/>
          <w:sz w:val="22"/>
          <w:szCs w:val="22"/>
        </w:rPr>
      </w:pPr>
      <w:r>
        <w:rPr>
          <w:rStyle w:val="Strong"/>
          <w:rFonts w:ascii="Verdana" w:hAnsi="Verdana"/>
          <w:b w:val="0"/>
          <w:sz w:val="22"/>
          <w:szCs w:val="22"/>
        </w:rPr>
        <w:t>T</w:t>
      </w:r>
      <w:r w:rsidRPr="006B2F92">
        <w:rPr>
          <w:rStyle w:val="Strong"/>
          <w:rFonts w:ascii="Verdana" w:hAnsi="Verdana"/>
          <w:b w:val="0"/>
          <w:sz w:val="22"/>
          <w:szCs w:val="22"/>
        </w:rPr>
        <w:t xml:space="preserve">he </w:t>
      </w:r>
      <w:r w:rsidR="00EE2161" w:rsidRPr="006B2F92">
        <w:rPr>
          <w:rStyle w:val="Strong"/>
          <w:rFonts w:ascii="Verdana" w:hAnsi="Verdana"/>
          <w:b w:val="0"/>
          <w:sz w:val="22"/>
          <w:szCs w:val="22"/>
        </w:rPr>
        <w:t>concentrations of microcystins shall not exceed 4 ug/L more than 10 percent of the days in a recreational season</w:t>
      </w:r>
      <w:r w:rsidR="00395FAA" w:rsidRPr="006B2F92">
        <w:rPr>
          <w:rStyle w:val="Strong"/>
          <w:rFonts w:ascii="Verdana" w:hAnsi="Verdana"/>
          <w:b w:val="0"/>
          <w:sz w:val="22"/>
          <w:szCs w:val="22"/>
        </w:rPr>
        <w:t xml:space="preserve"> (up to a year)</w:t>
      </w:r>
      <w:r w:rsidR="00460A4F">
        <w:rPr>
          <w:rStyle w:val="Strong"/>
          <w:rFonts w:ascii="Verdana" w:hAnsi="Verdana"/>
          <w:b w:val="0"/>
          <w:sz w:val="22"/>
          <w:szCs w:val="22"/>
        </w:rPr>
        <w:t>.</w:t>
      </w:r>
      <w:r w:rsidR="00EE2161" w:rsidRPr="006B2F92">
        <w:rPr>
          <w:rStyle w:val="Strong"/>
          <w:rFonts w:ascii="Verdana" w:hAnsi="Verdana"/>
          <w:b w:val="0"/>
          <w:sz w:val="22"/>
          <w:szCs w:val="22"/>
        </w:rPr>
        <w:t xml:space="preserve"> </w:t>
      </w:r>
    </w:p>
    <w:p w14:paraId="78558F9F" w14:textId="61855630" w:rsidR="006B2F92" w:rsidRDefault="006B2F92" w:rsidP="00435F2C">
      <w:pPr>
        <w:pStyle w:val="ListParagraph"/>
        <w:numPr>
          <w:ilvl w:val="1"/>
          <w:numId w:val="24"/>
        </w:numPr>
        <w:rPr>
          <w:rStyle w:val="Strong"/>
          <w:rFonts w:ascii="Verdana" w:hAnsi="Verdana"/>
          <w:b w:val="0"/>
          <w:sz w:val="22"/>
          <w:szCs w:val="22"/>
        </w:rPr>
      </w:pPr>
      <w:r>
        <w:rPr>
          <w:rStyle w:val="Strong"/>
          <w:rFonts w:ascii="Verdana" w:hAnsi="Verdana"/>
          <w:b w:val="0"/>
          <w:sz w:val="22"/>
          <w:szCs w:val="22"/>
        </w:rPr>
        <w:t>T</w:t>
      </w:r>
      <w:r w:rsidR="00EE2161" w:rsidRPr="006B2F92">
        <w:rPr>
          <w:rStyle w:val="Strong"/>
          <w:rFonts w:ascii="Verdana" w:hAnsi="Verdana"/>
          <w:b w:val="0"/>
          <w:sz w:val="22"/>
          <w:szCs w:val="22"/>
        </w:rPr>
        <w:t>he concentration of cylindrospermopsin shall not exceed 8</w:t>
      </w:r>
      <w:r w:rsidR="00B375E3" w:rsidRPr="006B2F92">
        <w:rPr>
          <w:rStyle w:val="Strong"/>
          <w:rFonts w:ascii="Verdana" w:hAnsi="Verdana"/>
          <w:b w:val="0"/>
          <w:sz w:val="22"/>
          <w:szCs w:val="22"/>
        </w:rPr>
        <w:t xml:space="preserve"> </w:t>
      </w:r>
      <w:r w:rsidR="00EE2161" w:rsidRPr="006B2F92">
        <w:rPr>
          <w:rStyle w:val="Strong"/>
          <w:rFonts w:ascii="Verdana" w:hAnsi="Verdana"/>
          <w:b w:val="0"/>
          <w:sz w:val="22"/>
          <w:szCs w:val="22"/>
        </w:rPr>
        <w:t>ug/L more than 10 percent of the days in a recreational season</w:t>
      </w:r>
      <w:r w:rsidR="00395FAA" w:rsidRPr="006B2F92">
        <w:rPr>
          <w:rStyle w:val="Strong"/>
          <w:rFonts w:ascii="Verdana" w:hAnsi="Verdana"/>
          <w:b w:val="0"/>
          <w:sz w:val="22"/>
          <w:szCs w:val="22"/>
        </w:rPr>
        <w:t xml:space="preserve"> (up to a year)</w:t>
      </w:r>
      <w:r w:rsidR="00EE2161" w:rsidRPr="006B2F92">
        <w:rPr>
          <w:rStyle w:val="Strong"/>
          <w:rFonts w:ascii="Verdana" w:hAnsi="Verdana"/>
          <w:b w:val="0"/>
          <w:sz w:val="22"/>
          <w:szCs w:val="22"/>
        </w:rPr>
        <w:t xml:space="preserve">.  </w:t>
      </w:r>
    </w:p>
    <w:p w14:paraId="4DA81F5C" w14:textId="2A0E7E7D" w:rsidR="006B2F92" w:rsidRDefault="0053098A" w:rsidP="00435F2C">
      <w:pPr>
        <w:pStyle w:val="ListParagraph"/>
        <w:numPr>
          <w:ilvl w:val="0"/>
          <w:numId w:val="24"/>
        </w:numPr>
        <w:rPr>
          <w:rStyle w:val="Strong"/>
          <w:rFonts w:ascii="Verdana" w:hAnsi="Verdana"/>
          <w:b w:val="0"/>
          <w:sz w:val="22"/>
          <w:szCs w:val="22"/>
        </w:rPr>
      </w:pPr>
      <w:r w:rsidRPr="006B2F92">
        <w:rPr>
          <w:rStyle w:val="Strong"/>
          <w:rFonts w:ascii="Verdana" w:hAnsi="Verdana"/>
          <w:b w:val="0"/>
          <w:sz w:val="22"/>
          <w:szCs w:val="22"/>
        </w:rPr>
        <w:t>When u</w:t>
      </w:r>
      <w:r w:rsidR="00DE50A5" w:rsidRPr="006B2F92">
        <w:rPr>
          <w:rStyle w:val="Strong"/>
          <w:rFonts w:ascii="Verdana" w:hAnsi="Verdana"/>
          <w:b w:val="0"/>
          <w:sz w:val="22"/>
          <w:szCs w:val="22"/>
        </w:rPr>
        <w:t xml:space="preserve">sed as swimming advisories to protect for short-term exposure scenarios, the recommendations are:  </w:t>
      </w:r>
    </w:p>
    <w:p w14:paraId="6873A284" w14:textId="3E35E007" w:rsidR="006B2F92" w:rsidRDefault="006B2F92" w:rsidP="00435F2C">
      <w:pPr>
        <w:pStyle w:val="ListParagraph"/>
        <w:numPr>
          <w:ilvl w:val="1"/>
          <w:numId w:val="24"/>
        </w:numPr>
        <w:rPr>
          <w:rStyle w:val="Strong"/>
          <w:rFonts w:ascii="Verdana" w:hAnsi="Verdana"/>
          <w:b w:val="0"/>
          <w:sz w:val="22"/>
          <w:szCs w:val="22"/>
        </w:rPr>
      </w:pPr>
      <w:r>
        <w:rPr>
          <w:rStyle w:val="Strong"/>
          <w:rFonts w:ascii="Verdana" w:hAnsi="Verdana"/>
          <w:b w:val="0"/>
          <w:sz w:val="22"/>
          <w:szCs w:val="22"/>
        </w:rPr>
        <w:t>T</w:t>
      </w:r>
      <w:r w:rsidR="00DE50A5" w:rsidRPr="006B2F92">
        <w:rPr>
          <w:rStyle w:val="Strong"/>
          <w:rFonts w:ascii="Verdana" w:hAnsi="Verdana"/>
          <w:b w:val="0"/>
          <w:sz w:val="22"/>
          <w:szCs w:val="22"/>
        </w:rPr>
        <w:t>he concentration of microcystins shall not exceed 4 ug/L in a day</w:t>
      </w:r>
      <w:r w:rsidR="00460A4F">
        <w:rPr>
          <w:rStyle w:val="Strong"/>
          <w:rFonts w:ascii="Verdana" w:hAnsi="Verdana"/>
          <w:b w:val="0"/>
          <w:sz w:val="22"/>
          <w:szCs w:val="22"/>
        </w:rPr>
        <w:t xml:space="preserve">. </w:t>
      </w:r>
      <w:r w:rsidR="00DE50A5" w:rsidRPr="006B2F92">
        <w:rPr>
          <w:rStyle w:val="Strong"/>
          <w:rFonts w:ascii="Verdana" w:hAnsi="Verdana"/>
          <w:b w:val="0"/>
          <w:sz w:val="22"/>
          <w:szCs w:val="22"/>
        </w:rPr>
        <w:t xml:space="preserve"> </w:t>
      </w:r>
    </w:p>
    <w:p w14:paraId="1616ACB4" w14:textId="33E04A81" w:rsidR="00EE2161" w:rsidRPr="006B2F92" w:rsidRDefault="006B2F92" w:rsidP="00435F2C">
      <w:pPr>
        <w:pStyle w:val="ListParagraph"/>
        <w:numPr>
          <w:ilvl w:val="1"/>
          <w:numId w:val="24"/>
        </w:numPr>
        <w:rPr>
          <w:rStyle w:val="Strong"/>
          <w:rFonts w:ascii="Verdana" w:hAnsi="Verdana"/>
          <w:b w:val="0"/>
          <w:sz w:val="22"/>
          <w:szCs w:val="22"/>
        </w:rPr>
      </w:pPr>
      <w:r>
        <w:rPr>
          <w:rStyle w:val="Strong"/>
          <w:rFonts w:ascii="Verdana" w:hAnsi="Verdana"/>
          <w:b w:val="0"/>
          <w:sz w:val="22"/>
          <w:szCs w:val="22"/>
        </w:rPr>
        <w:t>T</w:t>
      </w:r>
      <w:r w:rsidR="00DE50A5" w:rsidRPr="006B2F92">
        <w:rPr>
          <w:rStyle w:val="Strong"/>
          <w:rFonts w:ascii="Verdana" w:hAnsi="Verdana"/>
          <w:b w:val="0"/>
          <w:sz w:val="22"/>
          <w:szCs w:val="22"/>
        </w:rPr>
        <w:t>he concentration of cylindrospermopsin shall not exceed 8</w:t>
      </w:r>
      <w:r w:rsidR="00AC5B8E" w:rsidRPr="006B2F92">
        <w:rPr>
          <w:rStyle w:val="Strong"/>
          <w:rFonts w:ascii="Verdana" w:hAnsi="Verdana"/>
          <w:b w:val="0"/>
          <w:sz w:val="22"/>
          <w:szCs w:val="22"/>
        </w:rPr>
        <w:t xml:space="preserve"> </w:t>
      </w:r>
      <w:r w:rsidR="00DE50A5" w:rsidRPr="006B2F92">
        <w:rPr>
          <w:rStyle w:val="Strong"/>
          <w:rFonts w:ascii="Verdana" w:hAnsi="Verdana"/>
          <w:b w:val="0"/>
          <w:sz w:val="22"/>
          <w:szCs w:val="22"/>
        </w:rPr>
        <w:t xml:space="preserve">ug/L in a day.  </w:t>
      </w:r>
    </w:p>
    <w:p w14:paraId="7A75CA9D" w14:textId="77777777" w:rsidR="00365409" w:rsidRPr="00FE4160" w:rsidRDefault="00365409" w:rsidP="00597F34">
      <w:pPr>
        <w:rPr>
          <w:rStyle w:val="Strong"/>
          <w:rFonts w:ascii="Verdana" w:hAnsi="Verdana"/>
          <w:b w:val="0"/>
          <w:sz w:val="22"/>
          <w:szCs w:val="22"/>
        </w:rPr>
      </w:pPr>
    </w:p>
    <w:p w14:paraId="2A967D13" w14:textId="77777777" w:rsidR="00597F34" w:rsidRPr="00FE4160" w:rsidRDefault="00597F34" w:rsidP="00597F34">
      <w:pPr>
        <w:rPr>
          <w:rFonts w:ascii="Verdana" w:hAnsi="Verdana"/>
          <w:sz w:val="22"/>
          <w:szCs w:val="22"/>
        </w:rPr>
      </w:pPr>
      <w:r w:rsidRPr="00FE4160">
        <w:rPr>
          <w:rStyle w:val="Strong"/>
          <w:rFonts w:ascii="Verdana" w:hAnsi="Verdana"/>
          <w:sz w:val="22"/>
          <w:szCs w:val="22"/>
        </w:rPr>
        <w:t xml:space="preserve">Summary of Comments: </w:t>
      </w:r>
      <w:r w:rsidRPr="00FE4160">
        <w:rPr>
          <w:rFonts w:ascii="Verdana" w:hAnsi="Verdana"/>
          <w:sz w:val="22"/>
          <w:szCs w:val="22"/>
        </w:rPr>
        <w:t xml:space="preserve"> </w:t>
      </w:r>
    </w:p>
    <w:p w14:paraId="6A4903D6" w14:textId="77777777" w:rsidR="004B4131" w:rsidRPr="00FE4160" w:rsidRDefault="004B4131" w:rsidP="00597F34">
      <w:pPr>
        <w:rPr>
          <w:rFonts w:ascii="Verdana" w:hAnsi="Verdana"/>
          <w:sz w:val="22"/>
          <w:szCs w:val="22"/>
        </w:rPr>
      </w:pPr>
    </w:p>
    <w:p w14:paraId="643EBA82" w14:textId="04BB90B5" w:rsidR="00FE676D" w:rsidRDefault="00FE676D" w:rsidP="00597F34">
      <w:pPr>
        <w:rPr>
          <w:rFonts w:ascii="Verdana" w:hAnsi="Verdana"/>
          <w:sz w:val="22"/>
          <w:szCs w:val="22"/>
        </w:rPr>
      </w:pPr>
      <w:r w:rsidRPr="00FE676D">
        <w:rPr>
          <w:rFonts w:ascii="Verdana" w:hAnsi="Verdana"/>
          <w:sz w:val="22"/>
          <w:szCs w:val="22"/>
        </w:rPr>
        <w:t>Considerable uncertainty exists regarding how these criteria and/or advisories would be implemented in regulatory programs under the CWA, particularly since control of cyanotoxins may require the control of causal pollutants such as nutrients. The causal relationship between nutrients and production of cyanotoxins by cyanobacteria has not been well-established, and is very likely site-specific. Additional clarity, information, and guidance is needed to effectively incorporate these recommendations into state water quality management processes.</w:t>
      </w:r>
    </w:p>
    <w:p w14:paraId="0F4E6E36" w14:textId="77777777" w:rsidR="00FE676D" w:rsidRDefault="00FE676D" w:rsidP="00597F34">
      <w:pPr>
        <w:rPr>
          <w:rFonts w:ascii="Verdana" w:hAnsi="Verdana"/>
          <w:sz w:val="22"/>
          <w:szCs w:val="22"/>
        </w:rPr>
      </w:pPr>
    </w:p>
    <w:p w14:paraId="1D01DF7B" w14:textId="3E970829" w:rsidR="00CE4D47" w:rsidRDefault="00292CFB" w:rsidP="00597F34">
      <w:pPr>
        <w:rPr>
          <w:rFonts w:ascii="Verdana" w:hAnsi="Verdana"/>
          <w:sz w:val="22"/>
          <w:szCs w:val="22"/>
        </w:rPr>
      </w:pPr>
      <w:r w:rsidRPr="00FE4160">
        <w:rPr>
          <w:rFonts w:ascii="Verdana" w:hAnsi="Verdana"/>
          <w:sz w:val="22"/>
          <w:szCs w:val="22"/>
        </w:rPr>
        <w:t>If TCEQ w</w:t>
      </w:r>
      <w:r w:rsidR="00271120" w:rsidRPr="00FE4160">
        <w:rPr>
          <w:rFonts w:ascii="Verdana" w:hAnsi="Verdana"/>
          <w:sz w:val="22"/>
          <w:szCs w:val="22"/>
        </w:rPr>
        <w:t>ere to</w:t>
      </w:r>
      <w:r w:rsidRPr="00FE4160">
        <w:rPr>
          <w:rFonts w:ascii="Verdana" w:hAnsi="Verdana"/>
          <w:sz w:val="22"/>
          <w:szCs w:val="22"/>
        </w:rPr>
        <w:t xml:space="preserve"> adopt the </w:t>
      </w:r>
      <w:r w:rsidR="00B375E3" w:rsidRPr="00FE4160">
        <w:rPr>
          <w:rFonts w:ascii="Verdana" w:hAnsi="Verdana"/>
          <w:sz w:val="22"/>
          <w:szCs w:val="22"/>
        </w:rPr>
        <w:t>criteri</w:t>
      </w:r>
      <w:r w:rsidR="00B375E3">
        <w:rPr>
          <w:rFonts w:ascii="Verdana" w:hAnsi="Verdana"/>
          <w:sz w:val="22"/>
          <w:szCs w:val="22"/>
        </w:rPr>
        <w:t>a</w:t>
      </w:r>
      <w:r w:rsidR="00B375E3" w:rsidRPr="00FE4160">
        <w:rPr>
          <w:rFonts w:ascii="Verdana" w:hAnsi="Verdana"/>
          <w:sz w:val="22"/>
          <w:szCs w:val="22"/>
        </w:rPr>
        <w:t xml:space="preserve"> </w:t>
      </w:r>
      <w:r w:rsidRPr="00FE4160">
        <w:rPr>
          <w:rFonts w:ascii="Verdana" w:hAnsi="Verdana"/>
          <w:sz w:val="22"/>
          <w:szCs w:val="22"/>
        </w:rPr>
        <w:t>published by EPA, it has the potential to affect the development of the Texas Surface Water Quality Standards</w:t>
      </w:r>
      <w:r w:rsidR="00860D1D" w:rsidRPr="00FE4160">
        <w:rPr>
          <w:rFonts w:ascii="Verdana" w:hAnsi="Verdana"/>
          <w:sz w:val="22"/>
          <w:szCs w:val="22"/>
        </w:rPr>
        <w:t xml:space="preserve"> (TSWQS)</w:t>
      </w:r>
      <w:r w:rsidRPr="00FE4160">
        <w:rPr>
          <w:rFonts w:ascii="Verdana" w:hAnsi="Verdana"/>
          <w:sz w:val="22"/>
          <w:szCs w:val="22"/>
        </w:rPr>
        <w:t>, and implementation of the standards in monitoring</w:t>
      </w:r>
      <w:r w:rsidR="009328B5" w:rsidRPr="00FE4160">
        <w:rPr>
          <w:rFonts w:ascii="Verdana" w:hAnsi="Verdana"/>
          <w:sz w:val="22"/>
          <w:szCs w:val="22"/>
        </w:rPr>
        <w:t>,</w:t>
      </w:r>
      <w:r w:rsidRPr="00FE4160">
        <w:rPr>
          <w:rFonts w:ascii="Verdana" w:hAnsi="Verdana"/>
          <w:sz w:val="22"/>
          <w:szCs w:val="22"/>
        </w:rPr>
        <w:t xml:space="preserve"> assessment</w:t>
      </w:r>
      <w:r w:rsidR="0028227D" w:rsidRPr="00FE4160">
        <w:rPr>
          <w:rFonts w:ascii="Verdana" w:hAnsi="Verdana"/>
          <w:sz w:val="22"/>
          <w:szCs w:val="22"/>
        </w:rPr>
        <w:t>s</w:t>
      </w:r>
      <w:r w:rsidR="009328B5" w:rsidRPr="00FE4160">
        <w:rPr>
          <w:rFonts w:ascii="Verdana" w:hAnsi="Verdana"/>
          <w:sz w:val="22"/>
          <w:szCs w:val="22"/>
        </w:rPr>
        <w:t>, total maximum daily loads (TMDLs) and wastewater permitting</w:t>
      </w:r>
      <w:r w:rsidR="0028227D" w:rsidRPr="00FE4160">
        <w:rPr>
          <w:rFonts w:ascii="Verdana" w:hAnsi="Verdana"/>
          <w:sz w:val="22"/>
          <w:szCs w:val="22"/>
        </w:rPr>
        <w:t xml:space="preserve">. </w:t>
      </w:r>
      <w:r w:rsidR="00462A73" w:rsidRPr="00FE4160">
        <w:rPr>
          <w:rFonts w:ascii="Verdana" w:hAnsi="Verdana"/>
          <w:sz w:val="22"/>
          <w:szCs w:val="22"/>
        </w:rPr>
        <w:t xml:space="preserve">States must adopt water quality criteria that protect designated uses and, if appropriate, modify those criteria once every three years. The State of Texas has not adopted recreational criteria in the form of cyanotoxins into the </w:t>
      </w:r>
      <w:r w:rsidR="00860D1D" w:rsidRPr="00FE4160">
        <w:rPr>
          <w:rFonts w:ascii="Verdana" w:hAnsi="Verdana"/>
          <w:sz w:val="22"/>
          <w:szCs w:val="22"/>
        </w:rPr>
        <w:t>TSWQS</w:t>
      </w:r>
      <w:r w:rsidR="00462A73" w:rsidRPr="00FE4160">
        <w:rPr>
          <w:rFonts w:ascii="Verdana" w:hAnsi="Verdana"/>
          <w:sz w:val="22"/>
          <w:szCs w:val="22"/>
        </w:rPr>
        <w:t xml:space="preserve">, </w:t>
      </w:r>
      <w:r w:rsidR="00086153" w:rsidRPr="00FE4160">
        <w:rPr>
          <w:rFonts w:ascii="Verdana" w:hAnsi="Verdana"/>
          <w:sz w:val="22"/>
          <w:szCs w:val="22"/>
        </w:rPr>
        <w:t xml:space="preserve">Title 30 </w:t>
      </w:r>
      <w:r w:rsidR="00462A73" w:rsidRPr="00FE4160">
        <w:rPr>
          <w:rFonts w:ascii="Verdana" w:hAnsi="Verdana"/>
          <w:sz w:val="22"/>
          <w:szCs w:val="22"/>
        </w:rPr>
        <w:t xml:space="preserve">Texas Administrative Code (TAC), Chapter 307. Additionally, </w:t>
      </w:r>
      <w:r w:rsidR="0028227D" w:rsidRPr="00FE4160">
        <w:rPr>
          <w:rFonts w:ascii="Verdana" w:hAnsi="Verdana"/>
          <w:sz w:val="22"/>
          <w:szCs w:val="22"/>
        </w:rPr>
        <w:t xml:space="preserve">use of EPA’s recommendations as swimming advisories would </w:t>
      </w:r>
      <w:r w:rsidR="007D5037" w:rsidRPr="00FE4160">
        <w:rPr>
          <w:rFonts w:ascii="Verdana" w:hAnsi="Verdana"/>
          <w:sz w:val="22"/>
          <w:szCs w:val="22"/>
        </w:rPr>
        <w:t xml:space="preserve">require extensive coordination with agencies who are members </w:t>
      </w:r>
      <w:r w:rsidR="005F3F66" w:rsidRPr="00FE4160">
        <w:rPr>
          <w:rFonts w:ascii="Verdana" w:hAnsi="Verdana"/>
          <w:sz w:val="22"/>
          <w:szCs w:val="22"/>
        </w:rPr>
        <w:t>of</w:t>
      </w:r>
      <w:r w:rsidR="0028227D" w:rsidRPr="00FE4160">
        <w:rPr>
          <w:rFonts w:ascii="Verdana" w:hAnsi="Verdana"/>
          <w:sz w:val="22"/>
          <w:szCs w:val="22"/>
        </w:rPr>
        <w:t xml:space="preserve"> </w:t>
      </w:r>
      <w:r w:rsidR="0045067F" w:rsidRPr="00FE4160">
        <w:rPr>
          <w:rFonts w:ascii="Verdana" w:hAnsi="Verdana"/>
          <w:sz w:val="22"/>
          <w:szCs w:val="22"/>
        </w:rPr>
        <w:t>the Texas Toxic Substances Coordinating Committee</w:t>
      </w:r>
      <w:r w:rsidR="00D12569" w:rsidRPr="00FE4160">
        <w:rPr>
          <w:rFonts w:ascii="Verdana" w:hAnsi="Verdana"/>
          <w:sz w:val="22"/>
          <w:szCs w:val="22"/>
        </w:rPr>
        <w:t xml:space="preserve"> (TSCC)</w:t>
      </w:r>
      <w:r w:rsidR="009328B5" w:rsidRPr="00FE4160">
        <w:rPr>
          <w:rFonts w:ascii="Verdana" w:hAnsi="Verdana"/>
          <w:sz w:val="22"/>
          <w:szCs w:val="22"/>
        </w:rPr>
        <w:t xml:space="preserve">. </w:t>
      </w:r>
      <w:r w:rsidR="0028227D" w:rsidRPr="00FE4160">
        <w:rPr>
          <w:rFonts w:ascii="Verdana" w:hAnsi="Verdana"/>
          <w:sz w:val="22"/>
          <w:szCs w:val="22"/>
        </w:rPr>
        <w:t>This committee</w:t>
      </w:r>
      <w:r w:rsidR="0045067F" w:rsidRPr="00FE4160">
        <w:rPr>
          <w:rFonts w:ascii="Verdana" w:hAnsi="Verdana"/>
          <w:sz w:val="22"/>
          <w:szCs w:val="22"/>
        </w:rPr>
        <w:t xml:space="preserve"> facilitates coordination among member agencies concerning each agency’s efforts to regulate toxic substances and harmful physical agents</w:t>
      </w:r>
      <w:r w:rsidR="00D12569" w:rsidRPr="00FE4160">
        <w:rPr>
          <w:rFonts w:ascii="Verdana" w:hAnsi="Verdana"/>
          <w:sz w:val="22"/>
          <w:szCs w:val="22"/>
        </w:rPr>
        <w:t>. State agencies who are members of the TSCC include</w:t>
      </w:r>
      <w:r w:rsidR="00462A73" w:rsidRPr="00FE4160">
        <w:rPr>
          <w:rFonts w:ascii="Verdana" w:hAnsi="Verdana"/>
          <w:sz w:val="22"/>
          <w:szCs w:val="22"/>
        </w:rPr>
        <w:t xml:space="preserve">: </w:t>
      </w:r>
      <w:r w:rsidR="0045067F" w:rsidRPr="00FE4160">
        <w:rPr>
          <w:rFonts w:ascii="Verdana" w:hAnsi="Verdana"/>
          <w:sz w:val="22"/>
          <w:szCs w:val="22"/>
        </w:rPr>
        <w:t>Texas</w:t>
      </w:r>
      <w:r w:rsidR="00D12569" w:rsidRPr="00FE4160">
        <w:rPr>
          <w:rFonts w:ascii="Verdana" w:hAnsi="Verdana"/>
          <w:sz w:val="22"/>
          <w:szCs w:val="22"/>
        </w:rPr>
        <w:t xml:space="preserve"> Commission on Environmental Quality, </w:t>
      </w:r>
      <w:r w:rsidR="00F81ACD" w:rsidRPr="00FE4160">
        <w:rPr>
          <w:rFonts w:ascii="Verdana" w:hAnsi="Verdana"/>
          <w:sz w:val="22"/>
          <w:szCs w:val="22"/>
        </w:rPr>
        <w:t xml:space="preserve">Texas </w:t>
      </w:r>
      <w:r w:rsidR="00462A73" w:rsidRPr="00FE4160">
        <w:rPr>
          <w:rFonts w:ascii="Verdana" w:hAnsi="Verdana"/>
          <w:sz w:val="22"/>
          <w:szCs w:val="22"/>
        </w:rPr>
        <w:t xml:space="preserve">Department of State Health Services, Texas Parks and Wildlife, </w:t>
      </w:r>
      <w:r w:rsidR="00D12569" w:rsidRPr="00FE4160">
        <w:rPr>
          <w:rFonts w:ascii="Verdana" w:hAnsi="Verdana"/>
          <w:sz w:val="22"/>
          <w:szCs w:val="22"/>
        </w:rPr>
        <w:t>Texas Department of Agriculture, and the Texas Railroad Commission.</w:t>
      </w:r>
      <w:r w:rsidR="007D5037" w:rsidRPr="00FE4160">
        <w:rPr>
          <w:rFonts w:ascii="Verdana" w:hAnsi="Verdana"/>
          <w:sz w:val="22"/>
          <w:szCs w:val="22"/>
        </w:rPr>
        <w:t xml:space="preserve"> </w:t>
      </w:r>
      <w:r w:rsidR="00462A73" w:rsidRPr="00FE4160">
        <w:rPr>
          <w:rFonts w:ascii="Verdana" w:hAnsi="Verdana"/>
          <w:sz w:val="22"/>
          <w:szCs w:val="22"/>
        </w:rPr>
        <w:t>Additional clarity and implementation guidance is needed to assist state natural resource and public health agencies when considering the</w:t>
      </w:r>
      <w:r w:rsidR="00271120" w:rsidRPr="00FE4160">
        <w:rPr>
          <w:rFonts w:ascii="Verdana" w:hAnsi="Verdana"/>
          <w:sz w:val="22"/>
          <w:szCs w:val="22"/>
        </w:rPr>
        <w:t xml:space="preserve"> recommended</w:t>
      </w:r>
      <w:r w:rsidR="00462A73" w:rsidRPr="00FE4160">
        <w:rPr>
          <w:rFonts w:ascii="Verdana" w:hAnsi="Verdana"/>
          <w:sz w:val="22"/>
          <w:szCs w:val="22"/>
        </w:rPr>
        <w:t xml:space="preserve"> values as </w:t>
      </w:r>
      <w:r w:rsidR="00F81ACD" w:rsidRPr="00FE4160">
        <w:rPr>
          <w:rFonts w:ascii="Verdana" w:hAnsi="Verdana"/>
          <w:sz w:val="22"/>
          <w:szCs w:val="22"/>
        </w:rPr>
        <w:t>water quality standards</w:t>
      </w:r>
      <w:r w:rsidR="000B4689" w:rsidRPr="00FE4160">
        <w:rPr>
          <w:rFonts w:ascii="Verdana" w:hAnsi="Verdana"/>
          <w:sz w:val="22"/>
          <w:szCs w:val="22"/>
        </w:rPr>
        <w:t xml:space="preserve"> or </w:t>
      </w:r>
      <w:r w:rsidR="00EE284F" w:rsidRPr="00FE4160">
        <w:rPr>
          <w:rFonts w:ascii="Verdana" w:hAnsi="Verdana"/>
          <w:sz w:val="22"/>
          <w:szCs w:val="22"/>
        </w:rPr>
        <w:t xml:space="preserve">action levels to issue </w:t>
      </w:r>
      <w:r w:rsidR="000B4689" w:rsidRPr="00FE4160">
        <w:rPr>
          <w:rFonts w:ascii="Verdana" w:hAnsi="Verdana"/>
          <w:sz w:val="22"/>
          <w:szCs w:val="22"/>
        </w:rPr>
        <w:t>swimming advisor</w:t>
      </w:r>
      <w:r w:rsidR="00EE284F" w:rsidRPr="00FE4160">
        <w:rPr>
          <w:rFonts w:ascii="Verdana" w:hAnsi="Verdana"/>
          <w:sz w:val="22"/>
          <w:szCs w:val="22"/>
        </w:rPr>
        <w:t>ies</w:t>
      </w:r>
      <w:r w:rsidR="00F81ACD" w:rsidRPr="00FE4160">
        <w:rPr>
          <w:rFonts w:ascii="Verdana" w:hAnsi="Verdana"/>
          <w:sz w:val="22"/>
          <w:szCs w:val="22"/>
        </w:rPr>
        <w:t xml:space="preserve">, particularly due to the need for </w:t>
      </w:r>
      <w:r w:rsidR="00126752" w:rsidRPr="00FE4160">
        <w:rPr>
          <w:rFonts w:ascii="Verdana" w:hAnsi="Verdana"/>
          <w:sz w:val="22"/>
          <w:szCs w:val="22"/>
        </w:rPr>
        <w:t xml:space="preserve">agency </w:t>
      </w:r>
      <w:r w:rsidR="0028227D" w:rsidRPr="00FE4160">
        <w:rPr>
          <w:rFonts w:ascii="Verdana" w:hAnsi="Verdana"/>
          <w:sz w:val="22"/>
          <w:szCs w:val="22"/>
        </w:rPr>
        <w:t>cross-</w:t>
      </w:r>
      <w:r w:rsidR="00F81ACD" w:rsidRPr="00FE4160">
        <w:rPr>
          <w:rFonts w:ascii="Verdana" w:hAnsi="Verdana"/>
          <w:sz w:val="22"/>
          <w:szCs w:val="22"/>
        </w:rPr>
        <w:t>coordination and public notice</w:t>
      </w:r>
      <w:r w:rsidR="0085095F" w:rsidRPr="00FE4160">
        <w:rPr>
          <w:rFonts w:ascii="Verdana" w:hAnsi="Verdana"/>
          <w:sz w:val="22"/>
          <w:szCs w:val="22"/>
        </w:rPr>
        <w:t xml:space="preserve"> regarding toxic substances and the protection of public health</w:t>
      </w:r>
      <w:r w:rsidR="00F81ACD" w:rsidRPr="00FE4160">
        <w:rPr>
          <w:rFonts w:ascii="Verdana" w:hAnsi="Verdana"/>
          <w:sz w:val="22"/>
          <w:szCs w:val="22"/>
        </w:rPr>
        <w:t>.</w:t>
      </w:r>
      <w:r w:rsidR="00462A73" w:rsidRPr="00FE4160">
        <w:rPr>
          <w:rFonts w:ascii="Verdana" w:hAnsi="Verdana"/>
          <w:sz w:val="22"/>
          <w:szCs w:val="22"/>
        </w:rPr>
        <w:t xml:space="preserve"> </w:t>
      </w:r>
    </w:p>
    <w:p w14:paraId="203B4888" w14:textId="77777777" w:rsidR="00CE4D47" w:rsidRDefault="00CE4D47" w:rsidP="00597F34">
      <w:pPr>
        <w:rPr>
          <w:rFonts w:ascii="Verdana" w:hAnsi="Verdana"/>
          <w:sz w:val="22"/>
          <w:szCs w:val="22"/>
        </w:rPr>
      </w:pPr>
    </w:p>
    <w:p w14:paraId="30C945A1" w14:textId="6BE73724" w:rsidR="000C652D" w:rsidRPr="00FE4160" w:rsidRDefault="000C652D" w:rsidP="00597F34">
      <w:pPr>
        <w:rPr>
          <w:rFonts w:ascii="Verdana" w:hAnsi="Verdana"/>
          <w:sz w:val="22"/>
          <w:szCs w:val="22"/>
        </w:rPr>
      </w:pPr>
      <w:r w:rsidRPr="00FE4160">
        <w:rPr>
          <w:rFonts w:ascii="Verdana" w:hAnsi="Verdana"/>
          <w:sz w:val="22"/>
          <w:szCs w:val="22"/>
        </w:rPr>
        <w:t xml:space="preserve">Comments on the </w:t>
      </w:r>
      <w:r w:rsidR="00317E9D" w:rsidRPr="00FE4160">
        <w:rPr>
          <w:rFonts w:ascii="Verdana" w:hAnsi="Verdana"/>
          <w:sz w:val="22"/>
          <w:szCs w:val="22"/>
        </w:rPr>
        <w:t xml:space="preserve">draft </w:t>
      </w:r>
      <w:r w:rsidR="00CF63FA" w:rsidRPr="00FE4160">
        <w:rPr>
          <w:rFonts w:ascii="Verdana" w:hAnsi="Verdana"/>
          <w:sz w:val="22"/>
          <w:szCs w:val="22"/>
        </w:rPr>
        <w:t>criteria and/or advisories</w:t>
      </w:r>
      <w:r w:rsidR="006E6BC9" w:rsidRPr="00FE4160">
        <w:rPr>
          <w:rFonts w:ascii="Verdana" w:hAnsi="Verdana"/>
          <w:sz w:val="22"/>
          <w:szCs w:val="22"/>
        </w:rPr>
        <w:t xml:space="preserve"> </w:t>
      </w:r>
      <w:r w:rsidR="00FF6359" w:rsidRPr="00FE4160">
        <w:rPr>
          <w:rFonts w:ascii="Verdana" w:hAnsi="Verdana"/>
          <w:sz w:val="22"/>
          <w:szCs w:val="22"/>
        </w:rPr>
        <w:t>address</w:t>
      </w:r>
      <w:r w:rsidRPr="00FE4160">
        <w:rPr>
          <w:rFonts w:ascii="Verdana" w:hAnsi="Verdana"/>
          <w:sz w:val="22"/>
          <w:szCs w:val="22"/>
        </w:rPr>
        <w:t xml:space="preserve"> the following</w:t>
      </w:r>
      <w:r w:rsidR="00FF6359" w:rsidRPr="00FE4160">
        <w:rPr>
          <w:rFonts w:ascii="Verdana" w:hAnsi="Verdana"/>
          <w:sz w:val="22"/>
          <w:szCs w:val="22"/>
        </w:rPr>
        <w:t xml:space="preserve"> concerns</w:t>
      </w:r>
      <w:r w:rsidRPr="00FE4160">
        <w:rPr>
          <w:rFonts w:ascii="Verdana" w:hAnsi="Verdana"/>
          <w:sz w:val="22"/>
          <w:szCs w:val="22"/>
        </w:rPr>
        <w:t>:</w:t>
      </w:r>
    </w:p>
    <w:p w14:paraId="5ABC9D36" w14:textId="7DB4D6FE" w:rsidR="006E039A" w:rsidRPr="00FE4160" w:rsidRDefault="006E039A" w:rsidP="00995CBE">
      <w:pPr>
        <w:pStyle w:val="ListParagraph"/>
        <w:numPr>
          <w:ilvl w:val="0"/>
          <w:numId w:val="14"/>
        </w:numPr>
        <w:rPr>
          <w:rFonts w:ascii="Verdana" w:hAnsi="Verdana"/>
          <w:sz w:val="22"/>
          <w:szCs w:val="22"/>
        </w:rPr>
      </w:pPr>
      <w:r w:rsidRPr="00FE4160">
        <w:rPr>
          <w:rFonts w:ascii="Verdana" w:hAnsi="Verdana"/>
          <w:sz w:val="22"/>
          <w:szCs w:val="22"/>
          <w:u w:val="single"/>
        </w:rPr>
        <w:t xml:space="preserve">EPA </w:t>
      </w:r>
      <w:r w:rsidR="00812EEF" w:rsidRPr="00FE4160">
        <w:rPr>
          <w:rFonts w:ascii="Verdana" w:hAnsi="Verdana"/>
          <w:sz w:val="22"/>
          <w:szCs w:val="22"/>
          <w:u w:val="single"/>
        </w:rPr>
        <w:t xml:space="preserve">is requested to </w:t>
      </w:r>
      <w:r w:rsidRPr="00FE4160">
        <w:rPr>
          <w:rFonts w:ascii="Verdana" w:hAnsi="Verdana"/>
          <w:sz w:val="22"/>
          <w:szCs w:val="22"/>
          <w:u w:val="single"/>
        </w:rPr>
        <w:t xml:space="preserve">correct the </w:t>
      </w:r>
      <w:r w:rsidR="00782EB4" w:rsidRPr="00FE4160">
        <w:rPr>
          <w:rFonts w:ascii="Verdana" w:hAnsi="Verdana"/>
          <w:sz w:val="22"/>
          <w:szCs w:val="22"/>
          <w:u w:val="single"/>
        </w:rPr>
        <w:t xml:space="preserve">status of state recreational </w:t>
      </w:r>
      <w:r w:rsidRPr="00FE4160">
        <w:rPr>
          <w:rFonts w:ascii="Verdana" w:hAnsi="Verdana"/>
          <w:sz w:val="22"/>
          <w:szCs w:val="22"/>
          <w:u w:val="single"/>
        </w:rPr>
        <w:t>water guidelines for cyanotoxins and cyanobacteria in Texas</w:t>
      </w:r>
      <w:r w:rsidRPr="00FE4160">
        <w:rPr>
          <w:rFonts w:ascii="Verdana" w:hAnsi="Verdana"/>
          <w:sz w:val="22"/>
          <w:szCs w:val="22"/>
        </w:rPr>
        <w:t>. The information presented for Texas in various portions of Section 2.0 Introduction and Background and Appendix B</w:t>
      </w:r>
      <w:r w:rsidR="00435F2C">
        <w:rPr>
          <w:rFonts w:ascii="Verdana" w:hAnsi="Verdana"/>
          <w:sz w:val="22"/>
          <w:szCs w:val="22"/>
        </w:rPr>
        <w:t xml:space="preserve"> </w:t>
      </w:r>
      <w:r w:rsidR="00C743C6">
        <w:rPr>
          <w:rFonts w:ascii="Verdana" w:hAnsi="Verdana"/>
          <w:sz w:val="22"/>
          <w:szCs w:val="22"/>
        </w:rPr>
        <w:t xml:space="preserve">of EPA’s Draft </w:t>
      </w:r>
      <w:r w:rsidR="00C743C6" w:rsidRPr="00435F2C">
        <w:rPr>
          <w:rFonts w:ascii="Verdana" w:hAnsi="Verdana"/>
          <w:i/>
          <w:sz w:val="22"/>
          <w:szCs w:val="22"/>
        </w:rPr>
        <w:t>Human Health Recreational Ambient Water Quality Criteria or Swimming Advisories for Microcystins and Cylindrosperm</w:t>
      </w:r>
      <w:r w:rsidR="000A4DD1" w:rsidRPr="00435F2C">
        <w:rPr>
          <w:rFonts w:ascii="Verdana" w:hAnsi="Verdana"/>
          <w:i/>
          <w:sz w:val="22"/>
          <w:szCs w:val="22"/>
        </w:rPr>
        <w:t>o</w:t>
      </w:r>
      <w:r w:rsidR="00C743C6" w:rsidRPr="00435F2C">
        <w:rPr>
          <w:rFonts w:ascii="Verdana" w:hAnsi="Verdana"/>
          <w:i/>
          <w:sz w:val="22"/>
          <w:szCs w:val="22"/>
        </w:rPr>
        <w:t>psin</w:t>
      </w:r>
      <w:r w:rsidR="00C743C6">
        <w:rPr>
          <w:rFonts w:ascii="Verdana" w:hAnsi="Verdana"/>
          <w:sz w:val="22"/>
          <w:szCs w:val="22"/>
        </w:rPr>
        <w:t xml:space="preserve"> </w:t>
      </w:r>
      <w:r w:rsidR="00A71594">
        <w:rPr>
          <w:rFonts w:ascii="Verdana" w:hAnsi="Verdana"/>
          <w:sz w:val="22"/>
          <w:szCs w:val="22"/>
        </w:rPr>
        <w:t>i</w:t>
      </w:r>
      <w:r w:rsidRPr="00FE4160">
        <w:rPr>
          <w:rFonts w:ascii="Verdana" w:hAnsi="Verdana"/>
          <w:sz w:val="22"/>
          <w:szCs w:val="22"/>
        </w:rPr>
        <w:t xml:space="preserve">s incorrect. </w:t>
      </w:r>
      <w:r w:rsidR="00995CBE" w:rsidRPr="00995CBE">
        <w:rPr>
          <w:rFonts w:ascii="Verdana" w:hAnsi="Verdana"/>
          <w:sz w:val="22"/>
          <w:szCs w:val="22"/>
        </w:rPr>
        <w:t>The TCEQ is not currently aware of any statewide recreational water guidelines for cyanotoxins and cyanobacteria for use in swimming advisory programs</w:t>
      </w:r>
      <w:r w:rsidRPr="00FE4160">
        <w:rPr>
          <w:rFonts w:ascii="Verdana" w:hAnsi="Verdana"/>
          <w:sz w:val="22"/>
          <w:szCs w:val="22"/>
        </w:rPr>
        <w:t xml:space="preserve">. </w:t>
      </w:r>
    </w:p>
    <w:p w14:paraId="24CE4307" w14:textId="2D9B3358" w:rsidR="00BB2F99" w:rsidRPr="00FE4160" w:rsidRDefault="00BB2F99">
      <w:pPr>
        <w:pStyle w:val="ListParagraph"/>
        <w:numPr>
          <w:ilvl w:val="0"/>
          <w:numId w:val="14"/>
        </w:numPr>
        <w:rPr>
          <w:rFonts w:ascii="Verdana" w:hAnsi="Verdana"/>
          <w:sz w:val="22"/>
          <w:szCs w:val="22"/>
        </w:rPr>
      </w:pPr>
      <w:r w:rsidRPr="00FE4160">
        <w:rPr>
          <w:rFonts w:ascii="Verdana" w:hAnsi="Verdana"/>
          <w:sz w:val="22"/>
          <w:szCs w:val="22"/>
          <w:u w:val="single"/>
        </w:rPr>
        <w:t xml:space="preserve">EPA should clarify the type of cyanotoxins applicable to the draft recommendations. </w:t>
      </w:r>
      <w:r w:rsidRPr="00FE4160">
        <w:rPr>
          <w:rFonts w:ascii="Verdana" w:hAnsi="Verdana"/>
          <w:sz w:val="22"/>
          <w:szCs w:val="22"/>
        </w:rPr>
        <w:t xml:space="preserve">Additional clarity is needed to determine if recommendations apply to “total” microcystin or cylindrospermopsin, any of the known congeners, </w:t>
      </w:r>
      <w:r w:rsidR="008E7E23" w:rsidRPr="00FE4160">
        <w:rPr>
          <w:rFonts w:ascii="Verdana" w:hAnsi="Verdana"/>
          <w:sz w:val="22"/>
          <w:szCs w:val="22"/>
        </w:rPr>
        <w:t xml:space="preserve">or if congeners may be used as </w:t>
      </w:r>
      <w:r w:rsidRPr="00FE4160">
        <w:rPr>
          <w:rFonts w:ascii="Verdana" w:hAnsi="Verdana"/>
          <w:sz w:val="22"/>
          <w:szCs w:val="22"/>
        </w:rPr>
        <w:t>surrogate</w:t>
      </w:r>
      <w:r w:rsidR="008E7E23" w:rsidRPr="00FE4160">
        <w:rPr>
          <w:rFonts w:ascii="Verdana" w:hAnsi="Verdana"/>
          <w:sz w:val="22"/>
          <w:szCs w:val="22"/>
        </w:rPr>
        <w:t>s</w:t>
      </w:r>
      <w:r w:rsidRPr="00FE4160">
        <w:rPr>
          <w:rFonts w:ascii="Verdana" w:hAnsi="Verdana"/>
          <w:sz w:val="22"/>
          <w:szCs w:val="22"/>
        </w:rPr>
        <w:t xml:space="preserve"> for total toxins.   </w:t>
      </w:r>
    </w:p>
    <w:p w14:paraId="2BD522CB" w14:textId="1AB0B978" w:rsidR="00BB2F99" w:rsidRPr="00FE4160" w:rsidRDefault="00BB2F99" w:rsidP="00BB2F99">
      <w:pPr>
        <w:pStyle w:val="ListParagraph"/>
        <w:numPr>
          <w:ilvl w:val="0"/>
          <w:numId w:val="14"/>
        </w:numPr>
        <w:rPr>
          <w:rFonts w:ascii="Verdana" w:hAnsi="Verdana"/>
          <w:sz w:val="22"/>
          <w:szCs w:val="22"/>
        </w:rPr>
      </w:pPr>
      <w:r w:rsidRPr="00FE4160">
        <w:rPr>
          <w:rFonts w:ascii="Verdana" w:hAnsi="Verdana"/>
          <w:sz w:val="22"/>
          <w:szCs w:val="22"/>
          <w:u w:val="single"/>
        </w:rPr>
        <w:t>EPA should reconsider the duration of recreational exposure value of 2.7 hours per day, used to develop the draft criteria and/or advisories</w:t>
      </w:r>
      <w:r w:rsidRPr="00FE4160">
        <w:rPr>
          <w:rFonts w:ascii="Verdana" w:hAnsi="Verdana"/>
          <w:sz w:val="22"/>
          <w:szCs w:val="22"/>
        </w:rPr>
        <w:t xml:space="preserve">. This value was derived from a study that included a small sample size of swimmers. A more reasonable exposure duration of 1.3 hours, based on a larger sample size of swimmers from a peer-reviewed study </w:t>
      </w:r>
      <w:r w:rsidR="00E317E0" w:rsidRPr="00FE4160">
        <w:rPr>
          <w:rFonts w:ascii="Verdana" w:hAnsi="Verdana"/>
          <w:sz w:val="22"/>
          <w:szCs w:val="22"/>
        </w:rPr>
        <w:t>cited</w:t>
      </w:r>
      <w:r w:rsidRPr="00FE4160">
        <w:rPr>
          <w:rFonts w:ascii="Verdana" w:hAnsi="Verdana"/>
          <w:sz w:val="22"/>
          <w:szCs w:val="22"/>
        </w:rPr>
        <w:t xml:space="preserve"> in EPA’s draft </w:t>
      </w:r>
      <w:r w:rsidR="00E317E0" w:rsidRPr="00FE4160">
        <w:rPr>
          <w:rFonts w:ascii="Verdana" w:hAnsi="Verdana"/>
          <w:sz w:val="22"/>
          <w:szCs w:val="22"/>
        </w:rPr>
        <w:t>document</w:t>
      </w:r>
      <w:r w:rsidRPr="00FE4160">
        <w:rPr>
          <w:rFonts w:ascii="Verdana" w:hAnsi="Verdana"/>
          <w:sz w:val="22"/>
          <w:szCs w:val="22"/>
        </w:rPr>
        <w:t>, is recommended by TCEQ.</w:t>
      </w:r>
    </w:p>
    <w:p w14:paraId="4E3C742A" w14:textId="08C7E280" w:rsidR="00BB2F99" w:rsidRPr="00FE4160" w:rsidRDefault="00BB2F99" w:rsidP="00BB2F99">
      <w:pPr>
        <w:pStyle w:val="ListParagraph"/>
        <w:numPr>
          <w:ilvl w:val="0"/>
          <w:numId w:val="14"/>
        </w:numPr>
        <w:rPr>
          <w:rFonts w:ascii="Verdana" w:hAnsi="Verdana"/>
          <w:sz w:val="22"/>
          <w:szCs w:val="22"/>
        </w:rPr>
      </w:pPr>
      <w:r w:rsidRPr="00FE4160">
        <w:rPr>
          <w:rFonts w:ascii="Verdana" w:hAnsi="Verdana"/>
          <w:sz w:val="22"/>
          <w:szCs w:val="22"/>
          <w:u w:val="single"/>
        </w:rPr>
        <w:t>EPA should reconsider the relative source contribution (RSC) of 0.8, used to develop the draft criteria and/or advisories</w:t>
      </w:r>
      <w:r w:rsidRPr="00FE4160">
        <w:rPr>
          <w:rFonts w:ascii="Verdana" w:hAnsi="Verdana"/>
          <w:sz w:val="22"/>
          <w:szCs w:val="22"/>
        </w:rPr>
        <w:t>. The use of an RSC of anything less than 1 in the draft criteria cannot be justified because there is not information to suggest that there is any significant exposure to microcystins and/or cylindrospe</w:t>
      </w:r>
      <w:r w:rsidR="00A35726" w:rsidRPr="00FE4160">
        <w:rPr>
          <w:rFonts w:ascii="Verdana" w:hAnsi="Verdana"/>
          <w:sz w:val="22"/>
          <w:szCs w:val="22"/>
        </w:rPr>
        <w:t>rm</w:t>
      </w:r>
      <w:r w:rsidRPr="00FE4160">
        <w:rPr>
          <w:rFonts w:ascii="Verdana" w:hAnsi="Verdana"/>
          <w:sz w:val="22"/>
          <w:szCs w:val="22"/>
        </w:rPr>
        <w:t>opsin via other routes of exposure, such as dermal exposure, inhalation, ingestion of fish/shellfish, or drinking water.</w:t>
      </w:r>
    </w:p>
    <w:p w14:paraId="52FA6365" w14:textId="0642DF8E" w:rsidR="00BB2F99" w:rsidRPr="00FE4160" w:rsidRDefault="00BB2F99" w:rsidP="00BB2F99">
      <w:pPr>
        <w:pStyle w:val="ListParagraph"/>
        <w:numPr>
          <w:ilvl w:val="0"/>
          <w:numId w:val="14"/>
        </w:numPr>
        <w:rPr>
          <w:rFonts w:ascii="Verdana" w:hAnsi="Verdana"/>
          <w:sz w:val="22"/>
          <w:szCs w:val="22"/>
        </w:rPr>
      </w:pPr>
      <w:r w:rsidRPr="00FE4160">
        <w:rPr>
          <w:rFonts w:ascii="Verdana" w:hAnsi="Verdana"/>
          <w:sz w:val="22"/>
          <w:szCs w:val="22"/>
          <w:u w:val="single"/>
        </w:rPr>
        <w:t>EPA should incorporate results of the 2012 National Lakes Assessment (NLA) into the draft recommendations.</w:t>
      </w:r>
      <w:r w:rsidRPr="00FE4160">
        <w:rPr>
          <w:rFonts w:ascii="Verdana" w:hAnsi="Verdana"/>
          <w:sz w:val="22"/>
          <w:szCs w:val="22"/>
        </w:rPr>
        <w:t xml:space="preserve"> The draft criteria and/or advisories include pertinent results from the 2007 NLA only.</w:t>
      </w:r>
      <w:r w:rsidRPr="00FE4160" w:rsidDel="0042252B">
        <w:rPr>
          <w:rFonts w:ascii="Verdana" w:hAnsi="Verdana"/>
          <w:sz w:val="22"/>
          <w:szCs w:val="22"/>
        </w:rPr>
        <w:t xml:space="preserve"> </w:t>
      </w:r>
      <w:r w:rsidRPr="00FE4160">
        <w:rPr>
          <w:rFonts w:ascii="Verdana" w:hAnsi="Verdana"/>
          <w:sz w:val="22"/>
          <w:szCs w:val="22"/>
        </w:rPr>
        <w:t>EPA should update the criteria and/or advisories with results from the 2012 NLA</w:t>
      </w:r>
      <w:r w:rsidR="0068731C" w:rsidRPr="00FE4160">
        <w:rPr>
          <w:rFonts w:ascii="Verdana" w:hAnsi="Verdana"/>
          <w:sz w:val="22"/>
          <w:szCs w:val="22"/>
        </w:rPr>
        <w:t xml:space="preserve">, which was recently </w:t>
      </w:r>
      <w:r w:rsidRPr="00FE4160">
        <w:rPr>
          <w:rFonts w:ascii="Verdana" w:hAnsi="Verdana"/>
          <w:sz w:val="22"/>
          <w:szCs w:val="22"/>
        </w:rPr>
        <w:t xml:space="preserve">published in the December 8, 2016 edition of the Federal Register.  </w:t>
      </w:r>
    </w:p>
    <w:p w14:paraId="3481081B" w14:textId="6E99CD0E" w:rsidR="00317E9D" w:rsidRPr="00FE4160" w:rsidRDefault="000F41FF" w:rsidP="006E039A">
      <w:pPr>
        <w:pStyle w:val="ListParagraph"/>
        <w:numPr>
          <w:ilvl w:val="0"/>
          <w:numId w:val="14"/>
        </w:numPr>
        <w:rPr>
          <w:rFonts w:ascii="Verdana" w:hAnsi="Verdana"/>
          <w:sz w:val="22"/>
          <w:szCs w:val="22"/>
        </w:rPr>
      </w:pPr>
      <w:r w:rsidRPr="00FE4160">
        <w:rPr>
          <w:rFonts w:ascii="Verdana" w:hAnsi="Verdana"/>
          <w:sz w:val="22"/>
          <w:szCs w:val="22"/>
          <w:u w:val="single"/>
        </w:rPr>
        <w:t xml:space="preserve">EPA should </w:t>
      </w:r>
      <w:r w:rsidR="00CF63FA" w:rsidRPr="00FE4160">
        <w:rPr>
          <w:rFonts w:ascii="Verdana" w:hAnsi="Verdana"/>
          <w:sz w:val="22"/>
          <w:szCs w:val="22"/>
          <w:u w:val="single"/>
        </w:rPr>
        <w:t>provide implementation guidance</w:t>
      </w:r>
      <w:r w:rsidR="004D3874" w:rsidRPr="00FE4160">
        <w:rPr>
          <w:rFonts w:ascii="Verdana" w:hAnsi="Verdana"/>
          <w:sz w:val="22"/>
          <w:szCs w:val="22"/>
          <w:u w:val="single"/>
        </w:rPr>
        <w:t xml:space="preserve"> to accompany the draft criteria and/or advisories</w:t>
      </w:r>
      <w:r w:rsidR="00317E9D" w:rsidRPr="00FE4160">
        <w:rPr>
          <w:rFonts w:ascii="Verdana" w:hAnsi="Verdana"/>
          <w:sz w:val="22"/>
          <w:szCs w:val="22"/>
        </w:rPr>
        <w:t xml:space="preserve">. </w:t>
      </w:r>
      <w:r w:rsidR="00CF63FA" w:rsidRPr="00FE4160">
        <w:rPr>
          <w:rFonts w:ascii="Verdana" w:hAnsi="Verdana"/>
          <w:sz w:val="22"/>
          <w:szCs w:val="22"/>
        </w:rPr>
        <w:t>Additional guidance is needed to implement these criteria, particularly for the purposes of swimming advisories</w:t>
      </w:r>
      <w:r w:rsidR="004D3874" w:rsidRPr="00FE4160">
        <w:rPr>
          <w:rFonts w:ascii="Verdana" w:hAnsi="Verdana"/>
          <w:sz w:val="22"/>
          <w:szCs w:val="22"/>
        </w:rPr>
        <w:t xml:space="preserve">, </w:t>
      </w:r>
      <w:r w:rsidR="00CF63FA" w:rsidRPr="00FE4160">
        <w:rPr>
          <w:rFonts w:ascii="Verdana" w:hAnsi="Verdana"/>
          <w:sz w:val="22"/>
          <w:szCs w:val="22"/>
        </w:rPr>
        <w:t>and in water quality management programs such as monitoring, assessment, TMDL development</w:t>
      </w:r>
      <w:r w:rsidR="00CE4D47">
        <w:rPr>
          <w:rFonts w:ascii="Verdana" w:hAnsi="Verdana"/>
          <w:sz w:val="22"/>
          <w:szCs w:val="22"/>
        </w:rPr>
        <w:t>,</w:t>
      </w:r>
      <w:r w:rsidR="00CF63FA" w:rsidRPr="00FE4160">
        <w:rPr>
          <w:rFonts w:ascii="Verdana" w:hAnsi="Verdana"/>
          <w:sz w:val="22"/>
          <w:szCs w:val="22"/>
        </w:rPr>
        <w:t xml:space="preserve"> and wastewater permitting</w:t>
      </w:r>
      <w:r w:rsidRPr="00FE4160">
        <w:rPr>
          <w:rFonts w:ascii="Verdana" w:hAnsi="Verdana"/>
          <w:sz w:val="22"/>
          <w:szCs w:val="22"/>
        </w:rPr>
        <w:t xml:space="preserve">.  </w:t>
      </w:r>
    </w:p>
    <w:p w14:paraId="665BAC87" w14:textId="60B666AA" w:rsidR="00E66491" w:rsidRPr="00FE4160" w:rsidRDefault="00DD44B5" w:rsidP="00C64906">
      <w:pPr>
        <w:pStyle w:val="ListParagraph"/>
        <w:numPr>
          <w:ilvl w:val="0"/>
          <w:numId w:val="14"/>
        </w:numPr>
        <w:rPr>
          <w:rFonts w:ascii="Verdana" w:hAnsi="Verdana"/>
          <w:sz w:val="22"/>
          <w:szCs w:val="22"/>
        </w:rPr>
      </w:pPr>
      <w:r w:rsidRPr="00FE4160">
        <w:rPr>
          <w:rFonts w:ascii="Verdana" w:hAnsi="Verdana"/>
          <w:sz w:val="22"/>
          <w:szCs w:val="22"/>
          <w:u w:val="single"/>
        </w:rPr>
        <w:t xml:space="preserve">The availability and acceptability of analytical methods to determine </w:t>
      </w:r>
      <w:r w:rsidR="009277CA" w:rsidRPr="00FE4160">
        <w:rPr>
          <w:rFonts w:ascii="Verdana" w:hAnsi="Verdana"/>
          <w:sz w:val="22"/>
          <w:szCs w:val="22"/>
          <w:u w:val="single"/>
        </w:rPr>
        <w:t xml:space="preserve">microcystin and cylindrospermopsin </w:t>
      </w:r>
      <w:r w:rsidRPr="00FE4160">
        <w:rPr>
          <w:rFonts w:ascii="Verdana" w:hAnsi="Verdana"/>
          <w:sz w:val="22"/>
          <w:szCs w:val="22"/>
          <w:u w:val="single"/>
        </w:rPr>
        <w:t xml:space="preserve">in </w:t>
      </w:r>
      <w:r w:rsidR="009277CA" w:rsidRPr="00FE4160">
        <w:rPr>
          <w:rFonts w:ascii="Verdana" w:hAnsi="Verdana"/>
          <w:sz w:val="22"/>
          <w:szCs w:val="22"/>
          <w:u w:val="single"/>
        </w:rPr>
        <w:t>water</w:t>
      </w:r>
      <w:r w:rsidRPr="00FE4160">
        <w:rPr>
          <w:rFonts w:ascii="Verdana" w:hAnsi="Verdana"/>
          <w:sz w:val="22"/>
          <w:szCs w:val="22"/>
          <w:u w:val="single"/>
        </w:rPr>
        <w:t xml:space="preserve"> </w:t>
      </w:r>
      <w:r w:rsidR="00081C13" w:rsidRPr="00FE4160">
        <w:rPr>
          <w:rFonts w:ascii="Verdana" w:hAnsi="Verdana"/>
          <w:sz w:val="22"/>
          <w:szCs w:val="22"/>
          <w:u w:val="single"/>
        </w:rPr>
        <w:t>needs to</w:t>
      </w:r>
      <w:r w:rsidRPr="00FE4160">
        <w:rPr>
          <w:rFonts w:ascii="Verdana" w:hAnsi="Verdana"/>
          <w:sz w:val="22"/>
          <w:szCs w:val="22"/>
          <w:u w:val="single"/>
        </w:rPr>
        <w:t xml:space="preserve"> be </w:t>
      </w:r>
      <w:r w:rsidR="009277CA" w:rsidRPr="00FE4160">
        <w:rPr>
          <w:rFonts w:ascii="Verdana" w:hAnsi="Verdana"/>
          <w:sz w:val="22"/>
          <w:szCs w:val="22"/>
          <w:u w:val="single"/>
        </w:rPr>
        <w:t xml:space="preserve">described and provided as part of the </w:t>
      </w:r>
      <w:r w:rsidR="009277CA" w:rsidRPr="00FE4160">
        <w:rPr>
          <w:rFonts w:ascii="Verdana" w:hAnsi="Verdana"/>
          <w:sz w:val="22"/>
          <w:szCs w:val="22"/>
          <w:u w:val="single"/>
        </w:rPr>
        <w:lastRenderedPageBreak/>
        <w:t>criteria and/or advisories, or</w:t>
      </w:r>
      <w:r w:rsidR="0051123F" w:rsidRPr="00FE4160">
        <w:rPr>
          <w:rFonts w:ascii="Verdana" w:hAnsi="Verdana"/>
          <w:sz w:val="22"/>
          <w:szCs w:val="22"/>
          <w:u w:val="single"/>
        </w:rPr>
        <w:t xml:space="preserve"> in future</w:t>
      </w:r>
      <w:r w:rsidR="009277CA" w:rsidRPr="00FE4160">
        <w:rPr>
          <w:rFonts w:ascii="Verdana" w:hAnsi="Verdana"/>
          <w:sz w:val="22"/>
          <w:szCs w:val="22"/>
          <w:u w:val="single"/>
        </w:rPr>
        <w:t xml:space="preserve"> implementation</w:t>
      </w:r>
      <w:r w:rsidR="0051123F" w:rsidRPr="00FE4160">
        <w:rPr>
          <w:rFonts w:ascii="Verdana" w:hAnsi="Verdana"/>
          <w:sz w:val="22"/>
          <w:szCs w:val="22"/>
          <w:u w:val="single"/>
        </w:rPr>
        <w:t xml:space="preserve"> guidance</w:t>
      </w:r>
      <w:r w:rsidR="00E66491" w:rsidRPr="00FE4160">
        <w:rPr>
          <w:rFonts w:ascii="Verdana" w:hAnsi="Verdana"/>
          <w:sz w:val="22"/>
          <w:szCs w:val="22"/>
          <w:u w:val="single"/>
        </w:rPr>
        <w:t>.</w:t>
      </w:r>
      <w:r w:rsidR="00E66491" w:rsidRPr="00FE4160">
        <w:rPr>
          <w:rFonts w:ascii="Verdana" w:hAnsi="Verdana"/>
          <w:sz w:val="22"/>
          <w:szCs w:val="22"/>
        </w:rPr>
        <w:t xml:space="preserve"> </w:t>
      </w:r>
      <w:r w:rsidR="00CE4D47">
        <w:rPr>
          <w:rFonts w:ascii="Verdana" w:hAnsi="Verdana"/>
          <w:sz w:val="22"/>
          <w:szCs w:val="22"/>
        </w:rPr>
        <w:t xml:space="preserve"> </w:t>
      </w:r>
      <w:r w:rsidRPr="00FE4160">
        <w:rPr>
          <w:rFonts w:ascii="Verdana" w:hAnsi="Verdana"/>
          <w:sz w:val="22"/>
          <w:szCs w:val="22"/>
        </w:rPr>
        <w:t>EPA should provide additional detail and clarity regarding methods and modifications of analytical methods, particularly since EPA does not have approved methods under 40 C</w:t>
      </w:r>
      <w:r w:rsidR="00086153" w:rsidRPr="00FE4160">
        <w:rPr>
          <w:rFonts w:ascii="Verdana" w:hAnsi="Verdana"/>
          <w:sz w:val="22"/>
          <w:szCs w:val="22"/>
        </w:rPr>
        <w:t xml:space="preserve">ode of </w:t>
      </w:r>
      <w:r w:rsidRPr="00FE4160">
        <w:rPr>
          <w:rFonts w:ascii="Verdana" w:hAnsi="Verdana"/>
          <w:sz w:val="22"/>
          <w:szCs w:val="22"/>
        </w:rPr>
        <w:t>F</w:t>
      </w:r>
      <w:r w:rsidR="00086153" w:rsidRPr="00FE4160">
        <w:rPr>
          <w:rFonts w:ascii="Verdana" w:hAnsi="Verdana"/>
          <w:sz w:val="22"/>
          <w:szCs w:val="22"/>
        </w:rPr>
        <w:t xml:space="preserve">ederal </w:t>
      </w:r>
      <w:r w:rsidRPr="00FE4160">
        <w:rPr>
          <w:rFonts w:ascii="Verdana" w:hAnsi="Verdana"/>
          <w:sz w:val="22"/>
          <w:szCs w:val="22"/>
        </w:rPr>
        <w:t>R</w:t>
      </w:r>
      <w:r w:rsidR="00086153" w:rsidRPr="00FE4160">
        <w:rPr>
          <w:rFonts w:ascii="Verdana" w:hAnsi="Verdana"/>
          <w:sz w:val="22"/>
          <w:szCs w:val="22"/>
        </w:rPr>
        <w:t xml:space="preserve">egulations Section </w:t>
      </w:r>
      <w:r w:rsidRPr="00FE4160">
        <w:rPr>
          <w:rFonts w:ascii="Verdana" w:hAnsi="Verdana"/>
          <w:sz w:val="22"/>
          <w:szCs w:val="22"/>
        </w:rPr>
        <w:t xml:space="preserve">136 for determining </w:t>
      </w:r>
      <w:r w:rsidR="009277CA" w:rsidRPr="00FE4160">
        <w:rPr>
          <w:rFonts w:ascii="Verdana" w:hAnsi="Verdana"/>
          <w:sz w:val="22"/>
          <w:szCs w:val="22"/>
        </w:rPr>
        <w:t xml:space="preserve">microcystin or cylindrospermopsin </w:t>
      </w:r>
      <w:r w:rsidRPr="00FE4160">
        <w:rPr>
          <w:rFonts w:ascii="Verdana" w:hAnsi="Verdana"/>
          <w:sz w:val="22"/>
          <w:szCs w:val="22"/>
        </w:rPr>
        <w:t xml:space="preserve">in </w:t>
      </w:r>
      <w:r w:rsidR="009277CA" w:rsidRPr="00FE4160">
        <w:rPr>
          <w:rFonts w:ascii="Verdana" w:hAnsi="Verdana"/>
          <w:sz w:val="22"/>
          <w:szCs w:val="22"/>
        </w:rPr>
        <w:t>water</w:t>
      </w:r>
      <w:r w:rsidR="00DA344B" w:rsidRPr="00FE4160">
        <w:rPr>
          <w:rFonts w:ascii="Verdana" w:hAnsi="Verdana"/>
          <w:sz w:val="22"/>
          <w:szCs w:val="22"/>
        </w:rPr>
        <w:t>.</w:t>
      </w:r>
    </w:p>
    <w:p w14:paraId="09CFF591" w14:textId="77777777" w:rsidR="00B52C24" w:rsidRPr="00FE4160" w:rsidRDefault="00B52C24" w:rsidP="00597F34">
      <w:pPr>
        <w:rPr>
          <w:rStyle w:val="Strong"/>
          <w:rFonts w:ascii="Verdana" w:hAnsi="Verdana"/>
          <w:sz w:val="22"/>
          <w:szCs w:val="22"/>
        </w:rPr>
      </w:pPr>
    </w:p>
    <w:p w14:paraId="4BC91CCE" w14:textId="77777777" w:rsidR="00597F34" w:rsidRPr="00FE4160" w:rsidRDefault="00597F34" w:rsidP="00597F34">
      <w:pPr>
        <w:rPr>
          <w:rFonts w:ascii="Verdana" w:hAnsi="Verdana"/>
          <w:sz w:val="22"/>
          <w:szCs w:val="22"/>
        </w:rPr>
      </w:pPr>
      <w:r w:rsidRPr="00FE4160">
        <w:rPr>
          <w:rStyle w:val="Strong"/>
          <w:rFonts w:ascii="Verdana" w:hAnsi="Verdana"/>
          <w:sz w:val="22"/>
          <w:szCs w:val="22"/>
        </w:rPr>
        <w:t>Lead Office:</w:t>
      </w:r>
      <w:r w:rsidR="00240D50" w:rsidRPr="00FE4160">
        <w:rPr>
          <w:rStyle w:val="Strong"/>
          <w:rFonts w:ascii="Verdana" w:hAnsi="Verdana"/>
          <w:sz w:val="22"/>
          <w:szCs w:val="22"/>
        </w:rPr>
        <w:t xml:space="preserve">  </w:t>
      </w:r>
      <w:r w:rsidR="00C77103" w:rsidRPr="00FE4160">
        <w:rPr>
          <w:rFonts w:ascii="Verdana" w:hAnsi="Verdana"/>
          <w:sz w:val="22"/>
          <w:szCs w:val="22"/>
        </w:rPr>
        <w:t>Allison Woodall</w:t>
      </w:r>
      <w:r w:rsidRPr="00FE4160">
        <w:rPr>
          <w:rFonts w:ascii="Verdana" w:hAnsi="Verdana"/>
          <w:sz w:val="22"/>
          <w:szCs w:val="22"/>
        </w:rPr>
        <w:t>/</w:t>
      </w:r>
      <w:r w:rsidR="00C77103" w:rsidRPr="00FE4160">
        <w:rPr>
          <w:rFonts w:ascii="Verdana" w:hAnsi="Verdana"/>
          <w:sz w:val="22"/>
          <w:szCs w:val="22"/>
        </w:rPr>
        <w:t>Office of Water</w:t>
      </w:r>
    </w:p>
    <w:p w14:paraId="7D62FB99" w14:textId="77777777" w:rsidR="00597F34" w:rsidRPr="00FE4160" w:rsidRDefault="00597F34" w:rsidP="00597F34">
      <w:pPr>
        <w:rPr>
          <w:rFonts w:ascii="Verdana" w:hAnsi="Verdana"/>
          <w:sz w:val="22"/>
          <w:szCs w:val="22"/>
        </w:rPr>
      </w:pPr>
    </w:p>
    <w:p w14:paraId="595B2AF2" w14:textId="38BDFF76" w:rsidR="00597F34" w:rsidRPr="00FE4160" w:rsidRDefault="00597F34" w:rsidP="00597F34">
      <w:pPr>
        <w:rPr>
          <w:rFonts w:ascii="Verdana" w:hAnsi="Verdana"/>
          <w:sz w:val="22"/>
          <w:szCs w:val="22"/>
        </w:rPr>
      </w:pPr>
      <w:r w:rsidRPr="00FE4160">
        <w:rPr>
          <w:rStyle w:val="Strong"/>
          <w:rFonts w:ascii="Verdana" w:hAnsi="Verdana"/>
          <w:sz w:val="22"/>
          <w:szCs w:val="22"/>
        </w:rPr>
        <w:t>Internal Coordination:</w:t>
      </w:r>
      <w:r w:rsidR="00240D50" w:rsidRPr="00FE4160">
        <w:rPr>
          <w:rStyle w:val="Strong"/>
          <w:rFonts w:ascii="Verdana" w:hAnsi="Verdana"/>
          <w:sz w:val="22"/>
          <w:szCs w:val="22"/>
        </w:rPr>
        <w:t xml:space="preserve">  </w:t>
      </w:r>
      <w:r w:rsidR="00240D50" w:rsidRPr="00FE4160">
        <w:rPr>
          <w:rStyle w:val="Strong"/>
          <w:rFonts w:ascii="Verdana" w:hAnsi="Verdana"/>
          <w:b w:val="0"/>
          <w:sz w:val="22"/>
          <w:szCs w:val="22"/>
        </w:rPr>
        <w:t xml:space="preserve">Kelly Holligan, </w:t>
      </w:r>
      <w:r w:rsidR="00C77103" w:rsidRPr="00FE4160">
        <w:rPr>
          <w:rFonts w:ascii="Verdana" w:hAnsi="Verdana"/>
          <w:sz w:val="22"/>
          <w:szCs w:val="22"/>
        </w:rPr>
        <w:t>Katherine Nelson, Jill Csekitz,</w:t>
      </w:r>
      <w:r w:rsidR="0051123F" w:rsidRPr="00FE4160">
        <w:rPr>
          <w:rFonts w:ascii="Verdana" w:hAnsi="Verdana"/>
          <w:sz w:val="22"/>
          <w:szCs w:val="22"/>
        </w:rPr>
        <w:t xml:space="preserve"> Kyle Girten,</w:t>
      </w:r>
      <w:r w:rsidR="00C77103" w:rsidRPr="00FE4160">
        <w:rPr>
          <w:rFonts w:ascii="Verdana" w:hAnsi="Verdana"/>
          <w:sz w:val="22"/>
          <w:szCs w:val="22"/>
        </w:rPr>
        <w:t xml:space="preserve"> </w:t>
      </w:r>
      <w:r w:rsidR="006E6BC9" w:rsidRPr="00FE4160">
        <w:rPr>
          <w:rFonts w:ascii="Verdana" w:hAnsi="Verdana"/>
          <w:sz w:val="22"/>
          <w:szCs w:val="22"/>
        </w:rPr>
        <w:t xml:space="preserve">Joe Martin, </w:t>
      </w:r>
      <w:r w:rsidR="00A06FE1" w:rsidRPr="00FE4160">
        <w:rPr>
          <w:rFonts w:ascii="Verdana" w:hAnsi="Verdana"/>
          <w:sz w:val="22"/>
          <w:szCs w:val="22"/>
        </w:rPr>
        <w:t xml:space="preserve">Debbie Miller, </w:t>
      </w:r>
      <w:r w:rsidR="0051123F" w:rsidRPr="00FE4160">
        <w:rPr>
          <w:rFonts w:ascii="Verdana" w:hAnsi="Verdana"/>
          <w:sz w:val="22"/>
          <w:szCs w:val="22"/>
        </w:rPr>
        <w:t xml:space="preserve">Katherine Lavelle, Emily McArdle, Andrew Sullivan, Daniele Baker, and Robin Cypher, </w:t>
      </w:r>
      <w:r w:rsidR="00C77103" w:rsidRPr="00FE4160">
        <w:rPr>
          <w:rFonts w:ascii="Verdana" w:hAnsi="Verdana"/>
          <w:sz w:val="22"/>
          <w:szCs w:val="22"/>
        </w:rPr>
        <w:t xml:space="preserve">of the Water Quality Planning Division; </w:t>
      </w:r>
      <w:r w:rsidR="0051123F" w:rsidRPr="00FE4160">
        <w:rPr>
          <w:rFonts w:ascii="Verdana" w:hAnsi="Verdana"/>
          <w:sz w:val="22"/>
          <w:szCs w:val="22"/>
        </w:rPr>
        <w:t>Mark Palmie</w:t>
      </w:r>
      <w:r w:rsidR="00A06FE1" w:rsidRPr="00FE4160">
        <w:rPr>
          <w:rFonts w:ascii="Verdana" w:hAnsi="Verdana"/>
          <w:sz w:val="22"/>
          <w:szCs w:val="22"/>
        </w:rPr>
        <w:t xml:space="preserve"> and </w:t>
      </w:r>
      <w:r w:rsidR="0051123F" w:rsidRPr="00FE4160">
        <w:rPr>
          <w:rFonts w:ascii="Verdana" w:hAnsi="Verdana"/>
          <w:sz w:val="22"/>
          <w:szCs w:val="22"/>
        </w:rPr>
        <w:t>Peter Schaefer</w:t>
      </w:r>
      <w:r w:rsidR="00C77103" w:rsidRPr="00FE4160">
        <w:rPr>
          <w:rFonts w:ascii="Verdana" w:hAnsi="Verdana"/>
          <w:sz w:val="22"/>
          <w:szCs w:val="22"/>
        </w:rPr>
        <w:t xml:space="preserve"> of the Water Quality Division</w:t>
      </w:r>
      <w:r w:rsidR="0051123F" w:rsidRPr="00FE4160">
        <w:rPr>
          <w:rFonts w:ascii="Verdana" w:hAnsi="Verdana"/>
          <w:sz w:val="22"/>
          <w:szCs w:val="22"/>
        </w:rPr>
        <w:t>; Patricia Wise and J</w:t>
      </w:r>
      <w:r w:rsidR="00710214" w:rsidRPr="00FE4160">
        <w:rPr>
          <w:rFonts w:ascii="Verdana" w:hAnsi="Verdana"/>
          <w:sz w:val="22"/>
          <w:szCs w:val="22"/>
        </w:rPr>
        <w:t>e</w:t>
      </w:r>
      <w:r w:rsidR="0051123F" w:rsidRPr="00FE4160">
        <w:rPr>
          <w:rFonts w:ascii="Verdana" w:hAnsi="Verdana"/>
          <w:sz w:val="22"/>
          <w:szCs w:val="22"/>
        </w:rPr>
        <w:t>n</w:t>
      </w:r>
      <w:r w:rsidR="00710214" w:rsidRPr="00FE4160">
        <w:rPr>
          <w:rFonts w:ascii="Verdana" w:hAnsi="Verdana"/>
          <w:sz w:val="22"/>
          <w:szCs w:val="22"/>
        </w:rPr>
        <w:t>n</w:t>
      </w:r>
      <w:r w:rsidR="0051123F" w:rsidRPr="00FE4160">
        <w:rPr>
          <w:rFonts w:ascii="Verdana" w:hAnsi="Verdana"/>
          <w:sz w:val="22"/>
          <w:szCs w:val="22"/>
        </w:rPr>
        <w:t>elle</w:t>
      </w:r>
      <w:r w:rsidR="00710214" w:rsidRPr="00FE4160">
        <w:rPr>
          <w:rFonts w:ascii="Verdana" w:hAnsi="Verdana"/>
          <w:sz w:val="22"/>
          <w:szCs w:val="22"/>
        </w:rPr>
        <w:t xml:space="preserve"> Crane of the Water Supply Division; and Mi</w:t>
      </w:r>
      <w:r w:rsidR="00086153" w:rsidRPr="00FE4160">
        <w:rPr>
          <w:rFonts w:ascii="Verdana" w:hAnsi="Verdana"/>
          <w:sz w:val="22"/>
          <w:szCs w:val="22"/>
        </w:rPr>
        <w:t>chael</w:t>
      </w:r>
      <w:r w:rsidR="00710214" w:rsidRPr="00FE4160">
        <w:rPr>
          <w:rFonts w:ascii="Verdana" w:hAnsi="Verdana"/>
          <w:sz w:val="22"/>
          <w:szCs w:val="22"/>
        </w:rPr>
        <w:t xml:space="preserve"> Honeycutt and Allison Jenkins of the </w:t>
      </w:r>
      <w:r w:rsidR="004D48AB" w:rsidRPr="00FE4160">
        <w:rPr>
          <w:rFonts w:ascii="Verdana" w:hAnsi="Verdana"/>
          <w:sz w:val="22"/>
          <w:szCs w:val="22"/>
        </w:rPr>
        <w:t>Toxicology Division</w:t>
      </w:r>
      <w:r w:rsidR="00C77103" w:rsidRPr="00FE4160">
        <w:rPr>
          <w:rFonts w:ascii="Verdana" w:hAnsi="Verdana"/>
          <w:sz w:val="22"/>
          <w:szCs w:val="22"/>
        </w:rPr>
        <w:t xml:space="preserve">.  </w:t>
      </w:r>
    </w:p>
    <w:p w14:paraId="587409D9" w14:textId="77777777" w:rsidR="00597F34" w:rsidRPr="00FE4160" w:rsidRDefault="00597F34" w:rsidP="00597F34">
      <w:pPr>
        <w:rPr>
          <w:rFonts w:ascii="Verdana" w:hAnsi="Verdana"/>
          <w:sz w:val="22"/>
          <w:szCs w:val="22"/>
        </w:rPr>
      </w:pPr>
    </w:p>
    <w:p w14:paraId="76AAAE88" w14:textId="77777777" w:rsidR="00597F34" w:rsidRPr="00FE4160" w:rsidRDefault="00597F34" w:rsidP="00597F34">
      <w:pPr>
        <w:rPr>
          <w:rStyle w:val="Strong"/>
          <w:rFonts w:ascii="Verdana" w:hAnsi="Verdana"/>
          <w:sz w:val="22"/>
          <w:szCs w:val="22"/>
        </w:rPr>
      </w:pPr>
      <w:r w:rsidRPr="00FE4160">
        <w:rPr>
          <w:rStyle w:val="Strong"/>
          <w:rFonts w:ascii="Verdana" w:hAnsi="Verdana"/>
          <w:sz w:val="22"/>
          <w:szCs w:val="22"/>
        </w:rPr>
        <w:t xml:space="preserve">Deputy Director </w:t>
      </w:r>
      <w:r w:rsidR="00240D50" w:rsidRPr="00FE4160">
        <w:rPr>
          <w:rStyle w:val="Strong"/>
          <w:rFonts w:ascii="Verdana" w:hAnsi="Verdana"/>
          <w:sz w:val="22"/>
          <w:szCs w:val="22"/>
        </w:rPr>
        <w:t xml:space="preserve">Approval:  </w:t>
      </w:r>
      <w:r w:rsidR="00240D50" w:rsidRPr="00FE4160">
        <w:rPr>
          <w:rStyle w:val="Strong"/>
          <w:rFonts w:ascii="Verdana" w:hAnsi="Verdana"/>
          <w:b w:val="0"/>
          <w:sz w:val="22"/>
          <w:szCs w:val="22"/>
        </w:rPr>
        <w:t>L</w:t>
      </w:r>
      <w:r w:rsidR="00C77103" w:rsidRPr="00FE4160">
        <w:rPr>
          <w:rFonts w:ascii="Verdana" w:hAnsi="Verdana"/>
          <w:b/>
          <w:sz w:val="22"/>
          <w:szCs w:val="22"/>
        </w:rPr>
        <w:t>’</w:t>
      </w:r>
      <w:r w:rsidR="00C77103" w:rsidRPr="00FE4160">
        <w:rPr>
          <w:rFonts w:ascii="Verdana" w:hAnsi="Verdana"/>
          <w:sz w:val="22"/>
          <w:szCs w:val="22"/>
        </w:rPr>
        <w:t>Oreal W. Stepney, P.E.</w:t>
      </w:r>
    </w:p>
    <w:p w14:paraId="0CF69C68" w14:textId="77777777" w:rsidR="00597F34" w:rsidRPr="00FE4160" w:rsidRDefault="00597F34" w:rsidP="00597F34">
      <w:pPr>
        <w:rPr>
          <w:rStyle w:val="Strong"/>
          <w:rFonts w:ascii="Verdana" w:hAnsi="Verdana"/>
          <w:sz w:val="22"/>
          <w:szCs w:val="22"/>
        </w:rPr>
      </w:pPr>
    </w:p>
    <w:p w14:paraId="6BDB0524" w14:textId="3ACFB537" w:rsidR="00A03680" w:rsidRPr="00597F34" w:rsidRDefault="00D425DC" w:rsidP="009808B9">
      <w:pPr>
        <w:tabs>
          <w:tab w:val="left" w:pos="4035"/>
        </w:tabs>
      </w:pPr>
      <w:r w:rsidRPr="00FE4160">
        <w:rPr>
          <w:rStyle w:val="Strong"/>
          <w:rFonts w:ascii="Verdana" w:hAnsi="Verdana"/>
          <w:sz w:val="22"/>
          <w:szCs w:val="22"/>
        </w:rPr>
        <w:t>Deadline</w:t>
      </w:r>
      <w:r w:rsidR="00597F34" w:rsidRPr="00FE4160">
        <w:rPr>
          <w:rFonts w:ascii="Verdana" w:hAnsi="Verdana"/>
          <w:sz w:val="22"/>
          <w:szCs w:val="22"/>
        </w:rPr>
        <w:t>:</w:t>
      </w:r>
      <w:r w:rsidR="00240D50" w:rsidRPr="00FE4160">
        <w:rPr>
          <w:rFonts w:ascii="Verdana" w:hAnsi="Verdana"/>
          <w:sz w:val="22"/>
          <w:szCs w:val="22"/>
        </w:rPr>
        <w:t xml:space="preserve">  </w:t>
      </w:r>
      <w:r w:rsidR="007D406B">
        <w:rPr>
          <w:rFonts w:ascii="Verdana" w:hAnsi="Verdana"/>
          <w:sz w:val="22"/>
          <w:szCs w:val="22"/>
        </w:rPr>
        <w:t>March 20</w:t>
      </w:r>
      <w:r w:rsidR="00597F34" w:rsidRPr="00FE4160">
        <w:rPr>
          <w:rFonts w:ascii="Verdana" w:hAnsi="Verdana"/>
          <w:sz w:val="22"/>
          <w:szCs w:val="22"/>
        </w:rPr>
        <w:t xml:space="preserve">, </w:t>
      </w:r>
      <w:r w:rsidR="004D6E13" w:rsidRPr="00FE4160">
        <w:rPr>
          <w:rFonts w:ascii="Verdana" w:hAnsi="Verdana"/>
          <w:sz w:val="22"/>
          <w:szCs w:val="22"/>
        </w:rPr>
        <w:t>2017</w:t>
      </w:r>
      <w:r w:rsidR="004D6E13" w:rsidRPr="00597F34">
        <w:rPr>
          <w:rFonts w:ascii="Georgia" w:hAnsi="Georgia"/>
        </w:rPr>
        <w:t xml:space="preserve"> </w:t>
      </w:r>
      <w:r w:rsidR="009808B9">
        <w:rPr>
          <w:rFonts w:ascii="Georgia" w:hAnsi="Georgia"/>
        </w:rPr>
        <w:tab/>
      </w:r>
    </w:p>
    <w:sectPr w:rsidR="00A03680" w:rsidRPr="00597F34" w:rsidSect="00A960F0">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F3C5E" w14:textId="77777777" w:rsidR="00941402" w:rsidRDefault="00941402">
      <w:r>
        <w:separator/>
      </w:r>
    </w:p>
  </w:endnote>
  <w:endnote w:type="continuationSeparator" w:id="0">
    <w:p w14:paraId="25A28144" w14:textId="77777777" w:rsidR="00941402" w:rsidRDefault="0094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13364" w14:textId="77777777" w:rsidR="00941402" w:rsidRDefault="00941402">
      <w:r>
        <w:separator/>
      </w:r>
    </w:p>
  </w:footnote>
  <w:footnote w:type="continuationSeparator" w:id="0">
    <w:p w14:paraId="2E595C2F" w14:textId="77777777" w:rsidR="00941402" w:rsidRDefault="00941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D2449"/>
    <w:multiLevelType w:val="hybridMultilevel"/>
    <w:tmpl w:val="87B0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95E00"/>
    <w:multiLevelType w:val="hybridMultilevel"/>
    <w:tmpl w:val="E5046D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5D1707E"/>
    <w:multiLevelType w:val="hybridMultilevel"/>
    <w:tmpl w:val="A5DC7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42CFB"/>
    <w:multiLevelType w:val="hybridMultilevel"/>
    <w:tmpl w:val="CBCAA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B92206D"/>
    <w:multiLevelType w:val="hybridMultilevel"/>
    <w:tmpl w:val="58E2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43181"/>
    <w:multiLevelType w:val="hybridMultilevel"/>
    <w:tmpl w:val="D4BA612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8540699"/>
    <w:multiLevelType w:val="hybridMultilevel"/>
    <w:tmpl w:val="B2D8BD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75A3C16"/>
    <w:multiLevelType w:val="hybridMultilevel"/>
    <w:tmpl w:val="9BE4EAC8"/>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69B9356C"/>
    <w:multiLevelType w:val="hybridMultilevel"/>
    <w:tmpl w:val="A2EA68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EB6025"/>
    <w:multiLevelType w:val="hybridMultilevel"/>
    <w:tmpl w:val="7B9C7642"/>
    <w:lvl w:ilvl="0" w:tplc="A4EC78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22"/>
  </w:num>
  <w:num w:numId="9">
    <w:abstractNumId w:val="20"/>
  </w:num>
  <w:num w:numId="10">
    <w:abstractNumId w:val="17"/>
  </w:num>
  <w:num w:numId="11">
    <w:abstractNumId w:val="7"/>
  </w:num>
  <w:num w:numId="12">
    <w:abstractNumId w:val="9"/>
  </w:num>
  <w:num w:numId="13">
    <w:abstractNumId w:val="8"/>
  </w:num>
  <w:num w:numId="14">
    <w:abstractNumId w:val="16"/>
  </w:num>
  <w:num w:numId="15">
    <w:abstractNumId w:val="19"/>
  </w:num>
  <w:num w:numId="16">
    <w:abstractNumId w:val="15"/>
  </w:num>
  <w:num w:numId="17">
    <w:abstractNumId w:val="13"/>
  </w:num>
  <w:num w:numId="18">
    <w:abstractNumId w:val="13"/>
  </w:num>
  <w:num w:numId="19">
    <w:abstractNumId w:val="11"/>
  </w:num>
  <w:num w:numId="20">
    <w:abstractNumId w:val="18"/>
  </w:num>
  <w:num w:numId="21">
    <w:abstractNumId w:val="14"/>
  </w:num>
  <w:num w:numId="22">
    <w:abstractNumId w:val="21"/>
  </w:num>
  <w:num w:numId="23">
    <w:abstractNumId w:val="12"/>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34"/>
    <w:rsid w:val="00011909"/>
    <w:rsid w:val="0003408C"/>
    <w:rsid w:val="00051B7F"/>
    <w:rsid w:val="000534A2"/>
    <w:rsid w:val="00060630"/>
    <w:rsid w:val="00081C13"/>
    <w:rsid w:val="00086153"/>
    <w:rsid w:val="000A4DD1"/>
    <w:rsid w:val="000B16A9"/>
    <w:rsid w:val="000B4689"/>
    <w:rsid w:val="000B63AF"/>
    <w:rsid w:val="000C652D"/>
    <w:rsid w:val="000D068F"/>
    <w:rsid w:val="000D6943"/>
    <w:rsid w:val="000F294A"/>
    <w:rsid w:val="000F41FF"/>
    <w:rsid w:val="000F793B"/>
    <w:rsid w:val="001039AE"/>
    <w:rsid w:val="00110C4F"/>
    <w:rsid w:val="00116413"/>
    <w:rsid w:val="00126752"/>
    <w:rsid w:val="00160136"/>
    <w:rsid w:val="00175E6D"/>
    <w:rsid w:val="00176015"/>
    <w:rsid w:val="00181EDD"/>
    <w:rsid w:val="0018739F"/>
    <w:rsid w:val="0019501E"/>
    <w:rsid w:val="001A17DC"/>
    <w:rsid w:val="001A231C"/>
    <w:rsid w:val="001A3CA8"/>
    <w:rsid w:val="001C0C81"/>
    <w:rsid w:val="001C65A8"/>
    <w:rsid w:val="001F0A20"/>
    <w:rsid w:val="001F0D2F"/>
    <w:rsid w:val="00237116"/>
    <w:rsid w:val="00240D50"/>
    <w:rsid w:val="00261265"/>
    <w:rsid w:val="00267310"/>
    <w:rsid w:val="002677C4"/>
    <w:rsid w:val="00271120"/>
    <w:rsid w:val="002748AD"/>
    <w:rsid w:val="0028227D"/>
    <w:rsid w:val="00292CFB"/>
    <w:rsid w:val="002949B5"/>
    <w:rsid w:val="00295941"/>
    <w:rsid w:val="00297D38"/>
    <w:rsid w:val="002A25B4"/>
    <w:rsid w:val="002B37B0"/>
    <w:rsid w:val="002B38A7"/>
    <w:rsid w:val="002D4E2D"/>
    <w:rsid w:val="002E28F4"/>
    <w:rsid w:val="002E5F82"/>
    <w:rsid w:val="002E6FA1"/>
    <w:rsid w:val="002F57BF"/>
    <w:rsid w:val="00304FE0"/>
    <w:rsid w:val="00317E9D"/>
    <w:rsid w:val="00347AE9"/>
    <w:rsid w:val="00351FD0"/>
    <w:rsid w:val="00361FA4"/>
    <w:rsid w:val="00365409"/>
    <w:rsid w:val="00374209"/>
    <w:rsid w:val="003842FC"/>
    <w:rsid w:val="00393C75"/>
    <w:rsid w:val="00395FAA"/>
    <w:rsid w:val="003B41DF"/>
    <w:rsid w:val="003F5ABB"/>
    <w:rsid w:val="003F73F6"/>
    <w:rsid w:val="00412003"/>
    <w:rsid w:val="00415804"/>
    <w:rsid w:val="00421DF3"/>
    <w:rsid w:val="0042252B"/>
    <w:rsid w:val="00423180"/>
    <w:rsid w:val="00435A06"/>
    <w:rsid w:val="00435F2C"/>
    <w:rsid w:val="004502F0"/>
    <w:rsid w:val="0045067F"/>
    <w:rsid w:val="004546E5"/>
    <w:rsid w:val="0046099C"/>
    <w:rsid w:val="00460A4F"/>
    <w:rsid w:val="00462A73"/>
    <w:rsid w:val="004845CE"/>
    <w:rsid w:val="004854C7"/>
    <w:rsid w:val="004A0C3D"/>
    <w:rsid w:val="004B4131"/>
    <w:rsid w:val="004B5CC3"/>
    <w:rsid w:val="004B6F2C"/>
    <w:rsid w:val="004D2CA6"/>
    <w:rsid w:val="004D3874"/>
    <w:rsid w:val="004D48AB"/>
    <w:rsid w:val="004D6E13"/>
    <w:rsid w:val="004E242B"/>
    <w:rsid w:val="004E38C1"/>
    <w:rsid w:val="0051123F"/>
    <w:rsid w:val="0051287B"/>
    <w:rsid w:val="00512A96"/>
    <w:rsid w:val="0053098A"/>
    <w:rsid w:val="005464F5"/>
    <w:rsid w:val="00547AC1"/>
    <w:rsid w:val="0055212A"/>
    <w:rsid w:val="00557C47"/>
    <w:rsid w:val="005654AD"/>
    <w:rsid w:val="00565F89"/>
    <w:rsid w:val="005730F6"/>
    <w:rsid w:val="00583E12"/>
    <w:rsid w:val="00597F34"/>
    <w:rsid w:val="005A67E2"/>
    <w:rsid w:val="005C27EE"/>
    <w:rsid w:val="005C67C1"/>
    <w:rsid w:val="005D0BA0"/>
    <w:rsid w:val="005D5499"/>
    <w:rsid w:val="005F337F"/>
    <w:rsid w:val="005F3F66"/>
    <w:rsid w:val="005F76E9"/>
    <w:rsid w:val="00612042"/>
    <w:rsid w:val="0061607D"/>
    <w:rsid w:val="00630094"/>
    <w:rsid w:val="00640086"/>
    <w:rsid w:val="00643083"/>
    <w:rsid w:val="00643BB9"/>
    <w:rsid w:val="0065525B"/>
    <w:rsid w:val="00660969"/>
    <w:rsid w:val="00662520"/>
    <w:rsid w:val="006730D8"/>
    <w:rsid w:val="00677D7B"/>
    <w:rsid w:val="00681121"/>
    <w:rsid w:val="006820F9"/>
    <w:rsid w:val="0068731C"/>
    <w:rsid w:val="006A2146"/>
    <w:rsid w:val="006A24FC"/>
    <w:rsid w:val="006B2F92"/>
    <w:rsid w:val="006C6CEB"/>
    <w:rsid w:val="006C7E30"/>
    <w:rsid w:val="006E039A"/>
    <w:rsid w:val="006E14D3"/>
    <w:rsid w:val="006E6BC9"/>
    <w:rsid w:val="007052BE"/>
    <w:rsid w:val="007063E4"/>
    <w:rsid w:val="00710214"/>
    <w:rsid w:val="007112A3"/>
    <w:rsid w:val="007142DB"/>
    <w:rsid w:val="00714E32"/>
    <w:rsid w:val="00720D87"/>
    <w:rsid w:val="0072249E"/>
    <w:rsid w:val="00724108"/>
    <w:rsid w:val="00727F1C"/>
    <w:rsid w:val="00731DA1"/>
    <w:rsid w:val="00732647"/>
    <w:rsid w:val="00735B4F"/>
    <w:rsid w:val="00746472"/>
    <w:rsid w:val="0075745D"/>
    <w:rsid w:val="00776627"/>
    <w:rsid w:val="00782EB4"/>
    <w:rsid w:val="0078404B"/>
    <w:rsid w:val="00787652"/>
    <w:rsid w:val="00796DFE"/>
    <w:rsid w:val="007A2D5B"/>
    <w:rsid w:val="007A5CCC"/>
    <w:rsid w:val="007B188F"/>
    <w:rsid w:val="007B64C8"/>
    <w:rsid w:val="007D406B"/>
    <w:rsid w:val="007D5037"/>
    <w:rsid w:val="007E0510"/>
    <w:rsid w:val="007F15C0"/>
    <w:rsid w:val="007F1D92"/>
    <w:rsid w:val="007F414C"/>
    <w:rsid w:val="007F5FB9"/>
    <w:rsid w:val="008005DE"/>
    <w:rsid w:val="00804F81"/>
    <w:rsid w:val="00812518"/>
    <w:rsid w:val="00812EEF"/>
    <w:rsid w:val="00845F6C"/>
    <w:rsid w:val="0085095F"/>
    <w:rsid w:val="008549AF"/>
    <w:rsid w:val="00857951"/>
    <w:rsid w:val="00860D1D"/>
    <w:rsid w:val="008755F2"/>
    <w:rsid w:val="00880101"/>
    <w:rsid w:val="008B3249"/>
    <w:rsid w:val="008B36BF"/>
    <w:rsid w:val="008C0446"/>
    <w:rsid w:val="008D5DCA"/>
    <w:rsid w:val="008E0C92"/>
    <w:rsid w:val="008E33DD"/>
    <w:rsid w:val="008E7E23"/>
    <w:rsid w:val="008F45C7"/>
    <w:rsid w:val="009277CA"/>
    <w:rsid w:val="009328B5"/>
    <w:rsid w:val="00935F91"/>
    <w:rsid w:val="00941402"/>
    <w:rsid w:val="00951537"/>
    <w:rsid w:val="00962A08"/>
    <w:rsid w:val="00970421"/>
    <w:rsid w:val="00974E8C"/>
    <w:rsid w:val="0097746C"/>
    <w:rsid w:val="009808B9"/>
    <w:rsid w:val="00980D9A"/>
    <w:rsid w:val="00994485"/>
    <w:rsid w:val="00995CBE"/>
    <w:rsid w:val="00996B99"/>
    <w:rsid w:val="009B1573"/>
    <w:rsid w:val="009C2564"/>
    <w:rsid w:val="009C389E"/>
    <w:rsid w:val="009E7268"/>
    <w:rsid w:val="00A03680"/>
    <w:rsid w:val="00A06FE1"/>
    <w:rsid w:val="00A2193F"/>
    <w:rsid w:val="00A30564"/>
    <w:rsid w:val="00A35726"/>
    <w:rsid w:val="00A51076"/>
    <w:rsid w:val="00A57A7E"/>
    <w:rsid w:val="00A67256"/>
    <w:rsid w:val="00A71594"/>
    <w:rsid w:val="00A75BA9"/>
    <w:rsid w:val="00A95F2E"/>
    <w:rsid w:val="00AA1DE4"/>
    <w:rsid w:val="00AB074C"/>
    <w:rsid w:val="00AB5481"/>
    <w:rsid w:val="00AB568C"/>
    <w:rsid w:val="00AC5B8E"/>
    <w:rsid w:val="00AF4843"/>
    <w:rsid w:val="00B02DB1"/>
    <w:rsid w:val="00B04935"/>
    <w:rsid w:val="00B22680"/>
    <w:rsid w:val="00B32ABA"/>
    <w:rsid w:val="00B3681B"/>
    <w:rsid w:val="00B375E3"/>
    <w:rsid w:val="00B4403F"/>
    <w:rsid w:val="00B519FF"/>
    <w:rsid w:val="00B52C24"/>
    <w:rsid w:val="00B84CA7"/>
    <w:rsid w:val="00BB2F99"/>
    <w:rsid w:val="00BC1683"/>
    <w:rsid w:val="00BE69F8"/>
    <w:rsid w:val="00BF000E"/>
    <w:rsid w:val="00BF00E5"/>
    <w:rsid w:val="00BF233C"/>
    <w:rsid w:val="00C06C2E"/>
    <w:rsid w:val="00C14180"/>
    <w:rsid w:val="00C35F33"/>
    <w:rsid w:val="00C45892"/>
    <w:rsid w:val="00C57491"/>
    <w:rsid w:val="00C6011C"/>
    <w:rsid w:val="00C64906"/>
    <w:rsid w:val="00C743C6"/>
    <w:rsid w:val="00C77103"/>
    <w:rsid w:val="00C77D27"/>
    <w:rsid w:val="00C91053"/>
    <w:rsid w:val="00C95864"/>
    <w:rsid w:val="00CB6E04"/>
    <w:rsid w:val="00CC33F0"/>
    <w:rsid w:val="00CC7086"/>
    <w:rsid w:val="00CD1328"/>
    <w:rsid w:val="00CE4D47"/>
    <w:rsid w:val="00CF63FA"/>
    <w:rsid w:val="00D02028"/>
    <w:rsid w:val="00D115B8"/>
    <w:rsid w:val="00D12569"/>
    <w:rsid w:val="00D3078F"/>
    <w:rsid w:val="00D425DC"/>
    <w:rsid w:val="00D44331"/>
    <w:rsid w:val="00D46BB7"/>
    <w:rsid w:val="00D50B0B"/>
    <w:rsid w:val="00D65EC5"/>
    <w:rsid w:val="00D67794"/>
    <w:rsid w:val="00D9218C"/>
    <w:rsid w:val="00DA344B"/>
    <w:rsid w:val="00DB51BF"/>
    <w:rsid w:val="00DB788B"/>
    <w:rsid w:val="00DC52ED"/>
    <w:rsid w:val="00DD44B5"/>
    <w:rsid w:val="00DE50A5"/>
    <w:rsid w:val="00DF56A2"/>
    <w:rsid w:val="00DF70A4"/>
    <w:rsid w:val="00DF717D"/>
    <w:rsid w:val="00E1087B"/>
    <w:rsid w:val="00E12791"/>
    <w:rsid w:val="00E14844"/>
    <w:rsid w:val="00E30FF4"/>
    <w:rsid w:val="00E317E0"/>
    <w:rsid w:val="00E50AEA"/>
    <w:rsid w:val="00E62C41"/>
    <w:rsid w:val="00E66491"/>
    <w:rsid w:val="00E82A12"/>
    <w:rsid w:val="00E910F6"/>
    <w:rsid w:val="00E92F86"/>
    <w:rsid w:val="00EB0E59"/>
    <w:rsid w:val="00EC1D83"/>
    <w:rsid w:val="00EC25AF"/>
    <w:rsid w:val="00EE2161"/>
    <w:rsid w:val="00EE284F"/>
    <w:rsid w:val="00EE2930"/>
    <w:rsid w:val="00EF2E65"/>
    <w:rsid w:val="00EF6A56"/>
    <w:rsid w:val="00F11FBA"/>
    <w:rsid w:val="00F173BA"/>
    <w:rsid w:val="00F3556A"/>
    <w:rsid w:val="00F37E50"/>
    <w:rsid w:val="00F46599"/>
    <w:rsid w:val="00F466C0"/>
    <w:rsid w:val="00F51F17"/>
    <w:rsid w:val="00F56A6D"/>
    <w:rsid w:val="00F56E78"/>
    <w:rsid w:val="00F63BF0"/>
    <w:rsid w:val="00F81956"/>
    <w:rsid w:val="00F81ACD"/>
    <w:rsid w:val="00F84C3B"/>
    <w:rsid w:val="00FA1B61"/>
    <w:rsid w:val="00FB1DEC"/>
    <w:rsid w:val="00FC58E9"/>
    <w:rsid w:val="00FC6435"/>
    <w:rsid w:val="00FE4160"/>
    <w:rsid w:val="00FE676D"/>
    <w:rsid w:val="00FF6359"/>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CB1727"/>
  <w15:docId w15:val="{A8FC6D79-2CB8-4B74-AD26-AE898D2C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qFormat/>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widowControl/>
      <w:numPr>
        <w:numId w:val="1"/>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2"/>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4"/>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5"/>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6"/>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7"/>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5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D781E-FAD9-43BC-AF14-33C9BFEB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1148</Words>
  <Characters>6546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Redmond</dc:creator>
  <cp:lastModifiedBy>Ken Sherry</cp:lastModifiedBy>
  <cp:revision>2</cp:revision>
  <cp:lastPrinted>2017-01-06T22:46:00Z</cp:lastPrinted>
  <dcterms:created xsi:type="dcterms:W3CDTF">2017-03-20T13:28:00Z</dcterms:created>
  <dcterms:modified xsi:type="dcterms:W3CDTF">2017-03-20T13:28:00Z</dcterms:modified>
</cp:coreProperties>
</file>