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0B773F" w:rsidRDefault="00597F34" w:rsidP="00597F34">
      <w:pPr>
        <w:pStyle w:val="Heading1"/>
        <w:jc w:val="center"/>
        <w:rPr>
          <w:rFonts w:ascii="Georgia" w:hAnsi="Georgia"/>
          <w:sz w:val="16"/>
          <w:szCs w:val="16"/>
        </w:rPr>
      </w:pPr>
      <w:r>
        <w:rPr>
          <w:rFonts w:ascii="Georgia" w:hAnsi="Georgia"/>
          <w:noProof/>
        </w:rPr>
        <w:drawing>
          <wp:anchor distT="0" distB="0" distL="114300" distR="114300" simplePos="0" relativeHeight="251659264" behindDoc="0" locked="0" layoutInCell="1" allowOverlap="1" wp14:anchorId="1B3F22DA" wp14:editId="6028BF90">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802F28" w:rsidRDefault="00597F34" w:rsidP="00597F34">
      <w:pPr>
        <w:rPr>
          <w:rStyle w:val="Strong"/>
          <w:rFonts w:ascii="Lucida Bright" w:hAnsi="Lucida Bright"/>
          <w:sz w:val="22"/>
          <w:szCs w:val="22"/>
        </w:rPr>
      </w:pPr>
      <w:r w:rsidRPr="00802F28">
        <w:rPr>
          <w:rStyle w:val="Strong"/>
          <w:rFonts w:ascii="Lucida Bright" w:hAnsi="Lucida Bright"/>
          <w:sz w:val="22"/>
          <w:szCs w:val="22"/>
        </w:rPr>
        <w:t>TCEQ Proposed Comments On:</w:t>
      </w:r>
    </w:p>
    <w:p w:rsidR="00597F34" w:rsidRPr="00802F28" w:rsidRDefault="00597F34" w:rsidP="00597F34">
      <w:pPr>
        <w:rPr>
          <w:rFonts w:ascii="Lucida Bright" w:hAnsi="Lucida Bright"/>
          <w:sz w:val="22"/>
          <w:szCs w:val="22"/>
        </w:rPr>
      </w:pPr>
    </w:p>
    <w:p w:rsidR="00597F34" w:rsidRPr="00802F28" w:rsidRDefault="00951537" w:rsidP="00597F34">
      <w:pPr>
        <w:rPr>
          <w:rFonts w:ascii="Lucida Bright" w:hAnsi="Lucida Bright"/>
          <w:sz w:val="22"/>
          <w:szCs w:val="22"/>
        </w:rPr>
      </w:pPr>
      <w:r w:rsidRPr="00802F28">
        <w:rPr>
          <w:rFonts w:ascii="Lucida Bright" w:hAnsi="Lucida Bright"/>
          <w:sz w:val="22"/>
          <w:szCs w:val="22"/>
        </w:rPr>
        <w:t xml:space="preserve">Request for </w:t>
      </w:r>
      <w:r w:rsidR="00AF4843" w:rsidRPr="00802F28">
        <w:rPr>
          <w:rFonts w:ascii="Lucida Bright" w:hAnsi="Lucida Bright"/>
          <w:sz w:val="22"/>
          <w:szCs w:val="22"/>
        </w:rPr>
        <w:t>Public Comment</w:t>
      </w:r>
      <w:r w:rsidR="00597F34" w:rsidRPr="00802F28">
        <w:rPr>
          <w:rFonts w:ascii="Lucida Bright" w:hAnsi="Lucida Bright"/>
          <w:sz w:val="22"/>
          <w:szCs w:val="22"/>
        </w:rPr>
        <w:t xml:space="preserve">; </w:t>
      </w:r>
      <w:bookmarkStart w:id="0" w:name="_GoBack"/>
      <w:r w:rsidR="009622FB" w:rsidRPr="0064711D">
        <w:rPr>
          <w:rFonts w:ascii="Lucida Bright" w:hAnsi="Lucida Bright"/>
          <w:i/>
          <w:sz w:val="22"/>
          <w:szCs w:val="22"/>
        </w:rPr>
        <w:t>Use of U.S. Army Corps of Engineers Reservoir Projects for Domestic, Municipal &amp; Industrial Water Supply</w:t>
      </w:r>
      <w:r w:rsidR="00597F34" w:rsidRPr="00802F28">
        <w:rPr>
          <w:rFonts w:ascii="Lucida Bright" w:hAnsi="Lucida Bright"/>
          <w:sz w:val="22"/>
          <w:szCs w:val="22"/>
        </w:rPr>
        <w:t>;</w:t>
      </w:r>
      <w:bookmarkEnd w:id="0"/>
      <w:r w:rsidR="00597F34" w:rsidRPr="00802F28">
        <w:rPr>
          <w:rFonts w:ascii="Lucida Bright" w:hAnsi="Lucida Bright"/>
          <w:sz w:val="22"/>
          <w:szCs w:val="22"/>
        </w:rPr>
        <w:t xml:space="preserve"> </w:t>
      </w:r>
      <w:r w:rsidR="00A16A94" w:rsidRPr="00802F28">
        <w:rPr>
          <w:rFonts w:ascii="Lucida Bright" w:hAnsi="Lucida Bright"/>
          <w:sz w:val="22"/>
          <w:szCs w:val="22"/>
        </w:rPr>
        <w:t>Docket ID Number COE–201</w:t>
      </w:r>
      <w:r w:rsidR="0007694E">
        <w:rPr>
          <w:rFonts w:ascii="Lucida Bright" w:hAnsi="Lucida Bright"/>
          <w:sz w:val="22"/>
          <w:szCs w:val="22"/>
        </w:rPr>
        <w:t>6</w:t>
      </w:r>
      <w:r w:rsidR="00A16A94" w:rsidRPr="00802F28">
        <w:rPr>
          <w:rFonts w:ascii="Lucida Bright" w:hAnsi="Lucida Bright"/>
          <w:sz w:val="22"/>
          <w:szCs w:val="22"/>
        </w:rPr>
        <w:t>–0016</w:t>
      </w:r>
      <w:r w:rsidR="00AF4843" w:rsidRPr="00802F28">
        <w:rPr>
          <w:rFonts w:ascii="Lucida Bright" w:hAnsi="Lucida Bright"/>
          <w:sz w:val="22"/>
          <w:szCs w:val="22"/>
        </w:rPr>
        <w:t xml:space="preserve">.  </w:t>
      </w:r>
    </w:p>
    <w:p w:rsidR="00597F34" w:rsidRPr="00802F28" w:rsidRDefault="00597F34" w:rsidP="00597F34">
      <w:pPr>
        <w:rPr>
          <w:rFonts w:ascii="Lucida Bright" w:hAnsi="Lucida Bright"/>
          <w:sz w:val="22"/>
          <w:szCs w:val="22"/>
        </w:rPr>
      </w:pPr>
    </w:p>
    <w:p w:rsidR="00597F34" w:rsidRPr="00802F28" w:rsidRDefault="00597F34" w:rsidP="00597F34">
      <w:pPr>
        <w:rPr>
          <w:rStyle w:val="Strong"/>
          <w:rFonts w:ascii="Lucida Bright" w:hAnsi="Lucida Bright"/>
          <w:sz w:val="22"/>
          <w:szCs w:val="22"/>
        </w:rPr>
      </w:pPr>
      <w:r w:rsidRPr="00802F28">
        <w:rPr>
          <w:rStyle w:val="Strong"/>
          <w:rFonts w:ascii="Lucida Bright" w:hAnsi="Lucida Bright"/>
          <w:sz w:val="22"/>
          <w:szCs w:val="22"/>
        </w:rPr>
        <w:t>Overview of Proposal:</w:t>
      </w:r>
    </w:p>
    <w:p w:rsidR="00597F34" w:rsidRPr="00802F28" w:rsidRDefault="00597F34" w:rsidP="00597F34">
      <w:pPr>
        <w:rPr>
          <w:rFonts w:ascii="Lucida Bright" w:hAnsi="Lucida Bright"/>
          <w:sz w:val="22"/>
          <w:szCs w:val="22"/>
        </w:rPr>
      </w:pPr>
    </w:p>
    <w:p w:rsidR="0097336B" w:rsidRDefault="009B1573" w:rsidP="00C628E3">
      <w:pPr>
        <w:rPr>
          <w:rStyle w:val="Strong"/>
          <w:rFonts w:ascii="Lucida Bright" w:hAnsi="Lucida Bright"/>
          <w:b w:val="0"/>
          <w:sz w:val="22"/>
          <w:szCs w:val="22"/>
        </w:rPr>
      </w:pPr>
      <w:r w:rsidRPr="00802F28">
        <w:rPr>
          <w:rStyle w:val="Strong"/>
          <w:rFonts w:ascii="Lucida Bright" w:hAnsi="Lucida Bright"/>
          <w:b w:val="0"/>
          <w:sz w:val="22"/>
          <w:szCs w:val="22"/>
        </w:rPr>
        <w:t xml:space="preserve">The </w:t>
      </w:r>
      <w:r w:rsidR="00C628E3" w:rsidRPr="00802F28">
        <w:rPr>
          <w:rStyle w:val="Strong"/>
          <w:rFonts w:ascii="Lucida Bright" w:hAnsi="Lucida Bright"/>
          <w:b w:val="0"/>
          <w:sz w:val="22"/>
          <w:szCs w:val="22"/>
        </w:rPr>
        <w:t xml:space="preserve">U.S. Army Corps of Engineers (Corps) </w:t>
      </w:r>
      <w:r w:rsidR="00AF4843" w:rsidRPr="00802F28">
        <w:rPr>
          <w:rStyle w:val="Strong"/>
          <w:rFonts w:ascii="Lucida Bright" w:hAnsi="Lucida Bright"/>
          <w:b w:val="0"/>
          <w:sz w:val="22"/>
          <w:szCs w:val="22"/>
        </w:rPr>
        <w:t xml:space="preserve">published </w:t>
      </w:r>
      <w:r w:rsidR="00C628E3" w:rsidRPr="00802F28">
        <w:rPr>
          <w:rStyle w:val="Strong"/>
          <w:rFonts w:ascii="Lucida Bright" w:hAnsi="Lucida Bright"/>
          <w:b w:val="0"/>
          <w:sz w:val="22"/>
          <w:szCs w:val="22"/>
        </w:rPr>
        <w:t>a notice of proposed rulemaking to update and clarify the Corps’ policies governing the use of its reservoir projects for domestic, municipal</w:t>
      </w:r>
      <w:r w:rsidR="000817D1">
        <w:rPr>
          <w:rStyle w:val="Strong"/>
          <w:rFonts w:ascii="Lucida Bright" w:hAnsi="Lucida Bright"/>
          <w:b w:val="0"/>
          <w:sz w:val="22"/>
          <w:szCs w:val="22"/>
        </w:rPr>
        <w:t>,</w:t>
      </w:r>
      <w:r w:rsidR="00C628E3" w:rsidRPr="00802F28">
        <w:rPr>
          <w:rStyle w:val="Strong"/>
          <w:rFonts w:ascii="Lucida Bright" w:hAnsi="Lucida Bright"/>
          <w:b w:val="0"/>
          <w:sz w:val="22"/>
          <w:szCs w:val="22"/>
        </w:rPr>
        <w:t xml:space="preserve"> and industrial water supply pursuant to Section 6 of the Flood Control Act of 1944</w:t>
      </w:r>
      <w:r w:rsidR="001C0E70" w:rsidRPr="00802F28">
        <w:rPr>
          <w:rStyle w:val="Strong"/>
          <w:rFonts w:ascii="Lucida Bright" w:hAnsi="Lucida Bright"/>
          <w:b w:val="0"/>
          <w:sz w:val="22"/>
          <w:szCs w:val="22"/>
        </w:rPr>
        <w:t xml:space="preserve"> (Section 6)</w:t>
      </w:r>
      <w:r w:rsidR="00C628E3" w:rsidRPr="00802F28">
        <w:rPr>
          <w:rStyle w:val="Strong"/>
          <w:rFonts w:ascii="Lucida Bright" w:hAnsi="Lucida Bright"/>
          <w:b w:val="0"/>
          <w:sz w:val="22"/>
          <w:szCs w:val="22"/>
        </w:rPr>
        <w:t xml:space="preserve"> and the Water Supply Act of 1958</w:t>
      </w:r>
      <w:r w:rsidR="001C0E70" w:rsidRPr="00802F28">
        <w:rPr>
          <w:rStyle w:val="Strong"/>
          <w:rFonts w:ascii="Lucida Bright" w:hAnsi="Lucida Bright"/>
          <w:b w:val="0"/>
          <w:sz w:val="22"/>
          <w:szCs w:val="22"/>
        </w:rPr>
        <w:t xml:space="preserve"> (WSA)</w:t>
      </w:r>
      <w:r w:rsidR="00C628E3" w:rsidRPr="00802F28">
        <w:rPr>
          <w:rStyle w:val="Strong"/>
          <w:rFonts w:ascii="Lucida Bright" w:hAnsi="Lucida Bright"/>
          <w:b w:val="0"/>
          <w:sz w:val="22"/>
          <w:szCs w:val="22"/>
        </w:rPr>
        <w:t xml:space="preserve">. </w:t>
      </w:r>
      <w:r w:rsidR="0097336B">
        <w:rPr>
          <w:rStyle w:val="Strong"/>
          <w:rFonts w:ascii="Lucida Bright" w:hAnsi="Lucida Bright"/>
          <w:b w:val="0"/>
          <w:sz w:val="22"/>
          <w:szCs w:val="22"/>
        </w:rPr>
        <w:t xml:space="preserve">The proposed rule only applies to Corps reservoirs.  </w:t>
      </w:r>
    </w:p>
    <w:p w:rsidR="0097336B" w:rsidRDefault="0097336B" w:rsidP="00C628E3">
      <w:pPr>
        <w:rPr>
          <w:rStyle w:val="Strong"/>
          <w:rFonts w:ascii="Lucida Bright" w:hAnsi="Lucida Bright"/>
          <w:b w:val="0"/>
          <w:sz w:val="22"/>
          <w:szCs w:val="22"/>
        </w:rPr>
      </w:pPr>
    </w:p>
    <w:p w:rsidR="009C093B" w:rsidRDefault="00D50B0B" w:rsidP="00C628E3">
      <w:pPr>
        <w:rPr>
          <w:rStyle w:val="Strong"/>
          <w:rFonts w:ascii="Lucida Bright" w:hAnsi="Lucida Bright"/>
          <w:b w:val="0"/>
          <w:sz w:val="22"/>
          <w:szCs w:val="22"/>
        </w:rPr>
      </w:pPr>
      <w:r w:rsidRPr="00802F28">
        <w:rPr>
          <w:rFonts w:ascii="Lucida Bright" w:hAnsi="Lucida Bright"/>
          <w:bCs/>
          <w:sz w:val="22"/>
          <w:szCs w:val="22"/>
        </w:rPr>
        <w:t xml:space="preserve">The 60-day public comment period for the </w:t>
      </w:r>
      <w:r w:rsidR="00C628E3" w:rsidRPr="00802F28">
        <w:rPr>
          <w:rFonts w:ascii="Lucida Bright" w:hAnsi="Lucida Bright"/>
          <w:bCs/>
          <w:sz w:val="22"/>
          <w:szCs w:val="22"/>
        </w:rPr>
        <w:t>rule</w:t>
      </w:r>
      <w:r w:rsidRPr="00802F28">
        <w:rPr>
          <w:rFonts w:ascii="Lucida Bright" w:hAnsi="Lucida Bright"/>
          <w:bCs/>
          <w:sz w:val="22"/>
          <w:szCs w:val="22"/>
        </w:rPr>
        <w:t xml:space="preserve"> began on </w:t>
      </w:r>
      <w:r w:rsidR="00C628E3" w:rsidRPr="00802F28">
        <w:rPr>
          <w:rFonts w:ascii="Lucida Bright" w:hAnsi="Lucida Bright"/>
          <w:bCs/>
          <w:sz w:val="22"/>
          <w:szCs w:val="22"/>
        </w:rPr>
        <w:t>December 16, 2016</w:t>
      </w:r>
      <w:r w:rsidRPr="00802F28">
        <w:rPr>
          <w:rFonts w:ascii="Lucida Bright" w:hAnsi="Lucida Bright"/>
          <w:bCs/>
          <w:sz w:val="22"/>
          <w:szCs w:val="22"/>
        </w:rPr>
        <w:t xml:space="preserve">. </w:t>
      </w:r>
      <w:r w:rsidR="00AF4843" w:rsidRPr="00802F28">
        <w:rPr>
          <w:rStyle w:val="Strong"/>
          <w:rFonts w:ascii="Lucida Bright" w:hAnsi="Lucida Bright"/>
          <w:b w:val="0"/>
          <w:sz w:val="22"/>
          <w:szCs w:val="22"/>
        </w:rPr>
        <w:t xml:space="preserve"> </w:t>
      </w:r>
      <w:r w:rsidR="0064711D" w:rsidRPr="0064711D">
        <w:rPr>
          <w:rStyle w:val="Strong"/>
          <w:rFonts w:ascii="Lucida Bright" w:hAnsi="Lucida Bright"/>
          <w:b w:val="0"/>
          <w:sz w:val="22"/>
          <w:szCs w:val="22"/>
        </w:rPr>
        <w:t>The comment period was extended to May 15, 2017 by notice dated February 7, 2017.</w:t>
      </w:r>
    </w:p>
    <w:p w:rsidR="00F2759C" w:rsidRDefault="00F2759C" w:rsidP="00C628E3">
      <w:pPr>
        <w:rPr>
          <w:rStyle w:val="Strong"/>
          <w:rFonts w:ascii="Lucida Bright" w:hAnsi="Lucida Bright"/>
          <w:b w:val="0"/>
          <w:sz w:val="22"/>
          <w:szCs w:val="22"/>
        </w:rPr>
      </w:pPr>
    </w:p>
    <w:p w:rsidR="009C093B" w:rsidRDefault="00C628E3" w:rsidP="00C628E3">
      <w:pPr>
        <w:rPr>
          <w:rStyle w:val="Strong"/>
          <w:rFonts w:ascii="Lucida Bright" w:hAnsi="Lucida Bright"/>
          <w:b w:val="0"/>
          <w:sz w:val="22"/>
          <w:szCs w:val="22"/>
        </w:rPr>
      </w:pPr>
      <w:r w:rsidRPr="00802F28">
        <w:rPr>
          <w:rStyle w:val="Strong"/>
          <w:rFonts w:ascii="Lucida Bright" w:hAnsi="Lucida Bright"/>
          <w:b w:val="0"/>
          <w:sz w:val="22"/>
          <w:szCs w:val="22"/>
        </w:rPr>
        <w:t xml:space="preserve">The </w:t>
      </w:r>
      <w:r w:rsidR="009C093B">
        <w:rPr>
          <w:rStyle w:val="Strong"/>
          <w:rFonts w:ascii="Lucida Bright" w:hAnsi="Lucida Bright"/>
          <w:b w:val="0"/>
          <w:sz w:val="22"/>
          <w:szCs w:val="22"/>
        </w:rPr>
        <w:t xml:space="preserve">stated </w:t>
      </w:r>
      <w:r w:rsidRPr="00802F28">
        <w:rPr>
          <w:rStyle w:val="Strong"/>
          <w:rFonts w:ascii="Lucida Bright" w:hAnsi="Lucida Bright"/>
          <w:b w:val="0"/>
          <w:sz w:val="22"/>
          <w:szCs w:val="22"/>
        </w:rPr>
        <w:t xml:space="preserve">intent of the proposed rule </w:t>
      </w:r>
      <w:r w:rsidR="009C093B">
        <w:rPr>
          <w:rStyle w:val="Strong"/>
          <w:rFonts w:ascii="Lucida Bright" w:hAnsi="Lucida Bright"/>
          <w:b w:val="0"/>
          <w:sz w:val="22"/>
          <w:szCs w:val="22"/>
        </w:rPr>
        <w:t xml:space="preserve">includes the following relative to Section 6 and </w:t>
      </w:r>
      <w:r w:rsidR="000A500D">
        <w:rPr>
          <w:rStyle w:val="Strong"/>
          <w:rFonts w:ascii="Lucida Bright" w:hAnsi="Lucida Bright"/>
          <w:b w:val="0"/>
          <w:sz w:val="22"/>
          <w:szCs w:val="22"/>
        </w:rPr>
        <w:t xml:space="preserve">the </w:t>
      </w:r>
      <w:r w:rsidR="009C093B">
        <w:rPr>
          <w:rStyle w:val="Strong"/>
          <w:rFonts w:ascii="Lucida Bright" w:hAnsi="Lucida Bright"/>
          <w:b w:val="0"/>
          <w:sz w:val="22"/>
          <w:szCs w:val="22"/>
        </w:rPr>
        <w:t>WSA:</w:t>
      </w:r>
    </w:p>
    <w:p w:rsidR="00393641" w:rsidRDefault="00C628E3" w:rsidP="0097336B">
      <w:pPr>
        <w:pStyle w:val="ListParagraph"/>
        <w:numPr>
          <w:ilvl w:val="0"/>
          <w:numId w:val="21"/>
        </w:numPr>
        <w:rPr>
          <w:rStyle w:val="Strong"/>
          <w:rFonts w:ascii="Lucida Bright" w:hAnsi="Lucida Bright"/>
          <w:b w:val="0"/>
          <w:sz w:val="22"/>
          <w:szCs w:val="22"/>
        </w:rPr>
      </w:pPr>
      <w:r w:rsidRPr="009C093B">
        <w:rPr>
          <w:rStyle w:val="Strong"/>
          <w:rFonts w:ascii="Lucida Bright" w:hAnsi="Lucida Bright"/>
          <w:b w:val="0"/>
          <w:sz w:val="22"/>
          <w:szCs w:val="22"/>
        </w:rPr>
        <w:t>define key terms</w:t>
      </w:r>
      <w:r w:rsidR="001900FE">
        <w:rPr>
          <w:rStyle w:val="Strong"/>
          <w:rFonts w:ascii="Lucida Bright" w:hAnsi="Lucida Bright"/>
          <w:b w:val="0"/>
          <w:sz w:val="22"/>
          <w:szCs w:val="22"/>
        </w:rPr>
        <w:t>;</w:t>
      </w:r>
    </w:p>
    <w:p w:rsidR="00393641" w:rsidRDefault="00C628E3" w:rsidP="0097336B">
      <w:pPr>
        <w:pStyle w:val="ListParagraph"/>
        <w:numPr>
          <w:ilvl w:val="0"/>
          <w:numId w:val="21"/>
        </w:numPr>
        <w:rPr>
          <w:rStyle w:val="Strong"/>
          <w:rFonts w:ascii="Lucida Bright" w:hAnsi="Lucida Bright"/>
          <w:b w:val="0"/>
          <w:sz w:val="22"/>
          <w:szCs w:val="22"/>
        </w:rPr>
      </w:pPr>
      <w:r w:rsidRPr="009C093B">
        <w:rPr>
          <w:rStyle w:val="Strong"/>
          <w:rFonts w:ascii="Lucida Bright" w:hAnsi="Lucida Bright"/>
          <w:b w:val="0"/>
          <w:sz w:val="22"/>
          <w:szCs w:val="22"/>
        </w:rPr>
        <w:t>respond to issues the Corps has encountered in exercising its authorities</w:t>
      </w:r>
      <w:r w:rsidR="001900FE">
        <w:rPr>
          <w:rStyle w:val="Strong"/>
          <w:rFonts w:ascii="Lucida Bright" w:hAnsi="Lucida Bright"/>
          <w:b w:val="0"/>
          <w:sz w:val="22"/>
          <w:szCs w:val="22"/>
        </w:rPr>
        <w:t>;</w:t>
      </w:r>
    </w:p>
    <w:p w:rsidR="00393641" w:rsidRDefault="00C628E3" w:rsidP="0097336B">
      <w:pPr>
        <w:pStyle w:val="ListParagraph"/>
        <w:numPr>
          <w:ilvl w:val="0"/>
          <w:numId w:val="21"/>
        </w:numPr>
        <w:rPr>
          <w:rStyle w:val="Strong"/>
          <w:rFonts w:ascii="Lucida Bright" w:hAnsi="Lucida Bright"/>
          <w:b w:val="0"/>
          <w:sz w:val="22"/>
          <w:szCs w:val="22"/>
        </w:rPr>
      </w:pPr>
      <w:r w:rsidRPr="009C093B">
        <w:rPr>
          <w:rStyle w:val="Strong"/>
          <w:rFonts w:ascii="Lucida Bright" w:hAnsi="Lucida Bright"/>
          <w:b w:val="0"/>
          <w:sz w:val="22"/>
          <w:szCs w:val="22"/>
        </w:rPr>
        <w:t>ex</w:t>
      </w:r>
      <w:r w:rsidRPr="00393641">
        <w:rPr>
          <w:rStyle w:val="Strong"/>
          <w:rFonts w:ascii="Lucida Bright" w:hAnsi="Lucida Bright"/>
          <w:b w:val="0"/>
          <w:sz w:val="22"/>
          <w:szCs w:val="22"/>
        </w:rPr>
        <w:t xml:space="preserve">plain and improve </w:t>
      </w:r>
      <w:r w:rsidR="000A500D">
        <w:rPr>
          <w:rStyle w:val="Strong"/>
          <w:rFonts w:ascii="Lucida Bright" w:hAnsi="Lucida Bright"/>
          <w:b w:val="0"/>
          <w:sz w:val="22"/>
          <w:szCs w:val="22"/>
        </w:rPr>
        <w:t xml:space="preserve">the Corps </w:t>
      </w:r>
      <w:r w:rsidRPr="00393641">
        <w:rPr>
          <w:rStyle w:val="Strong"/>
          <w:rFonts w:ascii="Lucida Bright" w:hAnsi="Lucida Bright"/>
          <w:b w:val="0"/>
          <w:sz w:val="22"/>
          <w:szCs w:val="22"/>
        </w:rPr>
        <w:t>interpretations</w:t>
      </w:r>
      <w:r w:rsidR="000A500D">
        <w:rPr>
          <w:rStyle w:val="Strong"/>
          <w:rFonts w:ascii="Lucida Bright" w:hAnsi="Lucida Bright"/>
          <w:b w:val="0"/>
          <w:sz w:val="22"/>
          <w:szCs w:val="22"/>
        </w:rPr>
        <w:t xml:space="preserve"> and practices under Section 6 and the WSA and to seek comments from stakeholders on the interpretations and practices</w:t>
      </w:r>
      <w:r w:rsidR="001900FE">
        <w:rPr>
          <w:rStyle w:val="Strong"/>
          <w:rFonts w:ascii="Lucida Bright" w:hAnsi="Lucida Bright"/>
          <w:b w:val="0"/>
          <w:sz w:val="22"/>
          <w:szCs w:val="22"/>
        </w:rPr>
        <w:t>;</w:t>
      </w:r>
      <w:r w:rsidRPr="00393641">
        <w:rPr>
          <w:rStyle w:val="Strong"/>
          <w:rFonts w:ascii="Lucida Bright" w:hAnsi="Lucida Bright"/>
          <w:b w:val="0"/>
          <w:sz w:val="22"/>
          <w:szCs w:val="22"/>
        </w:rPr>
        <w:t xml:space="preserve"> </w:t>
      </w:r>
    </w:p>
    <w:p w:rsidR="00393641" w:rsidRDefault="00C628E3" w:rsidP="0097336B">
      <w:pPr>
        <w:pStyle w:val="ListParagraph"/>
        <w:numPr>
          <w:ilvl w:val="0"/>
          <w:numId w:val="21"/>
        </w:numPr>
        <w:rPr>
          <w:rStyle w:val="Strong"/>
          <w:rFonts w:ascii="Lucida Bright" w:hAnsi="Lucida Bright"/>
          <w:b w:val="0"/>
          <w:sz w:val="22"/>
          <w:szCs w:val="22"/>
        </w:rPr>
      </w:pPr>
      <w:r w:rsidRPr="00393641">
        <w:rPr>
          <w:rStyle w:val="Strong"/>
          <w:rFonts w:ascii="Lucida Bright" w:hAnsi="Lucida Bright"/>
          <w:b w:val="0"/>
          <w:sz w:val="22"/>
          <w:szCs w:val="22"/>
        </w:rPr>
        <w:t>enhance the Corps’ ability to cooperate with state and local interests in the development of water supplies in connection with the operation of its reservoirs for federal purposes</w:t>
      </w:r>
      <w:r w:rsidR="00AF5FED">
        <w:rPr>
          <w:rStyle w:val="Strong"/>
          <w:rFonts w:ascii="Lucida Bright" w:hAnsi="Lucida Bright"/>
          <w:b w:val="0"/>
          <w:sz w:val="22"/>
          <w:szCs w:val="22"/>
        </w:rPr>
        <w:t xml:space="preserve"> as authorized by Congress</w:t>
      </w:r>
      <w:r w:rsidR="001900FE">
        <w:rPr>
          <w:rStyle w:val="Strong"/>
          <w:rFonts w:ascii="Lucida Bright" w:hAnsi="Lucida Bright"/>
          <w:b w:val="0"/>
          <w:sz w:val="22"/>
          <w:szCs w:val="22"/>
        </w:rPr>
        <w:t>;</w:t>
      </w:r>
    </w:p>
    <w:p w:rsidR="00393641" w:rsidRDefault="00C628E3" w:rsidP="0097336B">
      <w:pPr>
        <w:pStyle w:val="ListParagraph"/>
        <w:numPr>
          <w:ilvl w:val="0"/>
          <w:numId w:val="21"/>
        </w:numPr>
        <w:rPr>
          <w:rStyle w:val="Strong"/>
          <w:rFonts w:ascii="Lucida Bright" w:hAnsi="Lucida Bright"/>
          <w:b w:val="0"/>
          <w:sz w:val="22"/>
          <w:szCs w:val="22"/>
        </w:rPr>
      </w:pPr>
      <w:r w:rsidRPr="00393641">
        <w:rPr>
          <w:rStyle w:val="Strong"/>
          <w:rFonts w:ascii="Lucida Bright" w:hAnsi="Lucida Bright"/>
          <w:b w:val="0"/>
          <w:sz w:val="22"/>
          <w:szCs w:val="22"/>
        </w:rPr>
        <w:t>facilitate water supply uses of Corps reservoirs by others</w:t>
      </w:r>
      <w:r w:rsidR="00AF5FED">
        <w:rPr>
          <w:rStyle w:val="Strong"/>
          <w:rFonts w:ascii="Lucida Bright" w:hAnsi="Lucida Bright"/>
          <w:b w:val="0"/>
          <w:sz w:val="22"/>
          <w:szCs w:val="22"/>
        </w:rPr>
        <w:t xml:space="preserve"> under applicable law</w:t>
      </w:r>
      <w:r w:rsidR="001900FE">
        <w:rPr>
          <w:rStyle w:val="Strong"/>
          <w:rFonts w:ascii="Lucida Bright" w:hAnsi="Lucida Bright"/>
          <w:b w:val="0"/>
          <w:sz w:val="22"/>
          <w:szCs w:val="22"/>
        </w:rPr>
        <w:t>;</w:t>
      </w:r>
      <w:r w:rsidRPr="00393641">
        <w:rPr>
          <w:rStyle w:val="Strong"/>
          <w:rFonts w:ascii="Lucida Bright" w:hAnsi="Lucida Bright"/>
          <w:b w:val="0"/>
          <w:sz w:val="22"/>
          <w:szCs w:val="22"/>
        </w:rPr>
        <w:t xml:space="preserve"> and </w:t>
      </w:r>
    </w:p>
    <w:p w:rsidR="009C093B" w:rsidRPr="0097336B" w:rsidRDefault="00C628E3" w:rsidP="0097336B">
      <w:pPr>
        <w:pStyle w:val="ListParagraph"/>
        <w:numPr>
          <w:ilvl w:val="0"/>
          <w:numId w:val="21"/>
        </w:numPr>
        <w:rPr>
          <w:rStyle w:val="Strong"/>
          <w:rFonts w:ascii="Lucida Bright" w:hAnsi="Lucida Bright"/>
          <w:b w:val="0"/>
          <w:sz w:val="22"/>
          <w:szCs w:val="22"/>
        </w:rPr>
      </w:pPr>
      <w:r w:rsidRPr="0097336B">
        <w:rPr>
          <w:rStyle w:val="Strong"/>
          <w:rFonts w:ascii="Lucida Bright" w:hAnsi="Lucida Bright"/>
          <w:b w:val="0"/>
          <w:sz w:val="22"/>
          <w:szCs w:val="22"/>
        </w:rPr>
        <w:t xml:space="preserve">avoid interfering with lawful uses of water by any entity when the Corps exercises its discretionary authority </w:t>
      </w:r>
      <w:r w:rsidR="00AF5FED">
        <w:rPr>
          <w:rStyle w:val="Strong"/>
          <w:rFonts w:ascii="Lucida Bright" w:hAnsi="Lucida Bright"/>
          <w:b w:val="0"/>
          <w:sz w:val="22"/>
          <w:szCs w:val="22"/>
        </w:rPr>
        <w:t>under either Section 6 or the WSA.</w:t>
      </w:r>
    </w:p>
    <w:p w:rsidR="009C093B" w:rsidRDefault="0097336B" w:rsidP="00C628E3">
      <w:pPr>
        <w:rPr>
          <w:rStyle w:val="Strong"/>
          <w:rFonts w:ascii="Lucida Bright" w:hAnsi="Lucida Bright"/>
          <w:b w:val="0"/>
          <w:sz w:val="22"/>
          <w:szCs w:val="22"/>
        </w:rPr>
      </w:pPr>
      <w:r>
        <w:rPr>
          <w:rStyle w:val="Strong"/>
          <w:rFonts w:ascii="Lucida Bright" w:hAnsi="Lucida Bright"/>
          <w:b w:val="0"/>
          <w:sz w:val="22"/>
          <w:szCs w:val="22"/>
        </w:rPr>
        <w:t>The rulemaking addresses the following</w:t>
      </w:r>
      <w:r w:rsidR="00BB1A0D">
        <w:rPr>
          <w:rStyle w:val="Strong"/>
          <w:rFonts w:ascii="Lucida Bright" w:hAnsi="Lucida Bright"/>
          <w:b w:val="0"/>
          <w:sz w:val="22"/>
          <w:szCs w:val="22"/>
        </w:rPr>
        <w:t xml:space="preserve"> topics</w:t>
      </w:r>
      <w:r>
        <w:rPr>
          <w:rStyle w:val="Strong"/>
          <w:rFonts w:ascii="Lucida Bright" w:hAnsi="Lucida Bright"/>
          <w:b w:val="0"/>
          <w:sz w:val="22"/>
          <w:szCs w:val="22"/>
        </w:rPr>
        <w:t>:</w:t>
      </w:r>
    </w:p>
    <w:p w:rsidR="009F1905" w:rsidRDefault="0097336B" w:rsidP="0097336B">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Corps Authority:</w:t>
      </w:r>
      <w:r w:rsidR="00BB1A0D">
        <w:rPr>
          <w:rStyle w:val="Strong"/>
          <w:rFonts w:ascii="Lucida Bright" w:hAnsi="Lucida Bright"/>
          <w:b w:val="0"/>
          <w:sz w:val="22"/>
          <w:szCs w:val="22"/>
        </w:rPr>
        <w:t xml:space="preserve">  The preamble </w:t>
      </w:r>
      <w:r w:rsidR="009F1905">
        <w:rPr>
          <w:rStyle w:val="Strong"/>
          <w:rFonts w:ascii="Lucida Bright" w:hAnsi="Lucida Bright"/>
          <w:b w:val="0"/>
          <w:sz w:val="22"/>
          <w:szCs w:val="22"/>
        </w:rPr>
        <w:t xml:space="preserve">provides a </w:t>
      </w:r>
      <w:r w:rsidR="00081DCF">
        <w:rPr>
          <w:rStyle w:val="Strong"/>
          <w:rFonts w:ascii="Lucida Bright" w:hAnsi="Lucida Bright"/>
          <w:b w:val="0"/>
          <w:sz w:val="22"/>
          <w:szCs w:val="22"/>
        </w:rPr>
        <w:t>discussion of uses for which states can allocate water. For example, throughout the preamble the Corps refers to the states’ prerogatives to allocate water for consumptive uses (81Fed. Reg. 91563</w:t>
      </w:r>
      <w:r w:rsidR="00F2759C">
        <w:rPr>
          <w:rStyle w:val="Strong"/>
          <w:rFonts w:ascii="Lucida Bright" w:hAnsi="Lucida Bright"/>
          <w:b w:val="0"/>
          <w:sz w:val="22"/>
          <w:szCs w:val="22"/>
        </w:rPr>
        <w:t>).</w:t>
      </w:r>
      <w:r w:rsidR="00081DCF">
        <w:rPr>
          <w:rStyle w:val="Strong"/>
          <w:rFonts w:ascii="Lucida Bright" w:hAnsi="Lucida Bright"/>
          <w:b w:val="0"/>
          <w:sz w:val="22"/>
          <w:szCs w:val="22"/>
        </w:rPr>
        <w:t xml:space="preserve"> </w:t>
      </w:r>
      <w:r w:rsidR="00BB1A0D">
        <w:rPr>
          <w:rStyle w:val="Strong"/>
          <w:rFonts w:ascii="Lucida Bright" w:hAnsi="Lucida Bright"/>
          <w:b w:val="0"/>
          <w:sz w:val="22"/>
          <w:szCs w:val="22"/>
        </w:rPr>
        <w:t xml:space="preserve">Additionally, the preamble states that purposes – such as </w:t>
      </w:r>
      <w:r w:rsidR="00005DE5">
        <w:rPr>
          <w:rStyle w:val="Strong"/>
          <w:rFonts w:ascii="Lucida Bright" w:hAnsi="Lucida Bright"/>
          <w:b w:val="0"/>
          <w:sz w:val="22"/>
          <w:szCs w:val="22"/>
        </w:rPr>
        <w:t xml:space="preserve">storage for </w:t>
      </w:r>
      <w:r w:rsidR="00BB1A0D">
        <w:rPr>
          <w:rStyle w:val="Strong"/>
          <w:rFonts w:ascii="Lucida Bright" w:hAnsi="Lucida Bright"/>
          <w:b w:val="0"/>
          <w:sz w:val="22"/>
          <w:szCs w:val="22"/>
        </w:rPr>
        <w:t xml:space="preserve">hydropower - that are non-consumptive in nature are carried out pursuant to the Commerce power and do not require the </w:t>
      </w:r>
      <w:r w:rsidR="00AF5FED">
        <w:rPr>
          <w:rStyle w:val="Strong"/>
          <w:rFonts w:ascii="Lucida Bright" w:hAnsi="Lucida Bright"/>
          <w:b w:val="0"/>
          <w:sz w:val="22"/>
          <w:szCs w:val="22"/>
        </w:rPr>
        <w:t>C</w:t>
      </w:r>
      <w:r w:rsidR="00BB1A0D">
        <w:rPr>
          <w:rStyle w:val="Strong"/>
          <w:rFonts w:ascii="Lucida Bright" w:hAnsi="Lucida Bright"/>
          <w:b w:val="0"/>
          <w:sz w:val="22"/>
          <w:szCs w:val="22"/>
        </w:rPr>
        <w:t xml:space="preserve">orps to secure water rights. </w:t>
      </w:r>
      <w:r w:rsidR="009B2552">
        <w:rPr>
          <w:rStyle w:val="Strong"/>
          <w:rFonts w:ascii="Lucida Bright" w:hAnsi="Lucida Bright"/>
          <w:b w:val="0"/>
          <w:sz w:val="22"/>
          <w:szCs w:val="22"/>
        </w:rPr>
        <w:t xml:space="preserve"> </w:t>
      </w:r>
    </w:p>
    <w:p w:rsidR="0097336B" w:rsidRDefault="00AF5FED" w:rsidP="009F1905">
      <w:pPr>
        <w:pStyle w:val="ListParagraph"/>
        <w:numPr>
          <w:ilvl w:val="1"/>
          <w:numId w:val="22"/>
        </w:numPr>
        <w:rPr>
          <w:rStyle w:val="Strong"/>
          <w:rFonts w:ascii="Lucida Bright" w:hAnsi="Lucida Bright"/>
          <w:b w:val="0"/>
          <w:sz w:val="22"/>
          <w:szCs w:val="22"/>
        </w:rPr>
      </w:pPr>
      <w:r>
        <w:rPr>
          <w:rStyle w:val="Strong"/>
          <w:rFonts w:ascii="Lucida Bright" w:hAnsi="Lucida Bright"/>
          <w:b w:val="0"/>
          <w:sz w:val="22"/>
          <w:szCs w:val="22"/>
        </w:rPr>
        <w:t>TCEQ provided comment on the Corps interpretation of its authority</w:t>
      </w:r>
      <w:r w:rsidR="00005DE5">
        <w:rPr>
          <w:rStyle w:val="Strong"/>
          <w:rFonts w:ascii="Lucida Bright" w:hAnsi="Lucida Bright"/>
          <w:b w:val="0"/>
          <w:sz w:val="22"/>
          <w:szCs w:val="22"/>
        </w:rPr>
        <w:t>, including that a state water right permit is required for reservoirs located on a state watercourse</w:t>
      </w:r>
      <w:r>
        <w:rPr>
          <w:rStyle w:val="Strong"/>
          <w:rFonts w:ascii="Lucida Bright" w:hAnsi="Lucida Bright"/>
          <w:b w:val="0"/>
          <w:sz w:val="22"/>
          <w:szCs w:val="22"/>
        </w:rPr>
        <w:t>. See the comment summary below.</w:t>
      </w:r>
      <w:r w:rsidR="00BB1A0D">
        <w:rPr>
          <w:rStyle w:val="Strong"/>
          <w:rFonts w:ascii="Lucida Bright" w:hAnsi="Lucida Bright"/>
          <w:b w:val="0"/>
          <w:sz w:val="22"/>
          <w:szCs w:val="22"/>
        </w:rPr>
        <w:t xml:space="preserve"> </w:t>
      </w:r>
    </w:p>
    <w:p w:rsidR="0097336B" w:rsidRDefault="0097336B" w:rsidP="005A0991">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Surplus Water definition:</w:t>
      </w:r>
      <w:r w:rsidR="00AF5FED">
        <w:rPr>
          <w:rStyle w:val="Strong"/>
          <w:rFonts w:ascii="Lucida Bright" w:hAnsi="Lucida Bright"/>
          <w:b w:val="0"/>
          <w:sz w:val="22"/>
          <w:szCs w:val="22"/>
        </w:rPr>
        <w:t xml:space="preserve"> TCEQ had concerns about the treatment of surplus water contracts in a preliminary draft of the proposed rule</w:t>
      </w:r>
      <w:r w:rsidR="00A501F8">
        <w:rPr>
          <w:rStyle w:val="Strong"/>
          <w:rFonts w:ascii="Lucida Bright" w:hAnsi="Lucida Bright"/>
          <w:b w:val="0"/>
          <w:sz w:val="22"/>
          <w:szCs w:val="22"/>
        </w:rPr>
        <w:t xml:space="preserve"> and TCEQ provided comments on the preliminary draft.  The preliminary draft did not clearly state that surplus water contracts require a water right from the state.  </w:t>
      </w:r>
      <w:r w:rsidR="00AF5FED">
        <w:rPr>
          <w:rStyle w:val="Strong"/>
          <w:rFonts w:ascii="Lucida Bright" w:hAnsi="Lucida Bright"/>
          <w:b w:val="0"/>
          <w:sz w:val="22"/>
          <w:szCs w:val="22"/>
        </w:rPr>
        <w:t xml:space="preserve">The current treatment of surplus water contracts requires that prior to making a final determination on surplus water </w:t>
      </w:r>
      <w:r w:rsidR="00AF5FED">
        <w:rPr>
          <w:rStyle w:val="Strong"/>
          <w:rFonts w:ascii="Lucida Bright" w:hAnsi="Lucida Bright"/>
          <w:b w:val="0"/>
          <w:sz w:val="22"/>
          <w:szCs w:val="22"/>
        </w:rPr>
        <w:lastRenderedPageBreak/>
        <w:t xml:space="preserve">availability, the Corps will prepare a written report documenting the basis for the decision, and coordinate the report with State water resource agencies. </w:t>
      </w:r>
      <w:r w:rsidR="00C35F69">
        <w:rPr>
          <w:rStyle w:val="Strong"/>
          <w:rFonts w:ascii="Lucida Bright" w:hAnsi="Lucida Bright"/>
          <w:b w:val="0"/>
          <w:sz w:val="22"/>
          <w:szCs w:val="22"/>
        </w:rPr>
        <w:t xml:space="preserve">The proposed rule also states that the Corps would monitor its surplus water contracts to ensure that the contracts were not affecting existing uses in the reservoir. </w:t>
      </w:r>
      <w:r w:rsidR="005A0991">
        <w:rPr>
          <w:rStyle w:val="Strong"/>
          <w:rFonts w:ascii="Lucida Bright" w:hAnsi="Lucida Bright"/>
          <w:b w:val="0"/>
          <w:sz w:val="22"/>
          <w:szCs w:val="22"/>
        </w:rPr>
        <w:t>The current proposed surplus water rule</w:t>
      </w:r>
      <w:r w:rsidR="00C35F69" w:rsidRPr="005A0991">
        <w:rPr>
          <w:rStyle w:val="Strong"/>
          <w:rFonts w:ascii="Lucida Bright" w:hAnsi="Lucida Bright"/>
          <w:b w:val="0"/>
          <w:sz w:val="22"/>
          <w:szCs w:val="22"/>
        </w:rPr>
        <w:t xml:space="preserve"> would not affect TCEQ’s regulatory authority for water rights permitting. T</w:t>
      </w:r>
      <w:r w:rsidR="00AF5FED" w:rsidRPr="005A0991">
        <w:rPr>
          <w:rStyle w:val="Strong"/>
          <w:rFonts w:ascii="Lucida Bright" w:hAnsi="Lucida Bright"/>
          <w:b w:val="0"/>
          <w:sz w:val="22"/>
          <w:szCs w:val="22"/>
        </w:rPr>
        <w:t>he holder of a surplus water contract would need to get a state water right permit prior to dive</w:t>
      </w:r>
      <w:r w:rsidR="00C35F69" w:rsidRPr="005A0991">
        <w:rPr>
          <w:rStyle w:val="Strong"/>
          <w:rFonts w:ascii="Lucida Bright" w:hAnsi="Lucida Bright"/>
          <w:b w:val="0"/>
          <w:sz w:val="22"/>
          <w:szCs w:val="22"/>
        </w:rPr>
        <w:t>rting water under the contract and the water right permit would be contingent on maintenance of the Corps contract. If the Corps determines that surplus water is no longer fully available to fulfill the contract, and changes the contract, the water right holder</w:t>
      </w:r>
      <w:r w:rsidR="00CF6315" w:rsidRPr="005A0991">
        <w:rPr>
          <w:rStyle w:val="Strong"/>
          <w:rFonts w:ascii="Lucida Bright" w:hAnsi="Lucida Bright"/>
          <w:b w:val="0"/>
          <w:sz w:val="22"/>
          <w:szCs w:val="22"/>
        </w:rPr>
        <w:t xml:space="preserve"> would</w:t>
      </w:r>
      <w:r w:rsidR="00C35F69" w:rsidRPr="005A0991">
        <w:rPr>
          <w:rStyle w:val="Strong"/>
          <w:rFonts w:ascii="Lucida Bright" w:hAnsi="Lucida Bright"/>
          <w:b w:val="0"/>
          <w:sz w:val="22"/>
          <w:szCs w:val="22"/>
        </w:rPr>
        <w:t xml:space="preserve"> only be able to divert the amount that is contractually available.</w:t>
      </w:r>
    </w:p>
    <w:p w:rsidR="005A0991" w:rsidRPr="005A0991" w:rsidRDefault="005A0991" w:rsidP="005A0991">
      <w:pPr>
        <w:pStyle w:val="ListParagraph"/>
        <w:numPr>
          <w:ilvl w:val="1"/>
          <w:numId w:val="22"/>
        </w:numPr>
        <w:rPr>
          <w:rStyle w:val="Strong"/>
          <w:rFonts w:ascii="Lucida Bright" w:hAnsi="Lucida Bright"/>
          <w:b w:val="0"/>
          <w:sz w:val="22"/>
          <w:szCs w:val="22"/>
        </w:rPr>
      </w:pPr>
      <w:r w:rsidRPr="005A0991">
        <w:rPr>
          <w:rStyle w:val="Strong"/>
          <w:rFonts w:ascii="Lucida Bright" w:hAnsi="Lucida Bright"/>
          <w:b w:val="0"/>
          <w:sz w:val="22"/>
          <w:szCs w:val="22"/>
        </w:rPr>
        <w:t>TCEQ did not make comments on this topic.</w:t>
      </w:r>
    </w:p>
    <w:p w:rsidR="0097336B" w:rsidRDefault="0097336B" w:rsidP="0097336B">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Reallocation:</w:t>
      </w:r>
      <w:r w:rsidR="00AF5FED">
        <w:rPr>
          <w:rStyle w:val="Strong"/>
          <w:rFonts w:ascii="Lucida Bright" w:hAnsi="Lucida Bright"/>
          <w:b w:val="0"/>
          <w:sz w:val="22"/>
          <w:szCs w:val="22"/>
        </w:rPr>
        <w:t xml:space="preserve"> The rulemaking </w:t>
      </w:r>
      <w:r w:rsidR="00BA5DF2">
        <w:rPr>
          <w:rStyle w:val="Strong"/>
          <w:rFonts w:ascii="Lucida Bright" w:hAnsi="Lucida Bright"/>
          <w:b w:val="0"/>
          <w:sz w:val="22"/>
          <w:szCs w:val="22"/>
        </w:rPr>
        <w:t xml:space="preserve">defines which Corps reservoirs the WSA reallocation authority applies to and the limitations on modifications to a Corps project that involve major structural improvement, if any, that Congress approved when authorizing a specific facility. The method the Corps uses to determine where and how much storage it can reallocate does not affect the water rights permitting program except insofar as a water supply contract holder for reallocated storage would need to get a state water right permit to effectuate the contract. </w:t>
      </w:r>
      <w:r w:rsidR="005A0991">
        <w:rPr>
          <w:rStyle w:val="Strong"/>
          <w:rFonts w:ascii="Lucida Bright" w:hAnsi="Lucida Bright"/>
          <w:b w:val="0"/>
          <w:sz w:val="22"/>
          <w:szCs w:val="22"/>
        </w:rPr>
        <w:t>The requirement for a water right permit is stated in the proposed rule.</w:t>
      </w:r>
    </w:p>
    <w:p w:rsidR="005A0991" w:rsidRPr="005A0991" w:rsidRDefault="005A0991" w:rsidP="005A0991">
      <w:pPr>
        <w:pStyle w:val="ListParagraph"/>
        <w:numPr>
          <w:ilvl w:val="1"/>
          <w:numId w:val="22"/>
        </w:numPr>
        <w:rPr>
          <w:rStyle w:val="Strong"/>
          <w:rFonts w:ascii="Lucida Bright" w:hAnsi="Lucida Bright"/>
          <w:b w:val="0"/>
          <w:sz w:val="22"/>
          <w:szCs w:val="22"/>
        </w:rPr>
      </w:pPr>
      <w:r w:rsidRPr="005A0991">
        <w:rPr>
          <w:rStyle w:val="Strong"/>
          <w:rFonts w:ascii="Lucida Bright" w:hAnsi="Lucida Bright"/>
          <w:b w:val="0"/>
          <w:sz w:val="22"/>
          <w:szCs w:val="22"/>
        </w:rPr>
        <w:t>TCEQ did not make comments on this topic.</w:t>
      </w:r>
    </w:p>
    <w:p w:rsidR="0097336B" w:rsidRDefault="0097336B" w:rsidP="0097336B">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Storage pricing:</w:t>
      </w:r>
      <w:r w:rsidR="009F682A">
        <w:rPr>
          <w:rStyle w:val="Strong"/>
          <w:rFonts w:ascii="Lucida Bright" w:hAnsi="Lucida Bright"/>
          <w:b w:val="0"/>
          <w:sz w:val="22"/>
          <w:szCs w:val="22"/>
        </w:rPr>
        <w:t xml:space="preserve"> Storage pricing </w:t>
      </w:r>
      <w:r w:rsidR="005A0991">
        <w:rPr>
          <w:rStyle w:val="Strong"/>
          <w:rFonts w:ascii="Lucida Bright" w:hAnsi="Lucida Bright"/>
          <w:b w:val="0"/>
          <w:sz w:val="22"/>
          <w:szCs w:val="22"/>
        </w:rPr>
        <w:t xml:space="preserve">is how the Corps’ proposes to charge contract holders for storage.  It </w:t>
      </w:r>
      <w:r w:rsidR="009F682A">
        <w:rPr>
          <w:rStyle w:val="Strong"/>
          <w:rFonts w:ascii="Lucida Bright" w:hAnsi="Lucida Bright"/>
          <w:b w:val="0"/>
          <w:sz w:val="22"/>
          <w:szCs w:val="22"/>
        </w:rPr>
        <w:t>does not affect TCEQ’s regulatory authority because that is not a factor TCEQ considers in water rights permitting.</w:t>
      </w:r>
    </w:p>
    <w:p w:rsidR="005A0991" w:rsidRPr="005A0991" w:rsidRDefault="005A0991" w:rsidP="005A0991">
      <w:pPr>
        <w:pStyle w:val="ListParagraph"/>
        <w:numPr>
          <w:ilvl w:val="1"/>
          <w:numId w:val="22"/>
        </w:numPr>
        <w:rPr>
          <w:rStyle w:val="Strong"/>
          <w:rFonts w:ascii="Lucida Bright" w:hAnsi="Lucida Bright"/>
          <w:b w:val="0"/>
          <w:sz w:val="22"/>
          <w:szCs w:val="22"/>
        </w:rPr>
      </w:pPr>
      <w:r w:rsidRPr="005A0991">
        <w:rPr>
          <w:rStyle w:val="Strong"/>
          <w:rFonts w:ascii="Lucida Bright" w:hAnsi="Lucida Bright"/>
          <w:b w:val="0"/>
          <w:sz w:val="22"/>
          <w:szCs w:val="22"/>
        </w:rPr>
        <w:t>TCEQ did not make comments on this topic.</w:t>
      </w:r>
    </w:p>
    <w:p w:rsidR="005A0991" w:rsidRDefault="0097336B" w:rsidP="009619C1">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Storage accounting:</w:t>
      </w:r>
      <w:r w:rsidR="00BB1A0D" w:rsidRPr="00BB1A0D">
        <w:t xml:space="preserve"> </w:t>
      </w:r>
      <w:r w:rsidR="009F682A">
        <w:rPr>
          <w:rStyle w:val="Strong"/>
          <w:rFonts w:ascii="Lucida Bright" w:hAnsi="Lucida Bright"/>
          <w:b w:val="0"/>
          <w:sz w:val="22"/>
          <w:szCs w:val="22"/>
        </w:rPr>
        <w:t xml:space="preserve">The proposed rule defines </w:t>
      </w:r>
      <w:r w:rsidR="000817D1">
        <w:rPr>
          <w:rStyle w:val="Strong"/>
          <w:rFonts w:ascii="Lucida Bright" w:hAnsi="Lucida Bright"/>
          <w:b w:val="0"/>
          <w:sz w:val="22"/>
          <w:szCs w:val="22"/>
        </w:rPr>
        <w:t>“</w:t>
      </w:r>
      <w:r w:rsidR="009F682A">
        <w:rPr>
          <w:rStyle w:val="Strong"/>
          <w:rFonts w:ascii="Lucida Bright" w:hAnsi="Lucida Bright"/>
          <w:b w:val="0"/>
          <w:sz w:val="22"/>
          <w:szCs w:val="22"/>
        </w:rPr>
        <w:t>made inflows</w:t>
      </w:r>
      <w:r w:rsidR="000817D1">
        <w:rPr>
          <w:rStyle w:val="Strong"/>
          <w:rFonts w:ascii="Lucida Bright" w:hAnsi="Lucida Bright"/>
          <w:b w:val="0"/>
          <w:sz w:val="22"/>
          <w:szCs w:val="22"/>
        </w:rPr>
        <w:t>”</w:t>
      </w:r>
      <w:r w:rsidR="009F682A">
        <w:rPr>
          <w:rStyle w:val="Strong"/>
          <w:rFonts w:ascii="Lucida Bright" w:hAnsi="Lucida Bright"/>
          <w:b w:val="0"/>
          <w:sz w:val="22"/>
          <w:szCs w:val="22"/>
        </w:rPr>
        <w:t xml:space="preserve"> as inflows that are directed into a reservoir by a particular entity from a source outside the reservoir. Made inflows include return flows and water transported in a watercourse from within or outside of a river basin. </w:t>
      </w:r>
      <w:r w:rsidR="00BB1A0D" w:rsidRPr="00BB1A0D">
        <w:rPr>
          <w:rStyle w:val="Strong"/>
          <w:rFonts w:ascii="Lucida Bright" w:hAnsi="Lucida Bright"/>
          <w:b w:val="0"/>
          <w:sz w:val="22"/>
          <w:szCs w:val="22"/>
        </w:rPr>
        <w:t xml:space="preserve">The </w:t>
      </w:r>
      <w:r w:rsidR="009F682A">
        <w:rPr>
          <w:rStyle w:val="Strong"/>
          <w:rFonts w:ascii="Lucida Bright" w:hAnsi="Lucida Bright"/>
          <w:b w:val="0"/>
          <w:sz w:val="22"/>
          <w:szCs w:val="22"/>
        </w:rPr>
        <w:t>rulemaking</w:t>
      </w:r>
      <w:r w:rsidR="00BB1A0D" w:rsidRPr="00BB1A0D">
        <w:rPr>
          <w:rStyle w:val="Strong"/>
          <w:rFonts w:ascii="Lucida Bright" w:hAnsi="Lucida Bright"/>
          <w:b w:val="0"/>
          <w:sz w:val="22"/>
          <w:szCs w:val="22"/>
        </w:rPr>
        <w:t xml:space="preserve"> proposes a method of water supply storage accounting </w:t>
      </w:r>
      <w:r w:rsidR="009F682A">
        <w:rPr>
          <w:rStyle w:val="Strong"/>
          <w:rFonts w:ascii="Lucida Bright" w:hAnsi="Lucida Bright"/>
          <w:b w:val="0"/>
          <w:sz w:val="22"/>
          <w:szCs w:val="22"/>
        </w:rPr>
        <w:t xml:space="preserve">where </w:t>
      </w:r>
      <w:r w:rsidR="000817D1">
        <w:rPr>
          <w:rStyle w:val="Strong"/>
          <w:rFonts w:ascii="Lucida Bright" w:hAnsi="Lucida Bright"/>
          <w:b w:val="0"/>
          <w:sz w:val="22"/>
          <w:szCs w:val="22"/>
        </w:rPr>
        <w:t>“</w:t>
      </w:r>
      <w:r w:rsidR="009F682A">
        <w:rPr>
          <w:rStyle w:val="Strong"/>
          <w:rFonts w:ascii="Lucida Bright" w:hAnsi="Lucida Bright"/>
          <w:b w:val="0"/>
          <w:sz w:val="22"/>
          <w:szCs w:val="22"/>
        </w:rPr>
        <w:t>made inflows</w:t>
      </w:r>
      <w:r w:rsidR="000817D1">
        <w:rPr>
          <w:rStyle w:val="Strong"/>
          <w:rFonts w:ascii="Lucida Bright" w:hAnsi="Lucida Bright"/>
          <w:b w:val="0"/>
          <w:sz w:val="22"/>
          <w:szCs w:val="22"/>
        </w:rPr>
        <w:t>”</w:t>
      </w:r>
      <w:r w:rsidR="009F682A">
        <w:rPr>
          <w:rStyle w:val="Strong"/>
          <w:rFonts w:ascii="Lucida Bright" w:hAnsi="Lucida Bright"/>
          <w:b w:val="0"/>
          <w:sz w:val="22"/>
          <w:szCs w:val="22"/>
        </w:rPr>
        <w:t xml:space="preserve"> are allocated to water supply storage account holders in proportion to the amount of storage allocated to the account holders. </w:t>
      </w:r>
    </w:p>
    <w:p w:rsidR="0097336B" w:rsidRDefault="009F682A" w:rsidP="005A0991">
      <w:pPr>
        <w:pStyle w:val="ListParagraph"/>
        <w:numPr>
          <w:ilvl w:val="1"/>
          <w:numId w:val="22"/>
        </w:numPr>
        <w:rPr>
          <w:rStyle w:val="Strong"/>
          <w:rFonts w:ascii="Lucida Bright" w:hAnsi="Lucida Bright"/>
          <w:b w:val="0"/>
          <w:sz w:val="22"/>
          <w:szCs w:val="22"/>
        </w:rPr>
      </w:pPr>
      <w:r>
        <w:rPr>
          <w:rStyle w:val="Strong"/>
          <w:rFonts w:ascii="Lucida Bright" w:hAnsi="Lucida Bright"/>
          <w:b w:val="0"/>
          <w:sz w:val="22"/>
          <w:szCs w:val="22"/>
        </w:rPr>
        <w:t>Texas permits return flows, other water transported through the bed and banks of a watercourse, and water moved from one basin to another to specific water right holders. The proposed rule</w:t>
      </w:r>
      <w:r w:rsidR="00BB1A0D" w:rsidRPr="00BB1A0D">
        <w:rPr>
          <w:rStyle w:val="Strong"/>
          <w:rFonts w:ascii="Lucida Bright" w:hAnsi="Lucida Bright"/>
          <w:b w:val="0"/>
          <w:sz w:val="22"/>
          <w:szCs w:val="22"/>
        </w:rPr>
        <w:t xml:space="preserve"> would result in the Corps allocating water under a state issued water right to another user.</w:t>
      </w:r>
      <w:r>
        <w:rPr>
          <w:rStyle w:val="Strong"/>
          <w:rFonts w:ascii="Lucida Bright" w:hAnsi="Lucida Bright"/>
          <w:b w:val="0"/>
          <w:sz w:val="22"/>
          <w:szCs w:val="22"/>
        </w:rPr>
        <w:t xml:space="preserve"> </w:t>
      </w:r>
      <w:r w:rsidR="0097336B" w:rsidRPr="009619C1">
        <w:rPr>
          <w:rStyle w:val="Strong"/>
          <w:rFonts w:ascii="Lucida Bright" w:hAnsi="Lucida Bright"/>
          <w:b w:val="0"/>
          <w:sz w:val="22"/>
          <w:szCs w:val="22"/>
        </w:rPr>
        <w:t xml:space="preserve">However, the </w:t>
      </w:r>
      <w:r>
        <w:rPr>
          <w:rStyle w:val="Strong"/>
          <w:rFonts w:ascii="Lucida Bright" w:hAnsi="Lucida Bright"/>
          <w:b w:val="0"/>
          <w:sz w:val="22"/>
          <w:szCs w:val="22"/>
        </w:rPr>
        <w:t>C</w:t>
      </w:r>
      <w:r w:rsidR="0097336B" w:rsidRPr="009619C1">
        <w:rPr>
          <w:rStyle w:val="Strong"/>
          <w:rFonts w:ascii="Lucida Bright" w:hAnsi="Lucida Bright"/>
          <w:b w:val="0"/>
          <w:sz w:val="22"/>
          <w:szCs w:val="22"/>
        </w:rPr>
        <w:t xml:space="preserve">orps has also solicited comments on </w:t>
      </w:r>
      <w:r>
        <w:rPr>
          <w:rStyle w:val="Strong"/>
          <w:rFonts w:ascii="Lucida Bright" w:hAnsi="Lucida Bright"/>
          <w:b w:val="0"/>
          <w:sz w:val="22"/>
          <w:szCs w:val="22"/>
        </w:rPr>
        <w:t xml:space="preserve">an </w:t>
      </w:r>
      <w:r w:rsidR="0097336B" w:rsidRPr="009619C1">
        <w:rPr>
          <w:rStyle w:val="Strong"/>
          <w:rFonts w:ascii="Lucida Bright" w:hAnsi="Lucida Bright"/>
          <w:b w:val="0"/>
          <w:sz w:val="22"/>
          <w:szCs w:val="22"/>
        </w:rPr>
        <w:t>alternative approach</w:t>
      </w:r>
      <w:r>
        <w:rPr>
          <w:rStyle w:val="Strong"/>
          <w:rFonts w:ascii="Lucida Bright" w:hAnsi="Lucida Bright"/>
          <w:b w:val="0"/>
          <w:sz w:val="22"/>
          <w:szCs w:val="22"/>
        </w:rPr>
        <w:t xml:space="preserve"> where </w:t>
      </w:r>
      <w:r w:rsidR="00EB745C">
        <w:rPr>
          <w:rStyle w:val="Strong"/>
          <w:rFonts w:ascii="Lucida Bright" w:hAnsi="Lucida Bright"/>
          <w:b w:val="0"/>
          <w:sz w:val="22"/>
          <w:szCs w:val="22"/>
        </w:rPr>
        <w:t>a</w:t>
      </w:r>
      <w:r>
        <w:rPr>
          <w:rStyle w:val="Strong"/>
          <w:rFonts w:ascii="Lucida Bright" w:hAnsi="Lucida Bright"/>
          <w:b w:val="0"/>
          <w:sz w:val="22"/>
          <w:szCs w:val="22"/>
        </w:rPr>
        <w:t xml:space="preserve"> water supply contract holder</w:t>
      </w:r>
      <w:r w:rsidR="00EB745C">
        <w:rPr>
          <w:rStyle w:val="Strong"/>
          <w:rFonts w:ascii="Lucida Bright" w:hAnsi="Lucida Bright"/>
          <w:b w:val="0"/>
          <w:sz w:val="22"/>
          <w:szCs w:val="22"/>
        </w:rPr>
        <w:t xml:space="preserve"> would receive full credit for </w:t>
      </w:r>
      <w:r w:rsidR="000817D1">
        <w:rPr>
          <w:rStyle w:val="Strong"/>
          <w:rFonts w:ascii="Lucida Bright" w:hAnsi="Lucida Bright"/>
          <w:b w:val="0"/>
          <w:sz w:val="22"/>
          <w:szCs w:val="22"/>
        </w:rPr>
        <w:t>“</w:t>
      </w:r>
      <w:r w:rsidR="00EB745C">
        <w:rPr>
          <w:rStyle w:val="Strong"/>
          <w:rFonts w:ascii="Lucida Bright" w:hAnsi="Lucida Bright"/>
          <w:b w:val="0"/>
          <w:sz w:val="22"/>
          <w:szCs w:val="22"/>
        </w:rPr>
        <w:t>made inflows</w:t>
      </w:r>
      <w:r w:rsidR="000817D1">
        <w:rPr>
          <w:rStyle w:val="Strong"/>
          <w:rFonts w:ascii="Lucida Bright" w:hAnsi="Lucida Bright"/>
          <w:b w:val="0"/>
          <w:sz w:val="22"/>
          <w:szCs w:val="22"/>
        </w:rPr>
        <w:t>”</w:t>
      </w:r>
      <w:r w:rsidR="0097336B" w:rsidRPr="009619C1">
        <w:rPr>
          <w:rStyle w:val="Strong"/>
          <w:rFonts w:ascii="Lucida Bright" w:hAnsi="Lucida Bright"/>
          <w:b w:val="0"/>
          <w:sz w:val="22"/>
          <w:szCs w:val="22"/>
        </w:rPr>
        <w:t>.</w:t>
      </w:r>
      <w:r w:rsidR="00EB745C">
        <w:rPr>
          <w:rStyle w:val="Strong"/>
          <w:rFonts w:ascii="Lucida Bright" w:hAnsi="Lucida Bright"/>
          <w:b w:val="0"/>
          <w:sz w:val="22"/>
          <w:szCs w:val="22"/>
        </w:rPr>
        <w:t xml:space="preserve"> TCEQ commented that the alternate approach should be used provided the water supply account holder to whom the </w:t>
      </w:r>
      <w:r w:rsidR="000817D1">
        <w:rPr>
          <w:rStyle w:val="Strong"/>
          <w:rFonts w:ascii="Lucida Bright" w:hAnsi="Lucida Bright"/>
          <w:b w:val="0"/>
          <w:sz w:val="22"/>
          <w:szCs w:val="22"/>
        </w:rPr>
        <w:t>“</w:t>
      </w:r>
      <w:r w:rsidR="00EB745C">
        <w:rPr>
          <w:rStyle w:val="Strong"/>
          <w:rFonts w:ascii="Lucida Bright" w:hAnsi="Lucida Bright"/>
          <w:b w:val="0"/>
          <w:sz w:val="22"/>
          <w:szCs w:val="22"/>
        </w:rPr>
        <w:t>made inflows</w:t>
      </w:r>
      <w:r w:rsidR="000817D1">
        <w:rPr>
          <w:rStyle w:val="Strong"/>
          <w:rFonts w:ascii="Lucida Bright" w:hAnsi="Lucida Bright"/>
          <w:b w:val="0"/>
          <w:sz w:val="22"/>
          <w:szCs w:val="22"/>
        </w:rPr>
        <w:t>”</w:t>
      </w:r>
      <w:r w:rsidR="00EB745C">
        <w:rPr>
          <w:rStyle w:val="Strong"/>
          <w:rFonts w:ascii="Lucida Bright" w:hAnsi="Lucida Bright"/>
          <w:b w:val="0"/>
          <w:sz w:val="22"/>
          <w:szCs w:val="22"/>
        </w:rPr>
        <w:t xml:space="preserve"> are allocated has a state water right permit authorizing use of those </w:t>
      </w:r>
      <w:r w:rsidR="000817D1">
        <w:rPr>
          <w:rStyle w:val="Strong"/>
          <w:rFonts w:ascii="Lucida Bright" w:hAnsi="Lucida Bright"/>
          <w:b w:val="0"/>
          <w:sz w:val="22"/>
          <w:szCs w:val="22"/>
        </w:rPr>
        <w:t>“</w:t>
      </w:r>
      <w:r w:rsidR="00EB745C">
        <w:rPr>
          <w:rStyle w:val="Strong"/>
          <w:rFonts w:ascii="Lucida Bright" w:hAnsi="Lucida Bright"/>
          <w:b w:val="0"/>
          <w:sz w:val="22"/>
          <w:szCs w:val="22"/>
        </w:rPr>
        <w:t>made inflows</w:t>
      </w:r>
      <w:r w:rsidR="000817D1">
        <w:rPr>
          <w:rStyle w:val="Strong"/>
          <w:rFonts w:ascii="Lucida Bright" w:hAnsi="Lucida Bright"/>
          <w:b w:val="0"/>
          <w:sz w:val="22"/>
          <w:szCs w:val="22"/>
        </w:rPr>
        <w:t>”</w:t>
      </w:r>
      <w:r w:rsidR="00EB745C">
        <w:rPr>
          <w:rStyle w:val="Strong"/>
          <w:rFonts w:ascii="Lucida Bright" w:hAnsi="Lucida Bright"/>
          <w:b w:val="0"/>
          <w:sz w:val="22"/>
          <w:szCs w:val="22"/>
        </w:rPr>
        <w:t>. See comment summary below.</w:t>
      </w:r>
      <w:r w:rsidR="0097336B" w:rsidRPr="009619C1">
        <w:rPr>
          <w:rStyle w:val="Strong"/>
          <w:rFonts w:ascii="Lucida Bright" w:hAnsi="Lucida Bright"/>
          <w:b w:val="0"/>
          <w:sz w:val="22"/>
          <w:szCs w:val="22"/>
        </w:rPr>
        <w:t xml:space="preserve">  </w:t>
      </w:r>
    </w:p>
    <w:p w:rsidR="005A0991" w:rsidRDefault="00005DE5" w:rsidP="009619C1">
      <w:pPr>
        <w:pStyle w:val="ListParagraph"/>
        <w:numPr>
          <w:ilvl w:val="0"/>
          <w:numId w:val="22"/>
        </w:numPr>
        <w:rPr>
          <w:rStyle w:val="Strong"/>
          <w:rFonts w:ascii="Lucida Bright" w:hAnsi="Lucida Bright"/>
          <w:b w:val="0"/>
          <w:sz w:val="22"/>
          <w:szCs w:val="22"/>
        </w:rPr>
      </w:pPr>
      <w:r w:rsidRPr="00F2759C">
        <w:rPr>
          <w:rStyle w:val="Strong"/>
          <w:rFonts w:ascii="Lucida Bright" w:hAnsi="Lucida Bright"/>
          <w:b w:val="0"/>
          <w:i/>
          <w:sz w:val="22"/>
          <w:szCs w:val="22"/>
        </w:rPr>
        <w:t xml:space="preserve">Federalism: </w:t>
      </w:r>
      <w:r>
        <w:rPr>
          <w:rStyle w:val="Strong"/>
          <w:rFonts w:ascii="Lucida Bright" w:hAnsi="Lucida Bright"/>
          <w:b w:val="0"/>
          <w:sz w:val="22"/>
          <w:szCs w:val="22"/>
        </w:rPr>
        <w:t>The proposed rule preamble states that there are no federalism issues related to th</w:t>
      </w:r>
      <w:r w:rsidR="003838A7">
        <w:rPr>
          <w:rStyle w:val="Strong"/>
          <w:rFonts w:ascii="Lucida Bright" w:hAnsi="Lucida Bright"/>
          <w:b w:val="0"/>
          <w:sz w:val="22"/>
          <w:szCs w:val="22"/>
        </w:rPr>
        <w:t xml:space="preserve">e rulemaking. </w:t>
      </w:r>
    </w:p>
    <w:p w:rsidR="00005DE5" w:rsidRPr="009619C1" w:rsidRDefault="003838A7" w:rsidP="005A0991">
      <w:pPr>
        <w:pStyle w:val="ListParagraph"/>
        <w:numPr>
          <w:ilvl w:val="1"/>
          <w:numId w:val="22"/>
        </w:numPr>
        <w:rPr>
          <w:rStyle w:val="Strong"/>
          <w:rFonts w:ascii="Lucida Bright" w:hAnsi="Lucida Bright"/>
          <w:b w:val="0"/>
          <w:sz w:val="22"/>
          <w:szCs w:val="22"/>
        </w:rPr>
      </w:pPr>
      <w:r>
        <w:rPr>
          <w:rStyle w:val="Strong"/>
          <w:rFonts w:ascii="Lucida Bright" w:hAnsi="Lucida Bright"/>
          <w:b w:val="0"/>
          <w:sz w:val="22"/>
          <w:szCs w:val="22"/>
        </w:rPr>
        <w:t>TCEQ disagrees that there are no federalism implications because the proposed rule directly conflicts with state primacy in water allocations. See comment summary below.</w:t>
      </w:r>
    </w:p>
    <w:p w:rsidR="00597F34" w:rsidRPr="00802F28" w:rsidRDefault="00597F34" w:rsidP="00597F34">
      <w:pPr>
        <w:rPr>
          <w:rStyle w:val="Strong"/>
          <w:rFonts w:ascii="Lucida Bright" w:hAnsi="Lucida Bright"/>
          <w:b w:val="0"/>
          <w:sz w:val="22"/>
          <w:szCs w:val="22"/>
        </w:rPr>
      </w:pPr>
    </w:p>
    <w:p w:rsidR="00597F34" w:rsidRPr="00802F28" w:rsidRDefault="00597F34" w:rsidP="00597F34">
      <w:pPr>
        <w:rPr>
          <w:rFonts w:ascii="Lucida Bright" w:hAnsi="Lucida Bright"/>
          <w:sz w:val="22"/>
          <w:szCs w:val="22"/>
        </w:rPr>
      </w:pPr>
      <w:r w:rsidRPr="00802F28">
        <w:rPr>
          <w:rStyle w:val="Strong"/>
          <w:rFonts w:ascii="Lucida Bright" w:hAnsi="Lucida Bright"/>
          <w:sz w:val="22"/>
          <w:szCs w:val="22"/>
        </w:rPr>
        <w:t xml:space="preserve">Summary of Comments: </w:t>
      </w:r>
      <w:r w:rsidRPr="00802F28">
        <w:rPr>
          <w:rFonts w:ascii="Lucida Bright" w:hAnsi="Lucida Bright"/>
          <w:sz w:val="22"/>
          <w:szCs w:val="22"/>
        </w:rPr>
        <w:t xml:space="preserve"> </w:t>
      </w:r>
    </w:p>
    <w:p w:rsidR="004B4131" w:rsidRPr="00802F28" w:rsidRDefault="004B4131" w:rsidP="00597F34">
      <w:pPr>
        <w:rPr>
          <w:rFonts w:ascii="Lucida Bright" w:hAnsi="Lucida Bright"/>
          <w:sz w:val="22"/>
          <w:szCs w:val="22"/>
        </w:rPr>
      </w:pPr>
    </w:p>
    <w:p w:rsidR="003838A7" w:rsidRPr="00F2759C" w:rsidRDefault="003838A7" w:rsidP="00802F28">
      <w:pPr>
        <w:rPr>
          <w:rFonts w:ascii="Lucida Bright" w:hAnsi="Lucida Bright"/>
          <w:i/>
          <w:sz w:val="22"/>
          <w:szCs w:val="22"/>
        </w:rPr>
      </w:pPr>
      <w:r w:rsidRPr="00F2759C">
        <w:rPr>
          <w:rFonts w:ascii="Lucida Bright" w:hAnsi="Lucida Bright"/>
          <w:i/>
          <w:sz w:val="22"/>
          <w:szCs w:val="22"/>
        </w:rPr>
        <w:t>Procedural Comment:</w:t>
      </w:r>
    </w:p>
    <w:p w:rsidR="003838A7" w:rsidRDefault="00774CB5" w:rsidP="00774CB5">
      <w:pPr>
        <w:pStyle w:val="BodyText"/>
        <w:tabs>
          <w:tab w:val="left" w:pos="0"/>
        </w:tabs>
        <w:rPr>
          <w:rFonts w:ascii="Lucida Bright" w:hAnsi="Lucida Bright"/>
          <w:sz w:val="22"/>
          <w:szCs w:val="22"/>
        </w:rPr>
      </w:pPr>
      <w:r w:rsidRPr="00774CB5">
        <w:rPr>
          <w:rFonts w:ascii="Lucida Bright" w:hAnsi="Lucida Bright"/>
          <w:sz w:val="22"/>
          <w:szCs w:val="22"/>
        </w:rPr>
        <w:t>TCEQ recommends that the Corps rescind the portion of the rule related to storage accounting and implement a stakeholder process with the states to account for variability in state water laws, or limit the scope of the proposed storage accounting method to states where the Corps has encountered the related issues.</w:t>
      </w:r>
      <w:r>
        <w:rPr>
          <w:rFonts w:ascii="Lucida Bright" w:hAnsi="Lucida Bright"/>
          <w:sz w:val="22"/>
          <w:szCs w:val="22"/>
        </w:rPr>
        <w:t xml:space="preserve"> </w:t>
      </w:r>
      <w:r w:rsidR="001900FE">
        <w:rPr>
          <w:rFonts w:ascii="Lucida Bright" w:hAnsi="Lucida Bright"/>
          <w:sz w:val="22"/>
          <w:szCs w:val="22"/>
        </w:rPr>
        <w:t>The</w:t>
      </w:r>
      <w:r w:rsidR="003838A7">
        <w:rPr>
          <w:rFonts w:ascii="Lucida Bright" w:hAnsi="Lucida Bright"/>
          <w:sz w:val="22"/>
          <w:szCs w:val="22"/>
        </w:rPr>
        <w:t xml:space="preserve"> proposed rule does not take into account variability in state water laws and was not developed through close coordination with the states. </w:t>
      </w:r>
    </w:p>
    <w:p w:rsidR="003838A7" w:rsidRDefault="003838A7" w:rsidP="00802F28">
      <w:pPr>
        <w:rPr>
          <w:rFonts w:ascii="Lucida Bright" w:hAnsi="Lucida Bright"/>
          <w:sz w:val="22"/>
          <w:szCs w:val="22"/>
        </w:rPr>
      </w:pPr>
    </w:p>
    <w:p w:rsidR="009B2552" w:rsidRPr="00F2759C" w:rsidRDefault="009B2552" w:rsidP="00802F28">
      <w:pPr>
        <w:rPr>
          <w:rFonts w:ascii="Lucida Bright" w:hAnsi="Lucida Bright"/>
          <w:i/>
          <w:sz w:val="22"/>
          <w:szCs w:val="22"/>
        </w:rPr>
      </w:pPr>
      <w:r w:rsidRPr="00F2759C">
        <w:rPr>
          <w:rFonts w:ascii="Lucida Bright" w:hAnsi="Lucida Bright"/>
          <w:i/>
          <w:sz w:val="22"/>
          <w:szCs w:val="22"/>
        </w:rPr>
        <w:t>General Comment:</w:t>
      </w:r>
    </w:p>
    <w:p w:rsidR="00774CB5" w:rsidRPr="00774CB5" w:rsidRDefault="00774CB5" w:rsidP="00774CB5">
      <w:pPr>
        <w:pStyle w:val="BodyText"/>
        <w:tabs>
          <w:tab w:val="left" w:pos="0"/>
        </w:tabs>
        <w:spacing w:after="0"/>
      </w:pPr>
      <w:r w:rsidRPr="00774CB5">
        <w:rPr>
          <w:rFonts w:ascii="Lucida Bright" w:hAnsi="Lucida Bright"/>
          <w:sz w:val="22"/>
        </w:rPr>
        <w:t xml:space="preserve">Language throughout the proposed rule conflicts with both Federal law and Texas water law. The TCEQ recommends that the Corps make it clear that states have jurisdiction over the allocation of water as authorized in the Texas Water Code and recognized in both the Flood Control Act and the Water Supply Act. The discussion of state authority should be modified throughout the preamble to ensure consistency with both state and federal statutes. </w:t>
      </w:r>
    </w:p>
    <w:p w:rsidR="00774CB5" w:rsidRDefault="00774CB5" w:rsidP="00774CB5">
      <w:pPr>
        <w:pStyle w:val="BodyText"/>
        <w:tabs>
          <w:tab w:val="left" w:pos="0"/>
        </w:tabs>
        <w:spacing w:after="0"/>
        <w:rPr>
          <w:rFonts w:ascii="Lucida Bright" w:hAnsi="Lucida Bright"/>
          <w:sz w:val="22"/>
          <w:szCs w:val="22"/>
        </w:rPr>
      </w:pPr>
      <w:r w:rsidRPr="006B08EE">
        <w:rPr>
          <w:rFonts w:ascii="Lucida Bright" w:hAnsi="Lucida Bright"/>
          <w:sz w:val="22"/>
          <w:szCs w:val="22"/>
        </w:rPr>
        <w:t xml:space="preserve">The preamble is inconsistent in its discussion of uses for which states can allocate water and the authority of states to manage and permit water rights within their borders. For example, throughout the preamble the Corps refers to the states’ prerogatives to allocate water for consumptive uses. In other sections the Corps defers to state water right allocation systems. In Texas, state authority to allocate water is not limited to consumptive uses. State law allows both consumptive and non-consumptive uses to be permitted under a Texas water right permit. Further, if hydropower or other non-consumptive uses </w:t>
      </w:r>
      <w:r>
        <w:rPr>
          <w:rFonts w:ascii="Lucida Bright" w:hAnsi="Lucida Bright"/>
          <w:sz w:val="22"/>
          <w:szCs w:val="22"/>
        </w:rPr>
        <w:t xml:space="preserve">which require a state water right permit </w:t>
      </w:r>
      <w:r w:rsidRPr="006B08EE">
        <w:rPr>
          <w:rFonts w:ascii="Lucida Bright" w:hAnsi="Lucida Bright"/>
          <w:sz w:val="22"/>
          <w:szCs w:val="22"/>
        </w:rPr>
        <w:t xml:space="preserve">are associated with a </w:t>
      </w:r>
      <w:r>
        <w:rPr>
          <w:rFonts w:ascii="Lucida Bright" w:hAnsi="Lucida Bright"/>
          <w:sz w:val="22"/>
          <w:szCs w:val="22"/>
        </w:rPr>
        <w:t xml:space="preserve">Corps </w:t>
      </w:r>
      <w:r w:rsidRPr="006B08EE">
        <w:rPr>
          <w:rFonts w:ascii="Lucida Bright" w:hAnsi="Lucida Bright"/>
          <w:sz w:val="22"/>
          <w:szCs w:val="22"/>
        </w:rPr>
        <w:t xml:space="preserve">reservoir, irrespective of whether storage for consumptive uses are included in the authorization for the project, under Texas law, a state water right permit is required for the reservoir. In addition, we disagree that </w:t>
      </w:r>
      <w:r>
        <w:rPr>
          <w:rFonts w:ascii="Lucida Bright" w:hAnsi="Lucida Bright"/>
          <w:sz w:val="22"/>
          <w:szCs w:val="22"/>
        </w:rPr>
        <w:t>uses such as hydropower</w:t>
      </w:r>
      <w:r w:rsidRPr="006B08EE">
        <w:rPr>
          <w:rFonts w:ascii="Lucida Bright" w:hAnsi="Lucida Bright"/>
          <w:sz w:val="22"/>
          <w:szCs w:val="22"/>
        </w:rPr>
        <w:t xml:space="preserve"> would be considered </w:t>
      </w:r>
      <w:r>
        <w:rPr>
          <w:rFonts w:ascii="Lucida Bright" w:hAnsi="Lucida Bright"/>
          <w:sz w:val="22"/>
          <w:szCs w:val="22"/>
        </w:rPr>
        <w:t xml:space="preserve">completely </w:t>
      </w:r>
      <w:r w:rsidRPr="006B08EE">
        <w:rPr>
          <w:rFonts w:ascii="Lucida Bright" w:hAnsi="Lucida Bright"/>
          <w:sz w:val="22"/>
          <w:szCs w:val="22"/>
        </w:rPr>
        <w:t xml:space="preserve">non-consumptive if they are associated with </w:t>
      </w:r>
      <w:r>
        <w:rPr>
          <w:rFonts w:ascii="Lucida Bright" w:hAnsi="Lucida Bright"/>
          <w:sz w:val="22"/>
          <w:szCs w:val="22"/>
        </w:rPr>
        <w:t xml:space="preserve">storage in </w:t>
      </w:r>
      <w:r w:rsidRPr="006B08EE">
        <w:rPr>
          <w:rFonts w:ascii="Lucida Bright" w:hAnsi="Lucida Bright"/>
          <w:sz w:val="22"/>
          <w:szCs w:val="22"/>
        </w:rPr>
        <w:t xml:space="preserve">a reservoir as that term is defined in the proposed rule. </w:t>
      </w:r>
    </w:p>
    <w:p w:rsidR="001900FE" w:rsidRDefault="001900FE" w:rsidP="00802F28">
      <w:pPr>
        <w:rPr>
          <w:rStyle w:val="Strong"/>
          <w:rFonts w:ascii="Lucida Bright" w:hAnsi="Lucida Bright"/>
          <w:b w:val="0"/>
          <w:sz w:val="22"/>
          <w:szCs w:val="22"/>
        </w:rPr>
      </w:pPr>
    </w:p>
    <w:p w:rsidR="008D3479" w:rsidRPr="00F2759C" w:rsidRDefault="008D3479" w:rsidP="00802F28">
      <w:pPr>
        <w:rPr>
          <w:rFonts w:ascii="Lucida Bright" w:hAnsi="Lucida Bright"/>
          <w:i/>
          <w:sz w:val="22"/>
          <w:szCs w:val="22"/>
        </w:rPr>
      </w:pPr>
      <w:r w:rsidRPr="00F2759C">
        <w:rPr>
          <w:rFonts w:ascii="Lucida Bright" w:hAnsi="Lucida Bright"/>
          <w:i/>
          <w:sz w:val="22"/>
          <w:szCs w:val="22"/>
        </w:rPr>
        <w:t>Comment on Water Supply Storage Accounting:</w:t>
      </w:r>
    </w:p>
    <w:p w:rsidR="000817D1" w:rsidRDefault="00774CB5" w:rsidP="001900FE">
      <w:pPr>
        <w:pStyle w:val="BodyText"/>
        <w:spacing w:after="0"/>
        <w:rPr>
          <w:rFonts w:ascii="Lucida Bright" w:hAnsi="Lucida Bright"/>
          <w:sz w:val="22"/>
          <w:szCs w:val="22"/>
        </w:rPr>
      </w:pPr>
      <w:r w:rsidRPr="00774CB5">
        <w:rPr>
          <w:rFonts w:ascii="Lucida Bright" w:hAnsi="Lucida Bright"/>
          <w:sz w:val="22"/>
          <w:szCs w:val="22"/>
        </w:rPr>
        <w:t xml:space="preserve">TCEQ recommends that the Corps’ water supply storage accounting accommodate state law by adopting an alternative approach to water supply storage accounting.  </w:t>
      </w:r>
      <w:r w:rsidR="000817D1">
        <w:rPr>
          <w:rFonts w:ascii="Lucida Bright" w:hAnsi="Lucida Bright"/>
          <w:sz w:val="22"/>
          <w:szCs w:val="22"/>
        </w:rPr>
        <w:t>“</w:t>
      </w:r>
      <w:r w:rsidRPr="00774CB5">
        <w:rPr>
          <w:rFonts w:ascii="Lucida Bright" w:hAnsi="Lucida Bright"/>
          <w:sz w:val="22"/>
          <w:szCs w:val="22"/>
        </w:rPr>
        <w:t>Made inflows</w:t>
      </w:r>
      <w:r w:rsidR="000817D1">
        <w:rPr>
          <w:rFonts w:ascii="Lucida Bright" w:hAnsi="Lucida Bright"/>
          <w:sz w:val="22"/>
          <w:szCs w:val="22"/>
        </w:rPr>
        <w:t>”</w:t>
      </w:r>
      <w:r w:rsidRPr="00774CB5">
        <w:rPr>
          <w:rFonts w:ascii="Lucida Bright" w:hAnsi="Lucida Bright"/>
          <w:sz w:val="22"/>
          <w:szCs w:val="22"/>
        </w:rPr>
        <w:t xml:space="preserve"> should be allocated only to the water supply storage account holder that created those flows, provided the account holder has a state issued water right permit for those </w:t>
      </w:r>
      <w:r w:rsidR="000817D1">
        <w:rPr>
          <w:rFonts w:ascii="Lucida Bright" w:hAnsi="Lucida Bright"/>
          <w:sz w:val="22"/>
          <w:szCs w:val="22"/>
        </w:rPr>
        <w:t>“</w:t>
      </w:r>
      <w:r w:rsidRPr="00774CB5">
        <w:rPr>
          <w:rFonts w:ascii="Lucida Bright" w:hAnsi="Lucida Bright"/>
          <w:sz w:val="22"/>
          <w:szCs w:val="22"/>
        </w:rPr>
        <w:t>made inflows</w:t>
      </w:r>
      <w:r w:rsidR="000817D1">
        <w:rPr>
          <w:rFonts w:ascii="Lucida Bright" w:hAnsi="Lucida Bright"/>
          <w:sz w:val="22"/>
          <w:szCs w:val="22"/>
        </w:rPr>
        <w:t>”</w:t>
      </w:r>
      <w:r w:rsidRPr="00774CB5">
        <w:rPr>
          <w:rFonts w:ascii="Lucida Bright" w:hAnsi="Lucida Bright"/>
          <w:sz w:val="22"/>
          <w:szCs w:val="22"/>
        </w:rPr>
        <w:t>.</w:t>
      </w:r>
      <w:r>
        <w:rPr>
          <w:rFonts w:ascii="Lucida Bright" w:hAnsi="Lucida Bright"/>
          <w:sz w:val="22"/>
          <w:szCs w:val="22"/>
        </w:rPr>
        <w:t xml:space="preserve"> </w:t>
      </w:r>
      <w:r w:rsidRPr="00774CB5">
        <w:rPr>
          <w:rFonts w:ascii="Lucida Bright" w:hAnsi="Lucida Bright"/>
          <w:sz w:val="22"/>
          <w:szCs w:val="22"/>
        </w:rPr>
        <w:t xml:space="preserve"> </w:t>
      </w:r>
      <w:r w:rsidRPr="00791384">
        <w:rPr>
          <w:rFonts w:ascii="Lucida Bright" w:hAnsi="Lucida Bright"/>
          <w:sz w:val="22"/>
          <w:szCs w:val="22"/>
        </w:rPr>
        <w:t xml:space="preserve">The section of the proposed rule related to water supply storage accounting does not take into account variability in state laws for allocation of surface water. </w:t>
      </w:r>
      <w:r>
        <w:rPr>
          <w:rFonts w:ascii="Lucida Bright" w:hAnsi="Lucida Bright"/>
          <w:sz w:val="22"/>
          <w:szCs w:val="22"/>
        </w:rPr>
        <w:t>TCEQ</w:t>
      </w:r>
      <w:r w:rsidRPr="009D747F">
        <w:rPr>
          <w:rFonts w:ascii="Lucida Bright" w:hAnsi="Lucida Bright"/>
          <w:sz w:val="22"/>
          <w:szCs w:val="22"/>
        </w:rPr>
        <w:t xml:space="preserve"> has jurisdiction to allocate surface water within its bo</w:t>
      </w:r>
      <w:r>
        <w:rPr>
          <w:rFonts w:ascii="Lucida Bright" w:hAnsi="Lucida Bright"/>
          <w:sz w:val="22"/>
          <w:szCs w:val="22"/>
        </w:rPr>
        <w:t>rders</w:t>
      </w:r>
      <w:r w:rsidRPr="009D747F">
        <w:rPr>
          <w:rFonts w:ascii="Lucida Bright" w:hAnsi="Lucida Bright"/>
          <w:sz w:val="22"/>
          <w:szCs w:val="22"/>
        </w:rPr>
        <w:t xml:space="preserve">. Texas water right permits can include allocations for specific return flows and other </w:t>
      </w:r>
      <w:r w:rsidR="000817D1">
        <w:rPr>
          <w:rFonts w:ascii="Lucida Bright" w:hAnsi="Lucida Bright"/>
          <w:sz w:val="22"/>
          <w:szCs w:val="22"/>
        </w:rPr>
        <w:t>“</w:t>
      </w:r>
      <w:r w:rsidRPr="009D747F">
        <w:rPr>
          <w:rFonts w:ascii="Lucida Bright" w:hAnsi="Lucida Bright"/>
          <w:sz w:val="22"/>
          <w:szCs w:val="22"/>
        </w:rPr>
        <w:t>made inflows</w:t>
      </w:r>
      <w:r w:rsidR="000817D1">
        <w:rPr>
          <w:rFonts w:ascii="Lucida Bright" w:hAnsi="Lucida Bright"/>
          <w:sz w:val="22"/>
          <w:szCs w:val="22"/>
        </w:rPr>
        <w:t>”</w:t>
      </w:r>
      <w:r w:rsidRPr="009D747F">
        <w:rPr>
          <w:rFonts w:ascii="Lucida Bright" w:hAnsi="Lucida Bright"/>
          <w:sz w:val="22"/>
          <w:szCs w:val="22"/>
        </w:rPr>
        <w:t xml:space="preserve"> such as water originating from transfers within a river basin or from another river basin. </w:t>
      </w:r>
      <w:r>
        <w:rPr>
          <w:rFonts w:ascii="Lucida Bright" w:hAnsi="Lucida Bright"/>
          <w:sz w:val="22"/>
          <w:szCs w:val="22"/>
        </w:rPr>
        <w:t xml:space="preserve">These water rights require accounting to demonstrate compliance with state water law and the terms of the state issued water right. </w:t>
      </w:r>
      <w:r w:rsidRPr="009D747F">
        <w:rPr>
          <w:rFonts w:ascii="Lucida Bright" w:hAnsi="Lucida Bright"/>
          <w:sz w:val="22"/>
          <w:szCs w:val="22"/>
        </w:rPr>
        <w:t xml:space="preserve">Allocation of return flows and other </w:t>
      </w:r>
      <w:r w:rsidR="000817D1">
        <w:rPr>
          <w:rFonts w:ascii="Lucida Bright" w:hAnsi="Lucida Bright"/>
          <w:sz w:val="22"/>
          <w:szCs w:val="22"/>
        </w:rPr>
        <w:t>“</w:t>
      </w:r>
      <w:r w:rsidRPr="009D747F">
        <w:rPr>
          <w:rFonts w:ascii="Lucida Bright" w:hAnsi="Lucida Bright"/>
          <w:sz w:val="22"/>
          <w:szCs w:val="22"/>
        </w:rPr>
        <w:t>made inflows</w:t>
      </w:r>
      <w:r w:rsidR="000817D1">
        <w:rPr>
          <w:rFonts w:ascii="Lucida Bright" w:hAnsi="Lucida Bright"/>
          <w:sz w:val="22"/>
          <w:szCs w:val="22"/>
        </w:rPr>
        <w:t>”</w:t>
      </w:r>
      <w:r w:rsidRPr="009D747F">
        <w:rPr>
          <w:rFonts w:ascii="Lucida Bright" w:hAnsi="Lucida Bright"/>
          <w:sz w:val="22"/>
          <w:szCs w:val="22"/>
        </w:rPr>
        <w:t xml:space="preserve"> to all users in a reservoir would result in water that is permitted to an existing Texas water right being allocated to other users in a manner that violates state statutes and ownership of state water. </w:t>
      </w:r>
      <w:r>
        <w:rPr>
          <w:rFonts w:ascii="Lucida Bright" w:hAnsi="Lucida Bright"/>
          <w:sz w:val="22"/>
          <w:szCs w:val="22"/>
        </w:rPr>
        <w:t>Under the Corps proposed storage accounting method, the Corps would not recognize state issued water rights permits, including the accounting provisions included in those water rights. Texas water right holders have made significant investments to utilize their permitted water. The proposed rule would have the effect of allocating this water to someone else and the Corps accounting would directly conflict with the terms of the state issued water rights.</w:t>
      </w:r>
    </w:p>
    <w:p w:rsidR="00774CB5" w:rsidRDefault="00774CB5" w:rsidP="001900FE">
      <w:pPr>
        <w:pStyle w:val="BodyText"/>
        <w:spacing w:after="0"/>
        <w:rPr>
          <w:rFonts w:ascii="Lucida Bright" w:hAnsi="Lucida Bright"/>
          <w:sz w:val="22"/>
          <w:szCs w:val="22"/>
        </w:rPr>
      </w:pPr>
      <w:r>
        <w:rPr>
          <w:rFonts w:ascii="Lucida Bright" w:hAnsi="Lucida Bright"/>
          <w:sz w:val="22"/>
          <w:szCs w:val="22"/>
        </w:rPr>
        <w:t xml:space="preserve"> </w:t>
      </w:r>
    </w:p>
    <w:p w:rsidR="00774CB5" w:rsidRDefault="00774CB5" w:rsidP="000817D1">
      <w:pPr>
        <w:pStyle w:val="BodyText"/>
        <w:tabs>
          <w:tab w:val="left" w:pos="0"/>
        </w:tabs>
        <w:spacing w:after="0"/>
        <w:rPr>
          <w:rFonts w:ascii="Lucida Bright" w:hAnsi="Lucida Bright"/>
          <w:sz w:val="22"/>
          <w:szCs w:val="22"/>
        </w:rPr>
      </w:pPr>
      <w:r w:rsidRPr="009D747F">
        <w:rPr>
          <w:rFonts w:ascii="Lucida Bright" w:hAnsi="Lucida Bright"/>
          <w:sz w:val="22"/>
          <w:szCs w:val="22"/>
        </w:rPr>
        <w:t xml:space="preserve">In addition, not all </w:t>
      </w:r>
      <w:r w:rsidR="000817D1">
        <w:rPr>
          <w:rFonts w:ascii="Lucida Bright" w:hAnsi="Lucida Bright"/>
          <w:sz w:val="22"/>
          <w:szCs w:val="22"/>
        </w:rPr>
        <w:t>“</w:t>
      </w:r>
      <w:r w:rsidRPr="009D747F">
        <w:rPr>
          <w:rFonts w:ascii="Lucida Bright" w:hAnsi="Lucida Bright"/>
          <w:sz w:val="22"/>
          <w:szCs w:val="22"/>
        </w:rPr>
        <w:t>made inflows</w:t>
      </w:r>
      <w:r w:rsidR="000817D1">
        <w:rPr>
          <w:rFonts w:ascii="Lucida Bright" w:hAnsi="Lucida Bright"/>
          <w:sz w:val="22"/>
          <w:szCs w:val="22"/>
        </w:rPr>
        <w:t>”</w:t>
      </w:r>
      <w:r w:rsidRPr="009D747F">
        <w:rPr>
          <w:rFonts w:ascii="Lucida Bright" w:hAnsi="Lucida Bright"/>
          <w:sz w:val="22"/>
          <w:szCs w:val="22"/>
        </w:rPr>
        <w:t xml:space="preserve"> would be available for storage under Texas law because a water right holder downstream of a </w:t>
      </w:r>
      <w:r w:rsidRPr="009C2892">
        <w:rPr>
          <w:rFonts w:ascii="Lucida Bright" w:hAnsi="Lucida Bright"/>
          <w:sz w:val="22"/>
          <w:szCs w:val="22"/>
        </w:rPr>
        <w:t>reservoir may have a state issued water right authorizing diversion and use of those flows</w:t>
      </w:r>
      <w:r>
        <w:rPr>
          <w:rFonts w:ascii="Lucida Bright" w:hAnsi="Lucida Bright"/>
          <w:sz w:val="22"/>
          <w:szCs w:val="22"/>
        </w:rPr>
        <w:t>. The Corps would need to operate its project to ensure that those flows are passed through the reservoir to the water right holder with state authorization to divert and use those flows</w:t>
      </w:r>
      <w:r w:rsidRPr="009C2892">
        <w:rPr>
          <w:rFonts w:ascii="Lucida Bright" w:hAnsi="Lucida Bright"/>
          <w:sz w:val="22"/>
          <w:szCs w:val="22"/>
        </w:rPr>
        <w:t xml:space="preserve">. </w:t>
      </w:r>
      <w:r w:rsidR="00D705CA">
        <w:rPr>
          <w:rFonts w:ascii="Lucida Bright" w:hAnsi="Lucida Bright"/>
          <w:sz w:val="22"/>
          <w:szCs w:val="22"/>
        </w:rPr>
        <w:t>“</w:t>
      </w:r>
      <w:r w:rsidRPr="009C2892">
        <w:rPr>
          <w:rFonts w:ascii="Lucida Bright" w:hAnsi="Lucida Bright"/>
          <w:sz w:val="22"/>
          <w:szCs w:val="22"/>
        </w:rPr>
        <w:t>Made inflows</w:t>
      </w:r>
      <w:r w:rsidR="00D705CA">
        <w:rPr>
          <w:rFonts w:ascii="Lucida Bright" w:hAnsi="Lucida Bright"/>
          <w:sz w:val="22"/>
          <w:szCs w:val="22"/>
        </w:rPr>
        <w:t>”</w:t>
      </w:r>
      <w:r w:rsidRPr="009C2892">
        <w:rPr>
          <w:rFonts w:ascii="Lucida Bright" w:hAnsi="Lucida Bright"/>
          <w:sz w:val="22"/>
          <w:szCs w:val="22"/>
        </w:rPr>
        <w:t xml:space="preserve"> that are allocated to Texas water right holders under a state water right permit should not be considered available for storage unless the water right holder for those </w:t>
      </w:r>
      <w:r w:rsidR="000817D1">
        <w:rPr>
          <w:rFonts w:ascii="Lucida Bright" w:hAnsi="Lucida Bright"/>
          <w:sz w:val="22"/>
          <w:szCs w:val="22"/>
        </w:rPr>
        <w:t>“</w:t>
      </w:r>
      <w:r w:rsidRPr="009C2892">
        <w:rPr>
          <w:rFonts w:ascii="Lucida Bright" w:hAnsi="Lucida Bright"/>
          <w:sz w:val="22"/>
          <w:szCs w:val="22"/>
        </w:rPr>
        <w:t>made inflows</w:t>
      </w:r>
      <w:r w:rsidR="000817D1">
        <w:rPr>
          <w:rFonts w:ascii="Lucida Bright" w:hAnsi="Lucida Bright"/>
          <w:sz w:val="22"/>
          <w:szCs w:val="22"/>
        </w:rPr>
        <w:t>”</w:t>
      </w:r>
      <w:r w:rsidRPr="009C2892">
        <w:rPr>
          <w:rFonts w:ascii="Lucida Bright" w:hAnsi="Lucida Bright"/>
          <w:sz w:val="22"/>
          <w:szCs w:val="22"/>
        </w:rPr>
        <w:t xml:space="preserve"> is also a water supply storage account holder. The proposed rule, which would authorize the Corps to allocate</w:t>
      </w:r>
      <w:r w:rsidR="000817D1">
        <w:rPr>
          <w:rFonts w:ascii="Lucida Bright" w:hAnsi="Lucida Bright"/>
          <w:color w:val="FF0000"/>
          <w:sz w:val="22"/>
          <w:szCs w:val="22"/>
        </w:rPr>
        <w:t xml:space="preserve"> </w:t>
      </w:r>
      <w:r w:rsidR="000817D1">
        <w:rPr>
          <w:rFonts w:ascii="Lucida Bright" w:hAnsi="Lucida Bright"/>
          <w:sz w:val="22"/>
          <w:szCs w:val="22"/>
        </w:rPr>
        <w:t>”m</w:t>
      </w:r>
      <w:r w:rsidRPr="009C2892">
        <w:rPr>
          <w:rFonts w:ascii="Lucida Bright" w:hAnsi="Lucida Bright"/>
          <w:sz w:val="22"/>
          <w:szCs w:val="22"/>
        </w:rPr>
        <w:t>ade inflows</w:t>
      </w:r>
      <w:r w:rsidR="000817D1">
        <w:rPr>
          <w:rFonts w:ascii="Lucida Bright" w:hAnsi="Lucida Bright"/>
          <w:sz w:val="22"/>
          <w:szCs w:val="22"/>
        </w:rPr>
        <w:t>”</w:t>
      </w:r>
      <w:r w:rsidRPr="009C2892">
        <w:rPr>
          <w:rFonts w:ascii="Lucida Bright" w:hAnsi="Lucida Bright"/>
          <w:sz w:val="22"/>
          <w:szCs w:val="22"/>
        </w:rPr>
        <w:t xml:space="preserve"> proportionally among all storage accounts, would interfere with the ability of Texas water right holders to divert and use their authorized water. </w:t>
      </w:r>
    </w:p>
    <w:p w:rsidR="000817D1" w:rsidRDefault="000817D1" w:rsidP="000817D1">
      <w:pPr>
        <w:pStyle w:val="BodyText"/>
        <w:tabs>
          <w:tab w:val="left" w:pos="0"/>
        </w:tabs>
        <w:spacing w:after="0"/>
        <w:rPr>
          <w:rFonts w:ascii="Lucida Bright" w:hAnsi="Lucida Bright"/>
          <w:sz w:val="22"/>
          <w:szCs w:val="22"/>
        </w:rPr>
      </w:pPr>
    </w:p>
    <w:p w:rsidR="00774CB5" w:rsidRPr="00F2759C" w:rsidRDefault="00774CB5" w:rsidP="000817D1">
      <w:pPr>
        <w:pStyle w:val="BodyText"/>
        <w:tabs>
          <w:tab w:val="left" w:pos="0"/>
        </w:tabs>
        <w:spacing w:after="0"/>
        <w:rPr>
          <w:rFonts w:ascii="Lucida Bright" w:hAnsi="Lucida Bright"/>
          <w:i/>
          <w:sz w:val="22"/>
          <w:szCs w:val="22"/>
        </w:rPr>
      </w:pPr>
      <w:r w:rsidRPr="00F2759C">
        <w:rPr>
          <w:rFonts w:ascii="Lucida Bright" w:hAnsi="Lucida Bright"/>
          <w:i/>
          <w:sz w:val="22"/>
          <w:szCs w:val="22"/>
        </w:rPr>
        <w:t>Comment on Federalism:</w:t>
      </w:r>
    </w:p>
    <w:p w:rsidR="00B52C24" w:rsidRDefault="00774CB5" w:rsidP="000817D1">
      <w:pPr>
        <w:pStyle w:val="BodyText"/>
        <w:tabs>
          <w:tab w:val="left" w:pos="0"/>
        </w:tabs>
        <w:spacing w:after="0"/>
        <w:rPr>
          <w:rFonts w:ascii="Lucida Bright" w:hAnsi="Lucida Bright"/>
          <w:sz w:val="22"/>
        </w:rPr>
      </w:pPr>
      <w:r w:rsidRPr="00774CB5">
        <w:rPr>
          <w:rFonts w:ascii="Lucida Bright" w:hAnsi="Lucida Bright"/>
          <w:sz w:val="22"/>
        </w:rPr>
        <w:t>TCEQ disagrees with the Corps’ finding that there are no Federalism implications for the proposed rule.</w:t>
      </w:r>
      <w:r w:rsidR="001900FE">
        <w:rPr>
          <w:rFonts w:ascii="Lucida Bright" w:hAnsi="Lucida Bright"/>
          <w:sz w:val="22"/>
        </w:rPr>
        <w:t xml:space="preserve"> </w:t>
      </w:r>
      <w:r>
        <w:rPr>
          <w:rFonts w:ascii="Lucida Bright" w:hAnsi="Lucida Bright"/>
          <w:sz w:val="22"/>
        </w:rPr>
        <w:t>The proposed rule states that there are no federalism implications, defined in Executive Order 13132 as regulations that have “substantial direct effects on the States, on the relationship between the national government and the States, or on distribution of power and responsibilities among the various levels of government.” The Corps stated reason for this finding is that the proposed rule does not interfere with the States’ allocation of water, interfere with State prerogatives, establish or determine consumptive water rights, or have a direct effect on the States.</w:t>
      </w:r>
      <w:r w:rsidR="001900FE">
        <w:rPr>
          <w:rFonts w:ascii="Lucida Bright" w:hAnsi="Lucida Bright"/>
          <w:sz w:val="22"/>
        </w:rPr>
        <w:t xml:space="preserve"> T</w:t>
      </w:r>
      <w:r>
        <w:rPr>
          <w:rFonts w:ascii="Lucida Bright" w:hAnsi="Lucida Bright"/>
          <w:sz w:val="22"/>
        </w:rPr>
        <w:t xml:space="preserve">he proposed rule would directly conflict with Texas primacy in water allocation and management of state issued water rights. The rule, if adopted as written, would authorize the Corps to allocate state water under the proposed storage accounting method and deprive Texas water right holders of water authorized under their state issued water rights. </w:t>
      </w:r>
    </w:p>
    <w:p w:rsidR="000817D1" w:rsidRPr="000817D1" w:rsidRDefault="000817D1" w:rsidP="000817D1">
      <w:pPr>
        <w:pStyle w:val="BodyText"/>
        <w:tabs>
          <w:tab w:val="left" w:pos="0"/>
        </w:tabs>
        <w:spacing w:after="0"/>
        <w:rPr>
          <w:rStyle w:val="Strong"/>
          <w:rFonts w:ascii="Lucida Bright" w:hAnsi="Lucida Bright"/>
          <w:b w:val="0"/>
          <w:bCs w:val="0"/>
          <w:sz w:val="22"/>
        </w:rPr>
      </w:pPr>
    </w:p>
    <w:p w:rsidR="00597F34" w:rsidRPr="00802F28" w:rsidRDefault="00597F34" w:rsidP="00597F34">
      <w:pPr>
        <w:rPr>
          <w:rFonts w:ascii="Lucida Bright" w:hAnsi="Lucida Bright"/>
          <w:sz w:val="22"/>
          <w:szCs w:val="22"/>
        </w:rPr>
      </w:pPr>
      <w:r w:rsidRPr="00802F28">
        <w:rPr>
          <w:rStyle w:val="Strong"/>
          <w:rFonts w:ascii="Lucida Bright" w:hAnsi="Lucida Bright"/>
          <w:sz w:val="22"/>
          <w:szCs w:val="22"/>
        </w:rPr>
        <w:t>Lead Office:</w:t>
      </w:r>
      <w:r w:rsidR="00240D50" w:rsidRPr="00802F28">
        <w:rPr>
          <w:rStyle w:val="Strong"/>
          <w:rFonts w:ascii="Lucida Bright" w:hAnsi="Lucida Bright"/>
          <w:sz w:val="22"/>
          <w:szCs w:val="22"/>
        </w:rPr>
        <w:t xml:space="preserve">  </w:t>
      </w:r>
      <w:r w:rsidR="00C77103" w:rsidRPr="00802F28">
        <w:rPr>
          <w:rFonts w:ascii="Lucida Bright" w:hAnsi="Lucida Bright"/>
          <w:sz w:val="22"/>
          <w:szCs w:val="22"/>
        </w:rPr>
        <w:t>Allison Woodall</w:t>
      </w:r>
      <w:r w:rsidRPr="00802F28">
        <w:rPr>
          <w:rFonts w:ascii="Lucida Bright" w:hAnsi="Lucida Bright"/>
          <w:sz w:val="22"/>
          <w:szCs w:val="22"/>
        </w:rPr>
        <w:t>/</w:t>
      </w:r>
      <w:r w:rsidR="00C77103" w:rsidRPr="00802F28">
        <w:rPr>
          <w:rFonts w:ascii="Lucida Bright" w:hAnsi="Lucida Bright"/>
          <w:sz w:val="22"/>
          <w:szCs w:val="22"/>
        </w:rPr>
        <w:t>Office of Water</w:t>
      </w:r>
    </w:p>
    <w:p w:rsidR="00597F34" w:rsidRPr="00802F28" w:rsidRDefault="00597F34" w:rsidP="00597F34">
      <w:pPr>
        <w:rPr>
          <w:rFonts w:ascii="Lucida Bright" w:hAnsi="Lucida Bright"/>
          <w:sz w:val="22"/>
          <w:szCs w:val="22"/>
        </w:rPr>
      </w:pPr>
    </w:p>
    <w:p w:rsidR="00597F34" w:rsidRPr="00802F28" w:rsidRDefault="00597F34" w:rsidP="00597F34">
      <w:pPr>
        <w:rPr>
          <w:rFonts w:ascii="Lucida Bright" w:hAnsi="Lucida Bright"/>
          <w:sz w:val="22"/>
          <w:szCs w:val="22"/>
        </w:rPr>
      </w:pPr>
      <w:r w:rsidRPr="00802F28">
        <w:rPr>
          <w:rStyle w:val="Strong"/>
          <w:rFonts w:ascii="Lucida Bright" w:hAnsi="Lucida Bright"/>
          <w:sz w:val="22"/>
          <w:szCs w:val="22"/>
        </w:rPr>
        <w:t>Internal Coordination:</w:t>
      </w:r>
      <w:r w:rsidR="00240D50" w:rsidRPr="00802F28">
        <w:rPr>
          <w:rStyle w:val="Strong"/>
          <w:rFonts w:ascii="Lucida Bright" w:hAnsi="Lucida Bright"/>
          <w:sz w:val="22"/>
          <w:szCs w:val="22"/>
        </w:rPr>
        <w:t xml:space="preserve">  </w:t>
      </w:r>
      <w:r w:rsidR="00D857DD" w:rsidRPr="00802F28">
        <w:rPr>
          <w:rStyle w:val="Strong"/>
          <w:rFonts w:ascii="Lucida Bright" w:hAnsi="Lucida Bright"/>
          <w:b w:val="0"/>
          <w:sz w:val="22"/>
          <w:szCs w:val="22"/>
        </w:rPr>
        <w:t xml:space="preserve">Kathy Alexander of the Water Availability Division, Office of Water and </w:t>
      </w:r>
      <w:r w:rsidR="00F2759C">
        <w:rPr>
          <w:rStyle w:val="Strong"/>
          <w:rFonts w:ascii="Lucida Bright" w:hAnsi="Lucida Bright"/>
          <w:b w:val="0"/>
          <w:sz w:val="22"/>
          <w:szCs w:val="22"/>
        </w:rPr>
        <w:t xml:space="preserve">Robin Smith </w:t>
      </w:r>
      <w:r w:rsidR="00D857DD" w:rsidRPr="00802F28">
        <w:rPr>
          <w:rStyle w:val="Strong"/>
          <w:rFonts w:ascii="Lucida Bright" w:hAnsi="Lucida Bright"/>
          <w:b w:val="0"/>
          <w:sz w:val="22"/>
          <w:szCs w:val="22"/>
        </w:rPr>
        <w:t>of the Environmental Law Division, Office of Legal Services.</w:t>
      </w:r>
      <w:r w:rsidR="00C77103" w:rsidRPr="00802F28">
        <w:rPr>
          <w:rFonts w:ascii="Lucida Bright" w:hAnsi="Lucida Bright"/>
          <w:sz w:val="22"/>
          <w:szCs w:val="22"/>
        </w:rPr>
        <w:t xml:space="preserve"> </w:t>
      </w:r>
    </w:p>
    <w:p w:rsidR="00597F34" w:rsidRPr="00802F28" w:rsidRDefault="00597F34" w:rsidP="00597F34">
      <w:pPr>
        <w:rPr>
          <w:rFonts w:ascii="Lucida Bright" w:hAnsi="Lucida Bright"/>
          <w:sz w:val="22"/>
          <w:szCs w:val="22"/>
        </w:rPr>
      </w:pPr>
    </w:p>
    <w:p w:rsidR="00597F34" w:rsidRPr="00802F28" w:rsidRDefault="00597F34" w:rsidP="00597F34">
      <w:pPr>
        <w:rPr>
          <w:rStyle w:val="Strong"/>
          <w:rFonts w:ascii="Lucida Bright" w:hAnsi="Lucida Bright"/>
          <w:sz w:val="22"/>
          <w:szCs w:val="22"/>
        </w:rPr>
      </w:pPr>
      <w:r w:rsidRPr="00802F28">
        <w:rPr>
          <w:rStyle w:val="Strong"/>
          <w:rFonts w:ascii="Lucida Bright" w:hAnsi="Lucida Bright"/>
          <w:sz w:val="22"/>
          <w:szCs w:val="22"/>
        </w:rPr>
        <w:t xml:space="preserve">Deputy Director </w:t>
      </w:r>
      <w:r w:rsidR="00240D50" w:rsidRPr="00802F28">
        <w:rPr>
          <w:rStyle w:val="Strong"/>
          <w:rFonts w:ascii="Lucida Bright" w:hAnsi="Lucida Bright"/>
          <w:sz w:val="22"/>
          <w:szCs w:val="22"/>
        </w:rPr>
        <w:t xml:space="preserve">Approval:  </w:t>
      </w:r>
      <w:r w:rsidR="00240D50" w:rsidRPr="00802F28">
        <w:rPr>
          <w:rStyle w:val="Strong"/>
          <w:rFonts w:ascii="Lucida Bright" w:hAnsi="Lucida Bright"/>
          <w:b w:val="0"/>
          <w:sz w:val="22"/>
          <w:szCs w:val="22"/>
        </w:rPr>
        <w:t>L</w:t>
      </w:r>
      <w:r w:rsidR="00C77103" w:rsidRPr="00802F28">
        <w:rPr>
          <w:rFonts w:ascii="Lucida Bright" w:hAnsi="Lucida Bright"/>
          <w:b/>
          <w:sz w:val="22"/>
          <w:szCs w:val="22"/>
        </w:rPr>
        <w:t>’</w:t>
      </w:r>
      <w:r w:rsidR="00C77103" w:rsidRPr="00802F28">
        <w:rPr>
          <w:rFonts w:ascii="Lucida Bright" w:hAnsi="Lucida Bright"/>
          <w:sz w:val="22"/>
          <w:szCs w:val="22"/>
        </w:rPr>
        <w:t>Oreal W. Stepney, P.E.</w:t>
      </w:r>
    </w:p>
    <w:p w:rsidR="00597F34" w:rsidRPr="00597F34" w:rsidRDefault="00597F34" w:rsidP="00597F34">
      <w:pPr>
        <w:rPr>
          <w:rStyle w:val="Strong"/>
          <w:rFonts w:ascii="Georgia" w:hAnsi="Georgia"/>
        </w:rPr>
      </w:pPr>
    </w:p>
    <w:p w:rsidR="00A03680" w:rsidRPr="00597F34" w:rsidRDefault="00D425DC" w:rsidP="009808B9">
      <w:pPr>
        <w:tabs>
          <w:tab w:val="left" w:pos="4035"/>
        </w:tabs>
      </w:pPr>
      <w:r>
        <w:rPr>
          <w:rStyle w:val="Strong"/>
          <w:rFonts w:ascii="Georgia" w:hAnsi="Georgia"/>
        </w:rPr>
        <w:t>Deadline</w:t>
      </w:r>
      <w:r w:rsidR="00597F34" w:rsidRPr="00597F34">
        <w:rPr>
          <w:rFonts w:ascii="Georgia" w:hAnsi="Georgia"/>
        </w:rPr>
        <w:t>:</w:t>
      </w:r>
      <w:r w:rsidR="00240D50">
        <w:rPr>
          <w:rFonts w:ascii="Georgia" w:hAnsi="Georgia"/>
        </w:rPr>
        <w:t xml:space="preserve">  </w:t>
      </w:r>
      <w:r w:rsidR="00F2759C">
        <w:rPr>
          <w:rFonts w:ascii="Georgia" w:hAnsi="Georgia"/>
        </w:rPr>
        <w:t xml:space="preserve">April </w:t>
      </w:r>
      <w:r w:rsidR="0064711D">
        <w:rPr>
          <w:rFonts w:ascii="Georgia" w:hAnsi="Georgia"/>
        </w:rPr>
        <w:t>28</w:t>
      </w:r>
      <w:r w:rsidR="00D857DD">
        <w:rPr>
          <w:rFonts w:ascii="Georgia" w:hAnsi="Georgia"/>
        </w:rPr>
        <w:t>, 2017</w:t>
      </w:r>
      <w:r w:rsidR="00597F34" w:rsidRPr="00597F34">
        <w:rPr>
          <w:rFonts w:ascii="Georgia" w:hAnsi="Georgia"/>
        </w:rPr>
        <w:t xml:space="preserve"> </w:t>
      </w:r>
    </w:p>
    <w:sectPr w:rsidR="00A03680" w:rsidRPr="00597F34"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F9" w:rsidRDefault="00CD71F9">
      <w:r>
        <w:separator/>
      </w:r>
    </w:p>
  </w:endnote>
  <w:endnote w:type="continuationSeparator" w:id="0">
    <w:p w:rsidR="00CD71F9" w:rsidRDefault="00CD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F9" w:rsidRDefault="00CD71F9">
      <w:r>
        <w:separator/>
      </w:r>
    </w:p>
  </w:footnote>
  <w:footnote w:type="continuationSeparator" w:id="0">
    <w:p w:rsidR="00CD71F9" w:rsidRDefault="00CD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D5AED"/>
    <w:multiLevelType w:val="hybridMultilevel"/>
    <w:tmpl w:val="12D8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95E00"/>
    <w:multiLevelType w:val="hybridMultilevel"/>
    <w:tmpl w:val="E5046D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E442CFB"/>
    <w:multiLevelType w:val="hybridMultilevel"/>
    <w:tmpl w:val="CBCAA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6F43181"/>
    <w:multiLevelType w:val="hybridMultilevel"/>
    <w:tmpl w:val="D4BA61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8540699"/>
    <w:multiLevelType w:val="hybridMultilevel"/>
    <w:tmpl w:val="B2D8BD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3B34A4D"/>
    <w:multiLevelType w:val="hybridMultilevel"/>
    <w:tmpl w:val="7586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75A3C16"/>
    <w:multiLevelType w:val="hybridMultilevel"/>
    <w:tmpl w:val="9BE4EAC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9B9356C"/>
    <w:multiLevelType w:val="hybridMultilevel"/>
    <w:tmpl w:val="A2EA6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32662F"/>
    <w:multiLevelType w:val="hybridMultilevel"/>
    <w:tmpl w:val="0B2A90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1"/>
  </w:num>
  <w:num w:numId="9">
    <w:abstractNumId w:val="19"/>
  </w:num>
  <w:num w:numId="10">
    <w:abstractNumId w:val="16"/>
  </w:num>
  <w:num w:numId="11">
    <w:abstractNumId w:val="7"/>
  </w:num>
  <w:num w:numId="12">
    <w:abstractNumId w:val="9"/>
  </w:num>
  <w:num w:numId="13">
    <w:abstractNumId w:val="8"/>
  </w:num>
  <w:num w:numId="14">
    <w:abstractNumId w:val="14"/>
  </w:num>
  <w:num w:numId="15">
    <w:abstractNumId w:val="18"/>
  </w:num>
  <w:num w:numId="16">
    <w:abstractNumId w:val="13"/>
  </w:num>
  <w:num w:numId="17">
    <w:abstractNumId w:val="12"/>
  </w:num>
  <w:num w:numId="18">
    <w:abstractNumId w:val="12"/>
  </w:num>
  <w:num w:numId="19">
    <w:abstractNumId w:val="11"/>
  </w:num>
  <w:num w:numId="20">
    <w:abstractNumId w:val="17"/>
  </w:num>
  <w:num w:numId="21">
    <w:abstractNumId w:val="15"/>
  </w:num>
  <w:num w:numId="22">
    <w:abstractNumId w:val="10"/>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05DE5"/>
    <w:rsid w:val="0001252E"/>
    <w:rsid w:val="0003408C"/>
    <w:rsid w:val="00051B7F"/>
    <w:rsid w:val="000534A2"/>
    <w:rsid w:val="00060630"/>
    <w:rsid w:val="000666BF"/>
    <w:rsid w:val="0007694E"/>
    <w:rsid w:val="000817D1"/>
    <w:rsid w:val="00081C13"/>
    <w:rsid w:val="00081DCF"/>
    <w:rsid w:val="000A500D"/>
    <w:rsid w:val="000B16A9"/>
    <w:rsid w:val="000B63AF"/>
    <w:rsid w:val="000C652D"/>
    <w:rsid w:val="000D068F"/>
    <w:rsid w:val="000D6943"/>
    <w:rsid w:val="000F294A"/>
    <w:rsid w:val="000F41FF"/>
    <w:rsid w:val="000F793B"/>
    <w:rsid w:val="001039AE"/>
    <w:rsid w:val="00110C4F"/>
    <w:rsid w:val="00116413"/>
    <w:rsid w:val="00134D35"/>
    <w:rsid w:val="00181EDD"/>
    <w:rsid w:val="0018739F"/>
    <w:rsid w:val="001900FE"/>
    <w:rsid w:val="001A17DC"/>
    <w:rsid w:val="001A231C"/>
    <w:rsid w:val="001A3CA8"/>
    <w:rsid w:val="001C0C81"/>
    <w:rsid w:val="001C0E70"/>
    <w:rsid w:val="001F0D2F"/>
    <w:rsid w:val="00237116"/>
    <w:rsid w:val="00240D50"/>
    <w:rsid w:val="00245CF9"/>
    <w:rsid w:val="00261265"/>
    <w:rsid w:val="00267310"/>
    <w:rsid w:val="002677C4"/>
    <w:rsid w:val="0029095C"/>
    <w:rsid w:val="002949B5"/>
    <w:rsid w:val="00295941"/>
    <w:rsid w:val="00297D38"/>
    <w:rsid w:val="002A25B4"/>
    <w:rsid w:val="002B37B0"/>
    <w:rsid w:val="002B38A7"/>
    <w:rsid w:val="002D4E2D"/>
    <w:rsid w:val="002E28F4"/>
    <w:rsid w:val="002E5F82"/>
    <w:rsid w:val="002E6FA1"/>
    <w:rsid w:val="002F57BF"/>
    <w:rsid w:val="00304FE0"/>
    <w:rsid w:val="00310BA3"/>
    <w:rsid w:val="00317E9D"/>
    <w:rsid w:val="00351FD0"/>
    <w:rsid w:val="00361E86"/>
    <w:rsid w:val="00361FA4"/>
    <w:rsid w:val="003838A7"/>
    <w:rsid w:val="003842FC"/>
    <w:rsid w:val="00393641"/>
    <w:rsid w:val="00393C75"/>
    <w:rsid w:val="003B41DF"/>
    <w:rsid w:val="003F5ABB"/>
    <w:rsid w:val="00412003"/>
    <w:rsid w:val="00415804"/>
    <w:rsid w:val="00423180"/>
    <w:rsid w:val="00435A06"/>
    <w:rsid w:val="004502F0"/>
    <w:rsid w:val="004546E5"/>
    <w:rsid w:val="0046099C"/>
    <w:rsid w:val="004A0C3D"/>
    <w:rsid w:val="004B4131"/>
    <w:rsid w:val="004B6F2C"/>
    <w:rsid w:val="004D2CA6"/>
    <w:rsid w:val="004E242B"/>
    <w:rsid w:val="004E38C1"/>
    <w:rsid w:val="0051287B"/>
    <w:rsid w:val="00512A96"/>
    <w:rsid w:val="005464F5"/>
    <w:rsid w:val="00547AC1"/>
    <w:rsid w:val="0055212A"/>
    <w:rsid w:val="00557C47"/>
    <w:rsid w:val="005654AD"/>
    <w:rsid w:val="005730F6"/>
    <w:rsid w:val="00597F34"/>
    <w:rsid w:val="005A0991"/>
    <w:rsid w:val="005A67E2"/>
    <w:rsid w:val="005A6D54"/>
    <w:rsid w:val="005B0767"/>
    <w:rsid w:val="005C67C1"/>
    <w:rsid w:val="005D0BA0"/>
    <w:rsid w:val="005D5499"/>
    <w:rsid w:val="005F337F"/>
    <w:rsid w:val="005F76E9"/>
    <w:rsid w:val="0061607D"/>
    <w:rsid w:val="00624AD2"/>
    <w:rsid w:val="00630094"/>
    <w:rsid w:val="00640086"/>
    <w:rsid w:val="00643083"/>
    <w:rsid w:val="00643BB9"/>
    <w:rsid w:val="0064711D"/>
    <w:rsid w:val="00651439"/>
    <w:rsid w:val="0065525B"/>
    <w:rsid w:val="00660969"/>
    <w:rsid w:val="00662520"/>
    <w:rsid w:val="006730D8"/>
    <w:rsid w:val="00677D7B"/>
    <w:rsid w:val="00681121"/>
    <w:rsid w:val="006820F9"/>
    <w:rsid w:val="006A24FC"/>
    <w:rsid w:val="006C6CEB"/>
    <w:rsid w:val="006C7E30"/>
    <w:rsid w:val="006E6BC9"/>
    <w:rsid w:val="007063E4"/>
    <w:rsid w:val="007142DB"/>
    <w:rsid w:val="00714E32"/>
    <w:rsid w:val="00720D87"/>
    <w:rsid w:val="0072249E"/>
    <w:rsid w:val="00724108"/>
    <w:rsid w:val="00727F1C"/>
    <w:rsid w:val="00731DA1"/>
    <w:rsid w:val="00732647"/>
    <w:rsid w:val="00746472"/>
    <w:rsid w:val="0075745D"/>
    <w:rsid w:val="00774CB5"/>
    <w:rsid w:val="0078404B"/>
    <w:rsid w:val="00787652"/>
    <w:rsid w:val="007A2D5B"/>
    <w:rsid w:val="007A5CCC"/>
    <w:rsid w:val="007B64C8"/>
    <w:rsid w:val="007F15C0"/>
    <w:rsid w:val="007F1D92"/>
    <w:rsid w:val="007F414C"/>
    <w:rsid w:val="007F5FB9"/>
    <w:rsid w:val="008005DE"/>
    <w:rsid w:val="00802F28"/>
    <w:rsid w:val="00804F81"/>
    <w:rsid w:val="00845F6C"/>
    <w:rsid w:val="008549AF"/>
    <w:rsid w:val="00857951"/>
    <w:rsid w:val="00861D71"/>
    <w:rsid w:val="008755F2"/>
    <w:rsid w:val="00880101"/>
    <w:rsid w:val="008B36BF"/>
    <w:rsid w:val="008C0446"/>
    <w:rsid w:val="008C2ED4"/>
    <w:rsid w:val="008D3479"/>
    <w:rsid w:val="008E33DD"/>
    <w:rsid w:val="008F45C7"/>
    <w:rsid w:val="00951537"/>
    <w:rsid w:val="009619C1"/>
    <w:rsid w:val="009622FB"/>
    <w:rsid w:val="00970421"/>
    <w:rsid w:val="0097336B"/>
    <w:rsid w:val="00974E8C"/>
    <w:rsid w:val="009808B9"/>
    <w:rsid w:val="00980D9A"/>
    <w:rsid w:val="00994485"/>
    <w:rsid w:val="00996B99"/>
    <w:rsid w:val="009B1573"/>
    <w:rsid w:val="009B2552"/>
    <w:rsid w:val="009C093B"/>
    <w:rsid w:val="009C2564"/>
    <w:rsid w:val="009E7268"/>
    <w:rsid w:val="009F1905"/>
    <w:rsid w:val="009F682A"/>
    <w:rsid w:val="00A03680"/>
    <w:rsid w:val="00A0449D"/>
    <w:rsid w:val="00A06FE1"/>
    <w:rsid w:val="00A16A94"/>
    <w:rsid w:val="00A2193F"/>
    <w:rsid w:val="00A30564"/>
    <w:rsid w:val="00A501F8"/>
    <w:rsid w:val="00A57A7E"/>
    <w:rsid w:val="00A75BA9"/>
    <w:rsid w:val="00AB074C"/>
    <w:rsid w:val="00AB5481"/>
    <w:rsid w:val="00AB568C"/>
    <w:rsid w:val="00AF4843"/>
    <w:rsid w:val="00AF5FED"/>
    <w:rsid w:val="00B02DB1"/>
    <w:rsid w:val="00B04935"/>
    <w:rsid w:val="00B3681B"/>
    <w:rsid w:val="00B4403F"/>
    <w:rsid w:val="00B519FF"/>
    <w:rsid w:val="00B52C24"/>
    <w:rsid w:val="00B84CA7"/>
    <w:rsid w:val="00BA5DF2"/>
    <w:rsid w:val="00BB1A0D"/>
    <w:rsid w:val="00BB33A4"/>
    <w:rsid w:val="00BC2F55"/>
    <w:rsid w:val="00BE69F8"/>
    <w:rsid w:val="00BF000E"/>
    <w:rsid w:val="00BF233C"/>
    <w:rsid w:val="00C06C2E"/>
    <w:rsid w:val="00C35F33"/>
    <w:rsid w:val="00C35F69"/>
    <w:rsid w:val="00C45892"/>
    <w:rsid w:val="00C6011C"/>
    <w:rsid w:val="00C628E3"/>
    <w:rsid w:val="00C64906"/>
    <w:rsid w:val="00C77103"/>
    <w:rsid w:val="00C77D27"/>
    <w:rsid w:val="00C91053"/>
    <w:rsid w:val="00C95864"/>
    <w:rsid w:val="00CC7086"/>
    <w:rsid w:val="00CD1328"/>
    <w:rsid w:val="00CD71F9"/>
    <w:rsid w:val="00CF6315"/>
    <w:rsid w:val="00D02028"/>
    <w:rsid w:val="00D115B8"/>
    <w:rsid w:val="00D3078F"/>
    <w:rsid w:val="00D425DC"/>
    <w:rsid w:val="00D44331"/>
    <w:rsid w:val="00D46BB7"/>
    <w:rsid w:val="00D50B0B"/>
    <w:rsid w:val="00D50BEB"/>
    <w:rsid w:val="00D65EC5"/>
    <w:rsid w:val="00D67794"/>
    <w:rsid w:val="00D705CA"/>
    <w:rsid w:val="00D857DD"/>
    <w:rsid w:val="00D9218C"/>
    <w:rsid w:val="00DA344B"/>
    <w:rsid w:val="00DA49C6"/>
    <w:rsid w:val="00DB788B"/>
    <w:rsid w:val="00DD44B5"/>
    <w:rsid w:val="00E1087B"/>
    <w:rsid w:val="00E12791"/>
    <w:rsid w:val="00E137CC"/>
    <w:rsid w:val="00E14844"/>
    <w:rsid w:val="00E50AEA"/>
    <w:rsid w:val="00E51211"/>
    <w:rsid w:val="00E62C41"/>
    <w:rsid w:val="00E66491"/>
    <w:rsid w:val="00E910F6"/>
    <w:rsid w:val="00E92F86"/>
    <w:rsid w:val="00EB0E59"/>
    <w:rsid w:val="00EB745C"/>
    <w:rsid w:val="00EC25AF"/>
    <w:rsid w:val="00EE2930"/>
    <w:rsid w:val="00EF2E65"/>
    <w:rsid w:val="00EF61FE"/>
    <w:rsid w:val="00EF6A56"/>
    <w:rsid w:val="00F11FBA"/>
    <w:rsid w:val="00F173BA"/>
    <w:rsid w:val="00F2759C"/>
    <w:rsid w:val="00F33E66"/>
    <w:rsid w:val="00F466C0"/>
    <w:rsid w:val="00F51F17"/>
    <w:rsid w:val="00F56A6D"/>
    <w:rsid w:val="00F56E78"/>
    <w:rsid w:val="00F63BF0"/>
    <w:rsid w:val="00F81956"/>
    <w:rsid w:val="00F84C3B"/>
    <w:rsid w:val="00F96801"/>
    <w:rsid w:val="00FA1B61"/>
    <w:rsid w:val="00FB1DEC"/>
    <w:rsid w:val="00FC58E9"/>
    <w:rsid w:val="00FF63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7E46056-B073-4538-83EC-E0BEA82A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5F8B-8FB5-4628-B3D3-BC08FBD6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10189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cp:lastPrinted>2016-11-16T22:01:00Z</cp:lastPrinted>
  <dcterms:created xsi:type="dcterms:W3CDTF">2017-05-08T19:47:00Z</dcterms:created>
  <dcterms:modified xsi:type="dcterms:W3CDTF">2017-05-08T19:47:00Z</dcterms:modified>
</cp:coreProperties>
</file>