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80EF" w14:textId="36B7ABDC" w:rsidR="000B6AA4" w:rsidRPr="00A26079" w:rsidRDefault="00B832C5" w:rsidP="009F5B54">
      <w:pPr>
        <w:rPr>
          <w:rFonts w:ascii="Georgia" w:hAnsi="Georgia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B699D0" wp14:editId="2B37A44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7225" cy="1123950"/>
            <wp:effectExtent l="0" t="0" r="9525" b="0"/>
            <wp:wrapSquare wrapText="right"/>
            <wp:docPr id="6" name="Picture 6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E4D48" w14:textId="77777777" w:rsidR="000B6AA4" w:rsidRPr="000B3EB5" w:rsidRDefault="00EF4DB3" w:rsidP="00B95BB9">
      <w:pPr>
        <w:pStyle w:val="Heading1"/>
        <w:jc w:val="center"/>
        <w:rPr>
          <w:rFonts w:ascii="Verdana" w:hAnsi="Verdana"/>
        </w:rPr>
      </w:pPr>
      <w:r w:rsidRPr="00A26079">
        <w:rPr>
          <w:rFonts w:ascii="Georgia" w:hAnsi="Georgia"/>
        </w:rPr>
        <w:t>Briefing Summary</w:t>
      </w:r>
    </w:p>
    <w:p w14:paraId="3E1791C2" w14:textId="77777777" w:rsidR="000B6AA4" w:rsidRPr="00A231B9" w:rsidRDefault="000B6AA4" w:rsidP="00A231B9"/>
    <w:p w14:paraId="293F87B6" w14:textId="77777777" w:rsidR="00571E07" w:rsidRDefault="00571E07" w:rsidP="00A231B9"/>
    <w:p w14:paraId="0546087E" w14:textId="77777777" w:rsidR="00A231B9" w:rsidRDefault="00A231B9" w:rsidP="00A231B9"/>
    <w:p w14:paraId="3F48E200" w14:textId="77777777" w:rsidR="00AC505C" w:rsidRDefault="00AC505C" w:rsidP="008C397E">
      <w:pPr>
        <w:pStyle w:val="Style5"/>
        <w:rPr>
          <w:rStyle w:val="Strong"/>
          <w:rFonts w:ascii="Lucida Bright" w:hAnsi="Lucida Bright"/>
          <w:sz w:val="22"/>
          <w:szCs w:val="22"/>
        </w:rPr>
      </w:pPr>
    </w:p>
    <w:p w14:paraId="136E65D5" w14:textId="77777777" w:rsidR="00AC505C" w:rsidRDefault="00AC505C" w:rsidP="008C397E">
      <w:pPr>
        <w:pStyle w:val="Style5"/>
        <w:rPr>
          <w:rStyle w:val="Strong"/>
          <w:rFonts w:ascii="Lucida Bright" w:hAnsi="Lucida Bright"/>
          <w:sz w:val="22"/>
          <w:szCs w:val="22"/>
        </w:rPr>
      </w:pPr>
    </w:p>
    <w:p w14:paraId="6AC0862A" w14:textId="6E750C77" w:rsidR="000B3EB5" w:rsidRPr="002604BE" w:rsidRDefault="00AC505C" w:rsidP="008C397E">
      <w:pPr>
        <w:pStyle w:val="Style5"/>
        <w:rPr>
          <w:rFonts w:ascii="Lucida Bright" w:hAnsi="Lucida Bright"/>
          <w:sz w:val="22"/>
          <w:szCs w:val="22"/>
        </w:rPr>
      </w:pPr>
      <w:r>
        <w:rPr>
          <w:rStyle w:val="Strong"/>
          <w:rFonts w:ascii="Lucida Bright" w:hAnsi="Lucida Bright"/>
          <w:sz w:val="22"/>
          <w:szCs w:val="22"/>
        </w:rPr>
        <w:t xml:space="preserve">Issue </w:t>
      </w:r>
      <w:r w:rsidR="00EF4DB3" w:rsidRPr="002604BE">
        <w:rPr>
          <w:rStyle w:val="Strong"/>
          <w:rFonts w:ascii="Lucida Bright" w:hAnsi="Lucida Bright"/>
          <w:sz w:val="22"/>
          <w:szCs w:val="22"/>
        </w:rPr>
        <w:t>Title from Federal Register:</w:t>
      </w:r>
      <w:r w:rsidR="000B3EB5" w:rsidRPr="002604BE">
        <w:rPr>
          <w:rFonts w:ascii="Lucida Bright" w:hAnsi="Lucida Bright"/>
          <w:sz w:val="22"/>
          <w:szCs w:val="22"/>
        </w:rPr>
        <w:t xml:space="preserve"> </w:t>
      </w:r>
      <w:r w:rsidR="005D4AE7">
        <w:rPr>
          <w:rFonts w:ascii="Lucida Bright" w:hAnsi="Lucida Bright"/>
          <w:bCs/>
          <w:sz w:val="22"/>
          <w:szCs w:val="22"/>
        </w:rPr>
        <w:t>Clean Water Act Coverage of “Discharges of Pollutants” via a Direct Hydrologic Connection to Surface Water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. </w:t>
      </w:r>
      <w:r w:rsidR="005D4AE7">
        <w:rPr>
          <w:rFonts w:ascii="Lucida Bright" w:hAnsi="Lucida Bright"/>
          <w:bCs/>
          <w:sz w:val="22"/>
          <w:szCs w:val="22"/>
        </w:rPr>
        <w:t>February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 2</w:t>
      </w:r>
      <w:r w:rsidR="005D4AE7">
        <w:rPr>
          <w:rFonts w:ascii="Lucida Bright" w:hAnsi="Lucida Bright"/>
          <w:bCs/>
          <w:sz w:val="22"/>
          <w:szCs w:val="22"/>
        </w:rPr>
        <w:t>0</w:t>
      </w:r>
      <w:r w:rsidR="0060024C" w:rsidRPr="002604BE">
        <w:rPr>
          <w:rFonts w:ascii="Lucida Bright" w:hAnsi="Lucida Bright"/>
          <w:bCs/>
          <w:sz w:val="22"/>
          <w:szCs w:val="22"/>
        </w:rPr>
        <w:t>, 201</w:t>
      </w:r>
      <w:r w:rsidR="005D4AE7">
        <w:rPr>
          <w:rFonts w:ascii="Lucida Bright" w:hAnsi="Lucida Bright"/>
          <w:bCs/>
          <w:sz w:val="22"/>
          <w:szCs w:val="22"/>
        </w:rPr>
        <w:t>8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 </w:t>
      </w:r>
      <w:r w:rsidR="0060024C" w:rsidRPr="002604BE">
        <w:rPr>
          <w:rFonts w:ascii="Lucida Bright" w:hAnsi="Lucida Bright"/>
          <w:bCs/>
          <w:i/>
          <w:sz w:val="22"/>
          <w:szCs w:val="22"/>
        </w:rPr>
        <w:t>Federal Register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 (8</w:t>
      </w:r>
      <w:r w:rsidR="005D4AE7">
        <w:rPr>
          <w:rFonts w:ascii="Lucida Bright" w:hAnsi="Lucida Bright"/>
          <w:bCs/>
          <w:sz w:val="22"/>
          <w:szCs w:val="22"/>
        </w:rPr>
        <w:t>3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 Fed. Reg. </w:t>
      </w:r>
      <w:r w:rsidR="0057235D">
        <w:rPr>
          <w:rFonts w:ascii="Lucida Bright" w:hAnsi="Lucida Bright"/>
          <w:bCs/>
          <w:sz w:val="22"/>
          <w:szCs w:val="22"/>
        </w:rPr>
        <w:t>7126</w:t>
      </w:r>
      <w:r w:rsidR="0060024C" w:rsidRPr="002604BE">
        <w:rPr>
          <w:rFonts w:ascii="Lucida Bright" w:hAnsi="Lucida Bright"/>
          <w:bCs/>
          <w:sz w:val="22"/>
          <w:szCs w:val="22"/>
        </w:rPr>
        <w:t>)</w:t>
      </w:r>
    </w:p>
    <w:p w14:paraId="76E7E287" w14:textId="77777777" w:rsidR="000B6AA4" w:rsidRPr="00912DA2" w:rsidRDefault="00EF4DB3" w:rsidP="00804968">
      <w:pPr>
        <w:pStyle w:val="Style9"/>
        <w:rPr>
          <w:rFonts w:ascii="Lucida Bright" w:hAnsi="Lucida Bright"/>
          <w:b w:val="0"/>
          <w:i/>
        </w:rPr>
      </w:pPr>
      <w:r w:rsidRPr="00912DA2">
        <w:rPr>
          <w:rStyle w:val="Strong"/>
          <w:rFonts w:ascii="Lucida Bright" w:hAnsi="Lucida Bright"/>
          <w:b/>
        </w:rPr>
        <w:t>Publication Information</w:t>
      </w:r>
    </w:p>
    <w:p w14:paraId="38EA5D1D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1202F5FC" w14:textId="5BAE0BEF" w:rsidR="00A231B9" w:rsidRPr="002604BE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Publication Date: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 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February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2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0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>, 201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8</w:t>
      </w:r>
    </w:p>
    <w:p w14:paraId="16A36CDC" w14:textId="77777777" w:rsidR="00894352" w:rsidRPr="002604BE" w:rsidRDefault="00894352" w:rsidP="00A231B9">
      <w:pPr>
        <w:rPr>
          <w:rStyle w:val="Strong"/>
          <w:rFonts w:ascii="Lucida Bright" w:hAnsi="Lucida Bright"/>
          <w:sz w:val="22"/>
          <w:szCs w:val="22"/>
        </w:rPr>
      </w:pPr>
    </w:p>
    <w:p w14:paraId="16940320" w14:textId="642AB0A9" w:rsidR="00A231B9" w:rsidRPr="002604BE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Comments Due Date: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May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2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1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>, 201</w:t>
      </w:r>
      <w:r w:rsidR="00673DDA">
        <w:rPr>
          <w:rStyle w:val="Strong"/>
          <w:rFonts w:ascii="Lucida Bright" w:hAnsi="Lucida Bright"/>
          <w:b w:val="0"/>
          <w:bCs w:val="0"/>
          <w:sz w:val="22"/>
          <w:szCs w:val="22"/>
        </w:rPr>
        <w:t>8</w:t>
      </w:r>
    </w:p>
    <w:p w14:paraId="474895E0" w14:textId="77777777" w:rsidR="00894352" w:rsidRPr="002604BE" w:rsidRDefault="00894352" w:rsidP="00A231B9">
      <w:pPr>
        <w:rPr>
          <w:rFonts w:ascii="Lucida Bright" w:hAnsi="Lucida Bright"/>
          <w:sz w:val="22"/>
          <w:szCs w:val="22"/>
        </w:rPr>
      </w:pPr>
    </w:p>
    <w:p w14:paraId="46AA9581" w14:textId="235A6789" w:rsidR="00A231B9" w:rsidRPr="002604BE" w:rsidRDefault="00EF4DB3" w:rsidP="00A231B9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Date Transmitted:</w:t>
      </w:r>
      <w:r w:rsidR="009557A2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  <w:r w:rsidR="002E47E3">
        <w:rPr>
          <w:rStyle w:val="Strong"/>
          <w:rFonts w:ascii="Lucida Bright" w:hAnsi="Lucida Bright"/>
          <w:b w:val="0"/>
          <w:bCs w:val="0"/>
          <w:sz w:val="22"/>
          <w:szCs w:val="22"/>
        </w:rPr>
        <w:t>May 21</w:t>
      </w:r>
      <w:r w:rsidR="009A5867" w:rsidRPr="002E47E3">
        <w:rPr>
          <w:rStyle w:val="Strong"/>
          <w:rFonts w:ascii="Lucida Bright" w:hAnsi="Lucida Bright"/>
          <w:b w:val="0"/>
          <w:bCs w:val="0"/>
          <w:sz w:val="22"/>
          <w:szCs w:val="22"/>
        </w:rPr>
        <w:t>, 2018</w:t>
      </w:r>
    </w:p>
    <w:p w14:paraId="19365B9E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55658980" w14:textId="77777777" w:rsidR="000B6AA4" w:rsidRPr="00973BBA" w:rsidRDefault="00EF4DB3" w:rsidP="00804968">
      <w:pPr>
        <w:pStyle w:val="Style8"/>
        <w:rPr>
          <w:rStyle w:val="Strong"/>
          <w:rFonts w:ascii="Lucida Bright" w:hAnsi="Lucida Bright"/>
          <w:b/>
        </w:rPr>
      </w:pPr>
      <w:r w:rsidRPr="00973BBA">
        <w:rPr>
          <w:rStyle w:val="Strong"/>
          <w:rFonts w:ascii="Lucida Bright" w:hAnsi="Lucida Bright"/>
          <w:b/>
        </w:rPr>
        <w:t>Initiative/Comments Information</w:t>
      </w:r>
    </w:p>
    <w:p w14:paraId="3358C9D2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70433A5A" w14:textId="6536AAF4" w:rsidR="00B81973" w:rsidRDefault="00EF4DB3" w:rsidP="0074399E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 xml:space="preserve">Brief </w:t>
      </w:r>
      <w:r w:rsidR="00191794">
        <w:rPr>
          <w:rStyle w:val="Strong"/>
          <w:rFonts w:ascii="Lucida Bright" w:hAnsi="Lucida Bright"/>
          <w:sz w:val="22"/>
          <w:szCs w:val="22"/>
        </w:rPr>
        <w:t>s</w:t>
      </w:r>
      <w:r w:rsidRPr="002604BE">
        <w:rPr>
          <w:rStyle w:val="Strong"/>
          <w:rFonts w:ascii="Lucida Bright" w:hAnsi="Lucida Bright"/>
          <w:sz w:val="22"/>
          <w:szCs w:val="22"/>
        </w:rPr>
        <w:t xml:space="preserve">ummary of </w:t>
      </w:r>
      <w:r w:rsidR="00191794">
        <w:rPr>
          <w:rStyle w:val="Strong"/>
          <w:rFonts w:ascii="Lucida Bright" w:hAnsi="Lucida Bright"/>
          <w:sz w:val="22"/>
          <w:szCs w:val="22"/>
        </w:rPr>
        <w:t>i</w:t>
      </w:r>
      <w:r w:rsidRPr="002604BE">
        <w:rPr>
          <w:rStyle w:val="Strong"/>
          <w:rFonts w:ascii="Lucida Bright" w:hAnsi="Lucida Bright"/>
          <w:sz w:val="22"/>
          <w:szCs w:val="22"/>
        </w:rPr>
        <w:t>nitiative:</w:t>
      </w:r>
      <w:r w:rsidRPr="002604BE">
        <w:rPr>
          <w:rFonts w:ascii="Lucida Bright" w:hAnsi="Lucida Bright"/>
          <w:sz w:val="22"/>
          <w:szCs w:val="22"/>
        </w:rPr>
        <w:t xml:space="preserve">  </w:t>
      </w:r>
    </w:p>
    <w:p w14:paraId="5E229052" w14:textId="20123421" w:rsidR="000B3EB5" w:rsidRPr="002604BE" w:rsidRDefault="00976E34" w:rsidP="009706E1">
      <w:pPr>
        <w:rPr>
          <w:rFonts w:ascii="Lucida Bright" w:hAnsi="Lucida Bright"/>
          <w:sz w:val="22"/>
          <w:szCs w:val="22"/>
        </w:rPr>
      </w:pPr>
      <w:r w:rsidRPr="00976E34">
        <w:rPr>
          <w:rFonts w:ascii="Lucida Bright" w:hAnsi="Lucida Bright"/>
          <w:bCs/>
          <w:sz w:val="22"/>
          <w:szCs w:val="22"/>
        </w:rPr>
        <w:t>The E</w:t>
      </w:r>
      <w:r w:rsidR="00750A76">
        <w:rPr>
          <w:rFonts w:ascii="Lucida Bright" w:hAnsi="Lucida Bright"/>
          <w:bCs/>
          <w:sz w:val="22"/>
          <w:szCs w:val="22"/>
        </w:rPr>
        <w:t>PA is requesting comment on their</w:t>
      </w:r>
      <w:r w:rsidRPr="00976E34">
        <w:rPr>
          <w:rFonts w:ascii="Lucida Bright" w:hAnsi="Lucida Bright"/>
          <w:bCs/>
          <w:sz w:val="22"/>
          <w:szCs w:val="22"/>
        </w:rPr>
        <w:t xml:space="preserve"> previous statements regarding the Clean Water Act (CWA) and whether pollutant discharges from point sources that reach jurisdictional waters via groundwater</w:t>
      </w:r>
      <w:r w:rsidR="00750A76">
        <w:rPr>
          <w:rFonts w:ascii="Lucida Bright" w:hAnsi="Lucida Bright"/>
          <w:bCs/>
          <w:sz w:val="22"/>
          <w:szCs w:val="22"/>
        </w:rPr>
        <w:t>,</w:t>
      </w:r>
      <w:r w:rsidRPr="00976E34">
        <w:rPr>
          <w:rFonts w:ascii="Lucida Bright" w:hAnsi="Lucida Bright"/>
          <w:bCs/>
          <w:sz w:val="22"/>
          <w:szCs w:val="22"/>
        </w:rPr>
        <w:t xml:space="preserve"> or other subsurface flow that has a direct hydrologic connection to the jurisdictional surface</w:t>
      </w:r>
      <w:r w:rsidR="00750A76">
        <w:rPr>
          <w:rFonts w:ascii="Lucida Bright" w:hAnsi="Lucida Bright"/>
          <w:bCs/>
          <w:sz w:val="22"/>
          <w:szCs w:val="22"/>
        </w:rPr>
        <w:t>,</w:t>
      </w:r>
      <w:r w:rsidRPr="00976E34">
        <w:rPr>
          <w:rFonts w:ascii="Lucida Bright" w:hAnsi="Lucida Bright"/>
          <w:bCs/>
          <w:sz w:val="22"/>
          <w:szCs w:val="22"/>
        </w:rPr>
        <w:t xml:space="preserve"> water may be subject to CWA regulation.  EPA is requesting comment on whether the</w:t>
      </w:r>
      <w:r w:rsidR="00750A76">
        <w:rPr>
          <w:rFonts w:ascii="Lucida Bright" w:hAnsi="Lucida Bright"/>
          <w:bCs/>
          <w:sz w:val="22"/>
          <w:szCs w:val="22"/>
        </w:rPr>
        <w:t>y</w:t>
      </w:r>
      <w:r w:rsidRPr="00976E34">
        <w:rPr>
          <w:rFonts w:ascii="Lucida Bright" w:hAnsi="Lucida Bright"/>
          <w:bCs/>
          <w:sz w:val="22"/>
          <w:szCs w:val="22"/>
        </w:rPr>
        <w:t xml:space="preserve"> should consider clarification or revision of those statements, and if so, how </w:t>
      </w:r>
      <w:r w:rsidR="00191794">
        <w:rPr>
          <w:rFonts w:ascii="Lucida Bright" w:hAnsi="Lucida Bright"/>
          <w:bCs/>
          <w:sz w:val="22"/>
          <w:szCs w:val="22"/>
        </w:rPr>
        <w:t xml:space="preserve">the </w:t>
      </w:r>
      <w:r w:rsidRPr="00976E34">
        <w:rPr>
          <w:rFonts w:ascii="Lucida Bright" w:hAnsi="Lucida Bright"/>
          <w:bCs/>
          <w:sz w:val="22"/>
          <w:szCs w:val="22"/>
        </w:rPr>
        <w:t>clarification or revision should be provided.</w:t>
      </w:r>
      <w:r w:rsidR="00B35209">
        <w:rPr>
          <w:rFonts w:ascii="Lucida Bright" w:hAnsi="Lucida Bright"/>
          <w:bCs/>
          <w:sz w:val="22"/>
          <w:szCs w:val="22"/>
        </w:rPr>
        <w:t xml:space="preserve"> </w:t>
      </w:r>
    </w:p>
    <w:p w14:paraId="6F077CEB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0D502921" w14:textId="4A74C5CD" w:rsidR="00A231B9" w:rsidRPr="002604BE" w:rsidRDefault="00EF4DB3" w:rsidP="00A231B9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 xml:space="preserve">Background </w:t>
      </w:r>
      <w:r w:rsidR="00191794">
        <w:rPr>
          <w:rStyle w:val="Strong"/>
          <w:rFonts w:ascii="Lucida Bright" w:hAnsi="Lucida Bright"/>
          <w:sz w:val="22"/>
          <w:szCs w:val="22"/>
        </w:rPr>
        <w:t>i</w:t>
      </w:r>
      <w:r w:rsidRPr="002604BE">
        <w:rPr>
          <w:rStyle w:val="Strong"/>
          <w:rFonts w:ascii="Lucida Bright" w:hAnsi="Lucida Bright"/>
          <w:sz w:val="22"/>
          <w:szCs w:val="22"/>
        </w:rPr>
        <w:t xml:space="preserve">nformation: 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</w:t>
      </w:r>
      <w:r w:rsidRPr="002604BE">
        <w:rPr>
          <w:rFonts w:ascii="Lucida Bright" w:hAnsi="Lucida Bright"/>
          <w:sz w:val="22"/>
          <w:szCs w:val="22"/>
        </w:rPr>
        <w:t xml:space="preserve"> </w:t>
      </w:r>
    </w:p>
    <w:p w14:paraId="4038B557" w14:textId="0AD26B88" w:rsidR="009938D4" w:rsidRPr="009938D4" w:rsidRDefault="009938D4" w:rsidP="009938D4">
      <w:p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 xml:space="preserve">EPA previously stated that pollutants discharged from point sources that reach jurisdictional </w:t>
      </w:r>
      <w:r w:rsidR="000B376E">
        <w:rPr>
          <w:rFonts w:ascii="Lucida Bright" w:hAnsi="Lucida Bright"/>
          <w:bCs/>
          <w:sz w:val="22"/>
          <w:szCs w:val="22"/>
        </w:rPr>
        <w:t xml:space="preserve">surface </w:t>
      </w:r>
      <w:r w:rsidRPr="009938D4">
        <w:rPr>
          <w:rFonts w:ascii="Lucida Bright" w:hAnsi="Lucida Bright"/>
          <w:bCs/>
          <w:sz w:val="22"/>
          <w:szCs w:val="22"/>
        </w:rPr>
        <w:t>waters via groundwater or other subsurface flow that has a direct hydrologic connection to the jurisdictional water may be subject to CWA permitting requirements.</w:t>
      </w:r>
      <w:r w:rsidR="00D00690">
        <w:rPr>
          <w:rFonts w:ascii="Lucida Bright" w:hAnsi="Lucida Bright"/>
          <w:bCs/>
          <w:sz w:val="22"/>
          <w:szCs w:val="22"/>
        </w:rPr>
        <w:t xml:space="preserve">  The EPA previous statements include the following:  </w:t>
      </w:r>
    </w:p>
    <w:p w14:paraId="5A91AF4F" w14:textId="1F46B3E0" w:rsidR="009938D4" w:rsidRPr="009938D4" w:rsidRDefault="009938D4" w:rsidP="009938D4">
      <w:pPr>
        <w:numPr>
          <w:ilvl w:val="0"/>
          <w:numId w:val="3"/>
        </w:num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>Final NPDES Permit Application Regulations for Storm Water Discharges - Dec. 2, 1990</w:t>
      </w:r>
      <w:r w:rsidR="00D00690">
        <w:rPr>
          <w:rFonts w:ascii="Lucida Bright" w:hAnsi="Lucida Bright"/>
          <w:bCs/>
          <w:sz w:val="22"/>
          <w:szCs w:val="22"/>
        </w:rPr>
        <w:t xml:space="preserve"> -</w:t>
      </w:r>
      <w:r w:rsidRPr="009938D4">
        <w:rPr>
          <w:rFonts w:ascii="Lucida Bright" w:hAnsi="Lucida Bright"/>
          <w:bCs/>
          <w:sz w:val="22"/>
          <w:szCs w:val="22"/>
        </w:rPr>
        <w:t>...rulemaking addresses discharges to ground water when there is a hydrological connection between the groundwater and a nearby surface water body</w:t>
      </w:r>
      <w:r w:rsidR="00D00690">
        <w:rPr>
          <w:rFonts w:ascii="Lucida Bright" w:hAnsi="Lucida Bright"/>
          <w:bCs/>
          <w:sz w:val="22"/>
          <w:szCs w:val="22"/>
        </w:rPr>
        <w:t>.</w:t>
      </w:r>
    </w:p>
    <w:p w14:paraId="21FF4856" w14:textId="749BEA21" w:rsidR="009938D4" w:rsidRPr="009938D4" w:rsidRDefault="009938D4" w:rsidP="009938D4">
      <w:pPr>
        <w:numPr>
          <w:ilvl w:val="0"/>
          <w:numId w:val="3"/>
        </w:num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 xml:space="preserve">1991 </w:t>
      </w:r>
      <w:r w:rsidR="00D43ABB">
        <w:rPr>
          <w:rFonts w:ascii="Lucida Bright" w:hAnsi="Lucida Bright"/>
          <w:bCs/>
          <w:sz w:val="22"/>
          <w:szCs w:val="22"/>
        </w:rPr>
        <w:t>F</w:t>
      </w:r>
      <w:r w:rsidRPr="009938D4">
        <w:rPr>
          <w:rFonts w:ascii="Lucida Bright" w:hAnsi="Lucida Bright"/>
          <w:bCs/>
          <w:sz w:val="22"/>
          <w:szCs w:val="22"/>
        </w:rPr>
        <w:t>inal Rule Addressing Water Quality Standards on Indian Lands - ...the Act requires NPDES permits for discharges to groundwater where there is a direct hydrological connection between groundwaters and surface waters.  In these situations, the affected groundwaters are not considered 'waters of the U</w:t>
      </w:r>
      <w:r w:rsidR="00D72BE2">
        <w:rPr>
          <w:rFonts w:ascii="Lucida Bright" w:hAnsi="Lucida Bright"/>
          <w:bCs/>
          <w:sz w:val="22"/>
          <w:szCs w:val="22"/>
        </w:rPr>
        <w:t>.</w:t>
      </w:r>
      <w:r w:rsidRPr="009938D4">
        <w:rPr>
          <w:rFonts w:ascii="Lucida Bright" w:hAnsi="Lucida Bright"/>
          <w:bCs/>
          <w:sz w:val="22"/>
          <w:szCs w:val="22"/>
        </w:rPr>
        <w:t>S</w:t>
      </w:r>
      <w:r w:rsidR="00D72BE2">
        <w:rPr>
          <w:rFonts w:ascii="Lucida Bright" w:hAnsi="Lucida Bright"/>
          <w:bCs/>
          <w:sz w:val="22"/>
          <w:szCs w:val="22"/>
        </w:rPr>
        <w:t>.</w:t>
      </w:r>
      <w:r w:rsidRPr="009938D4">
        <w:rPr>
          <w:rFonts w:ascii="Lucida Bright" w:hAnsi="Lucida Bright"/>
          <w:bCs/>
          <w:sz w:val="22"/>
          <w:szCs w:val="22"/>
        </w:rPr>
        <w:t>' but discharges to them are regulated because such discharges are effectively discharges to the directly connected surface waters.</w:t>
      </w:r>
    </w:p>
    <w:p w14:paraId="5986CE87" w14:textId="03298030" w:rsidR="009938D4" w:rsidRPr="009938D4" w:rsidRDefault="009938D4" w:rsidP="009938D4">
      <w:pPr>
        <w:numPr>
          <w:ilvl w:val="0"/>
          <w:numId w:val="3"/>
        </w:num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>Final General NPDES Permit for C</w:t>
      </w:r>
      <w:r w:rsidR="00D00690">
        <w:rPr>
          <w:rFonts w:ascii="Lucida Bright" w:hAnsi="Lucida Bright"/>
          <w:bCs/>
          <w:sz w:val="22"/>
          <w:szCs w:val="22"/>
        </w:rPr>
        <w:t>oncentrated Animal Feeding Operations (C</w:t>
      </w:r>
      <w:r w:rsidRPr="009938D4">
        <w:rPr>
          <w:rFonts w:ascii="Lucida Bright" w:hAnsi="Lucida Bright"/>
          <w:bCs/>
          <w:sz w:val="22"/>
          <w:szCs w:val="22"/>
        </w:rPr>
        <w:t>AFOs</w:t>
      </w:r>
      <w:r w:rsidR="00D00690">
        <w:rPr>
          <w:rFonts w:ascii="Lucida Bright" w:hAnsi="Lucida Bright"/>
          <w:bCs/>
          <w:sz w:val="22"/>
          <w:szCs w:val="22"/>
        </w:rPr>
        <w:t>)</w:t>
      </w:r>
      <w:r w:rsidRPr="009938D4">
        <w:rPr>
          <w:rFonts w:ascii="Lucida Bright" w:hAnsi="Lucida Bright"/>
          <w:bCs/>
          <w:sz w:val="22"/>
          <w:szCs w:val="22"/>
        </w:rPr>
        <w:t xml:space="preserve"> in Idaho - ...the CWA does not give EPA the authority to regulate groundwater quality through NPDES permits.  The only situation in which groundwater may be affected by the NPDES program is when a discharge of pollutants to surface waters can be proven to be via groundwater.</w:t>
      </w:r>
    </w:p>
    <w:p w14:paraId="23ADEF3B" w14:textId="77777777" w:rsidR="009938D4" w:rsidRPr="009938D4" w:rsidRDefault="009938D4" w:rsidP="009938D4">
      <w:pPr>
        <w:numPr>
          <w:ilvl w:val="0"/>
          <w:numId w:val="3"/>
        </w:num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 xml:space="preserve">Proposed NPDES Permit Regulation and ELGs and Standards for CAFOs - ...collected or channeled pollutants conveyed to surface waters via ground water can constitute a discharge subject to the CWA...the determination whether this occurs through a direct </w:t>
      </w:r>
      <w:r w:rsidRPr="009938D4">
        <w:rPr>
          <w:rFonts w:ascii="Lucida Bright" w:hAnsi="Lucida Bright"/>
          <w:bCs/>
          <w:sz w:val="22"/>
          <w:szCs w:val="22"/>
        </w:rPr>
        <w:lastRenderedPageBreak/>
        <w:t>hydrologic connection is a factual inquiry.</w:t>
      </w:r>
    </w:p>
    <w:p w14:paraId="62BF6A45" w14:textId="61664355" w:rsidR="009938D4" w:rsidRPr="00D00690" w:rsidRDefault="009938D4" w:rsidP="00D00690">
      <w:pPr>
        <w:pStyle w:val="ListParagraph"/>
        <w:numPr>
          <w:ilvl w:val="0"/>
          <w:numId w:val="4"/>
        </w:numPr>
        <w:ind w:left="1080" w:hanging="180"/>
        <w:rPr>
          <w:rFonts w:ascii="Lucida Bright" w:hAnsi="Lucida Bright"/>
          <w:bCs/>
          <w:sz w:val="22"/>
          <w:szCs w:val="22"/>
        </w:rPr>
      </w:pPr>
      <w:r w:rsidRPr="00D00690">
        <w:rPr>
          <w:rFonts w:ascii="Lucida Bright" w:hAnsi="Lucida Bright"/>
          <w:bCs/>
          <w:sz w:val="22"/>
          <w:szCs w:val="22"/>
        </w:rPr>
        <w:t>...there are scientific uncertainties and site-specific considerations with respect to regulating discharges to surface water via groundwater with a direct hydrologic connection to surface water and conflicting legal precedents on this issue.</w:t>
      </w:r>
    </w:p>
    <w:p w14:paraId="1B73E4DD" w14:textId="645CCFFA" w:rsidR="00B35209" w:rsidRPr="009938D4" w:rsidRDefault="009938D4" w:rsidP="009938D4">
      <w:pPr>
        <w:pStyle w:val="ListParagraph"/>
        <w:numPr>
          <w:ilvl w:val="0"/>
          <w:numId w:val="3"/>
        </w:numPr>
        <w:rPr>
          <w:rFonts w:ascii="Lucida Bright" w:hAnsi="Lucida Bright"/>
          <w:bCs/>
          <w:sz w:val="22"/>
          <w:szCs w:val="22"/>
        </w:rPr>
      </w:pPr>
      <w:r w:rsidRPr="009938D4">
        <w:rPr>
          <w:rFonts w:ascii="Lucida Bright" w:hAnsi="Lucida Bright"/>
          <w:bCs/>
          <w:sz w:val="22"/>
          <w:szCs w:val="22"/>
        </w:rPr>
        <w:t>Final NPDES Permit Regulation and Effluent Limitation Guidelines and Standards for CAFOs (Feb. 12, 2003) - EPA stated in the preamble to the final rule that the permitting authority may impose special permit terms and conditions addressing such circumstances on a case-by-case basis as appropriate.</w:t>
      </w:r>
    </w:p>
    <w:p w14:paraId="481FA0E4" w14:textId="77777777" w:rsidR="00B35209" w:rsidRPr="009F5B54" w:rsidRDefault="00B35209" w:rsidP="00A231B9">
      <w:pPr>
        <w:rPr>
          <w:rFonts w:ascii="Lucida Bright" w:hAnsi="Lucida Bright"/>
          <w:bCs/>
          <w:sz w:val="22"/>
          <w:szCs w:val="22"/>
        </w:rPr>
      </w:pPr>
    </w:p>
    <w:p w14:paraId="006C23EC" w14:textId="2A0095DA" w:rsidR="00472997" w:rsidRPr="009F5B54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9F5B54">
        <w:rPr>
          <w:rStyle w:val="Strong"/>
          <w:rFonts w:ascii="Lucida Bright" w:hAnsi="Lucida Bright"/>
          <w:sz w:val="22"/>
          <w:szCs w:val="22"/>
        </w:rPr>
        <w:t xml:space="preserve">Comments </w:t>
      </w:r>
      <w:r w:rsidR="00191794">
        <w:rPr>
          <w:rStyle w:val="Strong"/>
          <w:rFonts w:ascii="Lucida Bright" w:hAnsi="Lucida Bright"/>
          <w:sz w:val="22"/>
          <w:szCs w:val="22"/>
        </w:rPr>
        <w:t>r</w:t>
      </w:r>
      <w:r w:rsidRPr="009F5B54">
        <w:rPr>
          <w:rStyle w:val="Strong"/>
          <w:rFonts w:ascii="Lucida Bright" w:hAnsi="Lucida Bright"/>
          <w:sz w:val="22"/>
          <w:szCs w:val="22"/>
        </w:rPr>
        <w:t xml:space="preserve">ecommendation:   </w:t>
      </w:r>
    </w:p>
    <w:p w14:paraId="0F59B38C" w14:textId="617F363F" w:rsidR="00B6792E" w:rsidRDefault="005A7F14" w:rsidP="00472997">
      <w:pPr>
        <w:pStyle w:val="Style4"/>
        <w:rPr>
          <w:rStyle w:val="Strong"/>
          <w:rFonts w:ascii="Lucida Bright" w:hAnsi="Lucida Bright"/>
          <w:b w:val="0"/>
        </w:rPr>
      </w:pPr>
      <w:r>
        <w:rPr>
          <w:rStyle w:val="Strong"/>
          <w:rFonts w:ascii="Lucida Bright" w:hAnsi="Lucida Bright"/>
          <w:b w:val="0"/>
        </w:rPr>
        <w:t>Comments provided here take the position that EPA does not have authority under the CWA to regulate discharges to groundwater</w:t>
      </w:r>
      <w:r w:rsidR="002165E0" w:rsidRPr="00612746">
        <w:rPr>
          <w:rStyle w:val="Strong"/>
          <w:rFonts w:ascii="Lucida Bright" w:hAnsi="Lucida Bright"/>
          <w:b w:val="0"/>
        </w:rPr>
        <w:t xml:space="preserve"> </w:t>
      </w:r>
      <w:r>
        <w:rPr>
          <w:rStyle w:val="Strong"/>
          <w:rFonts w:ascii="Lucida Bright" w:hAnsi="Lucida Bright"/>
          <w:b w:val="0"/>
        </w:rPr>
        <w:t>that may reach jurisdictional surface waters through</w:t>
      </w:r>
      <w:r w:rsidR="00B6792E">
        <w:rPr>
          <w:rStyle w:val="Strong"/>
          <w:rFonts w:ascii="Lucida Bright" w:hAnsi="Lucida Bright"/>
          <w:b w:val="0"/>
        </w:rPr>
        <w:t xml:space="preserve"> a direct hydrologic connection.  Groundwater regulation is the domain of the States, and each state should continue to be afforded freedom and flexibility to regulate this resource at its discretion.  </w:t>
      </w:r>
      <w:r w:rsidR="00D72BE2">
        <w:rPr>
          <w:rStyle w:val="Strong"/>
          <w:rFonts w:ascii="Lucida Bright" w:hAnsi="Lucida Bright"/>
          <w:b w:val="0"/>
        </w:rPr>
        <w:t xml:space="preserve">Texas uses a variety of legal authorities to protect groundwater in the context of both intentional and unintentional discharges of pollutants to groundwater.  </w:t>
      </w:r>
      <w:r w:rsidR="00B6792E">
        <w:rPr>
          <w:rStyle w:val="Strong"/>
          <w:rFonts w:ascii="Lucida Bright" w:hAnsi="Lucida Bright"/>
          <w:b w:val="0"/>
        </w:rPr>
        <w:t>It is recommended that EPA revise its previous statements concerning this issue to acknowledge this</w:t>
      </w:r>
      <w:r w:rsidR="003C0044">
        <w:rPr>
          <w:rStyle w:val="Strong"/>
          <w:rFonts w:ascii="Lucida Bright" w:hAnsi="Lucida Bright"/>
          <w:b w:val="0"/>
        </w:rPr>
        <w:t xml:space="preserve"> important</w:t>
      </w:r>
      <w:r w:rsidR="00D72BE2">
        <w:rPr>
          <w:rStyle w:val="Strong"/>
          <w:rFonts w:ascii="Lucida Bright" w:hAnsi="Lucida Bright"/>
          <w:b w:val="0"/>
        </w:rPr>
        <w:t xml:space="preserve"> role and</w:t>
      </w:r>
      <w:r w:rsidR="00B6792E">
        <w:rPr>
          <w:rStyle w:val="Strong"/>
          <w:rFonts w:ascii="Lucida Bright" w:hAnsi="Lucida Bright"/>
          <w:b w:val="0"/>
        </w:rPr>
        <w:t xml:space="preserve"> responsibility of the States</w:t>
      </w:r>
      <w:r w:rsidR="00D72BE2">
        <w:rPr>
          <w:rStyle w:val="Strong"/>
          <w:rFonts w:ascii="Lucida Bright" w:hAnsi="Lucida Bright"/>
          <w:b w:val="0"/>
        </w:rPr>
        <w:t>.</w:t>
      </w:r>
    </w:p>
    <w:p w14:paraId="38504075" w14:textId="544CF9BD" w:rsidR="00B6792E" w:rsidRDefault="00B6792E" w:rsidP="00472997">
      <w:pPr>
        <w:pStyle w:val="Style4"/>
        <w:rPr>
          <w:rStyle w:val="Strong"/>
          <w:rFonts w:ascii="Lucida Bright" w:hAnsi="Lucida Bright"/>
          <w:b w:val="0"/>
        </w:rPr>
      </w:pPr>
    </w:p>
    <w:p w14:paraId="17B827AC" w14:textId="5C14344C" w:rsidR="00A231B9" w:rsidRPr="00612746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 xml:space="preserve">Why </w:t>
      </w:r>
      <w:r w:rsidR="001C6203">
        <w:rPr>
          <w:rStyle w:val="Strong"/>
          <w:rFonts w:ascii="Lucida Bright" w:hAnsi="Lucida Bright"/>
          <w:sz w:val="22"/>
          <w:szCs w:val="22"/>
        </w:rPr>
        <w:t>t</w:t>
      </w:r>
      <w:r w:rsidRPr="00612746">
        <w:rPr>
          <w:rStyle w:val="Strong"/>
          <w:rFonts w:ascii="Lucida Bright" w:hAnsi="Lucida Bright"/>
          <w:sz w:val="22"/>
          <w:szCs w:val="22"/>
        </w:rPr>
        <w:t xml:space="preserve">his </w:t>
      </w:r>
      <w:r w:rsidR="001C6203">
        <w:rPr>
          <w:rStyle w:val="Strong"/>
          <w:rFonts w:ascii="Lucida Bright" w:hAnsi="Lucida Bright"/>
          <w:sz w:val="22"/>
          <w:szCs w:val="22"/>
        </w:rPr>
        <w:t>i</w:t>
      </w:r>
      <w:r w:rsidRPr="00612746">
        <w:rPr>
          <w:rStyle w:val="Strong"/>
          <w:rFonts w:ascii="Lucida Bright" w:hAnsi="Lucida Bright"/>
          <w:sz w:val="22"/>
          <w:szCs w:val="22"/>
        </w:rPr>
        <w:t xml:space="preserve">ssue is of </w:t>
      </w:r>
      <w:r w:rsidR="001C6203">
        <w:rPr>
          <w:rStyle w:val="Strong"/>
          <w:rFonts w:ascii="Lucida Bright" w:hAnsi="Lucida Bright"/>
          <w:sz w:val="22"/>
          <w:szCs w:val="22"/>
        </w:rPr>
        <w:t>i</w:t>
      </w:r>
      <w:r w:rsidRPr="00612746">
        <w:rPr>
          <w:rStyle w:val="Strong"/>
          <w:rFonts w:ascii="Lucida Bright" w:hAnsi="Lucida Bright"/>
          <w:sz w:val="22"/>
          <w:szCs w:val="22"/>
        </w:rPr>
        <w:t xml:space="preserve">nterest and </w:t>
      </w:r>
      <w:r w:rsidR="001C6203">
        <w:rPr>
          <w:rStyle w:val="Strong"/>
          <w:rFonts w:ascii="Lucida Bright" w:hAnsi="Lucida Bright"/>
          <w:sz w:val="22"/>
          <w:szCs w:val="22"/>
        </w:rPr>
        <w:t>h</w:t>
      </w:r>
      <w:r w:rsidRPr="00612746">
        <w:rPr>
          <w:rStyle w:val="Strong"/>
          <w:rFonts w:ascii="Lucida Bright" w:hAnsi="Lucida Bright"/>
          <w:sz w:val="22"/>
          <w:szCs w:val="22"/>
        </w:rPr>
        <w:t xml:space="preserve">ow </w:t>
      </w:r>
      <w:r w:rsidR="001C6203">
        <w:rPr>
          <w:rStyle w:val="Strong"/>
          <w:rFonts w:ascii="Lucida Bright" w:hAnsi="Lucida Bright"/>
          <w:sz w:val="22"/>
          <w:szCs w:val="22"/>
        </w:rPr>
        <w:t>i</w:t>
      </w:r>
      <w:r w:rsidRPr="00612746">
        <w:rPr>
          <w:rStyle w:val="Strong"/>
          <w:rFonts w:ascii="Lucida Bright" w:hAnsi="Lucida Bright"/>
          <w:sz w:val="22"/>
          <w:szCs w:val="22"/>
        </w:rPr>
        <w:t xml:space="preserve">t </w:t>
      </w:r>
      <w:r w:rsidR="001C6203">
        <w:rPr>
          <w:rStyle w:val="Strong"/>
          <w:rFonts w:ascii="Lucida Bright" w:hAnsi="Lucida Bright"/>
          <w:sz w:val="22"/>
          <w:szCs w:val="22"/>
        </w:rPr>
        <w:t>a</w:t>
      </w:r>
      <w:r w:rsidRPr="00612746">
        <w:rPr>
          <w:rStyle w:val="Strong"/>
          <w:rFonts w:ascii="Lucida Bright" w:hAnsi="Lucida Bright"/>
          <w:sz w:val="22"/>
          <w:szCs w:val="22"/>
        </w:rPr>
        <w:t>pplies to TCEQ:</w:t>
      </w:r>
      <w:r w:rsidRPr="00612746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</w:p>
    <w:p w14:paraId="50952FB9" w14:textId="48B7C2B3" w:rsidR="004778D3" w:rsidRPr="00612746" w:rsidRDefault="00D72BE2" w:rsidP="00D72BE2">
      <w:pPr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 xml:space="preserve">Applying CWA jurisdiction to groundwater discharges that may ultimately reach surface waters would needlessly complicate the regulatory arena in Texas.  </w:t>
      </w:r>
      <w:r w:rsidR="00966C22">
        <w:rPr>
          <w:rFonts w:ascii="Lucida Bright" w:hAnsi="Lucida Bright"/>
          <w:bCs/>
          <w:sz w:val="22"/>
          <w:szCs w:val="22"/>
        </w:rPr>
        <w:t xml:space="preserve">TCEQ has multiple programs, such as UIC, Superfund, Wastewater Permitting, and Compliance/Enforcement that sufficiently provide or address water quality protection in situations where pollutants are discharged or released to groundwater.  An additional layer of regulation in this area is simply </w:t>
      </w:r>
      <w:r w:rsidR="005C5A7D">
        <w:rPr>
          <w:rFonts w:ascii="Lucida Bright" w:hAnsi="Lucida Bright"/>
          <w:bCs/>
          <w:sz w:val="22"/>
          <w:szCs w:val="22"/>
        </w:rPr>
        <w:t xml:space="preserve">unnecessary and </w:t>
      </w:r>
      <w:r w:rsidR="00727315">
        <w:rPr>
          <w:rFonts w:ascii="Lucida Bright" w:hAnsi="Lucida Bright"/>
          <w:bCs/>
          <w:sz w:val="22"/>
          <w:szCs w:val="22"/>
        </w:rPr>
        <w:t xml:space="preserve">does not add </w:t>
      </w:r>
      <w:r w:rsidR="00D5133E">
        <w:rPr>
          <w:rFonts w:ascii="Lucida Bright" w:hAnsi="Lucida Bright"/>
          <w:bCs/>
          <w:sz w:val="22"/>
          <w:szCs w:val="22"/>
        </w:rPr>
        <w:t>environmental</w:t>
      </w:r>
      <w:r w:rsidR="009A5D53">
        <w:rPr>
          <w:rFonts w:ascii="Lucida Bright" w:hAnsi="Lucida Bright"/>
          <w:bCs/>
          <w:sz w:val="22"/>
          <w:szCs w:val="22"/>
        </w:rPr>
        <w:t xml:space="preserve"> </w:t>
      </w:r>
      <w:r w:rsidR="00D5133E">
        <w:rPr>
          <w:rFonts w:ascii="Lucida Bright" w:hAnsi="Lucida Bright"/>
          <w:bCs/>
          <w:sz w:val="22"/>
          <w:szCs w:val="22"/>
        </w:rPr>
        <w:t xml:space="preserve">benefits.  </w:t>
      </w:r>
      <w:r w:rsidR="009A5D53">
        <w:rPr>
          <w:rFonts w:ascii="Lucida Bright" w:hAnsi="Lucida Bright"/>
          <w:bCs/>
          <w:sz w:val="22"/>
          <w:szCs w:val="22"/>
        </w:rPr>
        <w:t xml:space="preserve">    </w:t>
      </w:r>
    </w:p>
    <w:p w14:paraId="06549C9C" w14:textId="77777777" w:rsidR="009F4EA9" w:rsidRPr="00612746" w:rsidRDefault="009F4EA9" w:rsidP="00A231B9">
      <w:pPr>
        <w:rPr>
          <w:rFonts w:ascii="Lucida Bright" w:hAnsi="Lucida Bright"/>
          <w:sz w:val="22"/>
          <w:szCs w:val="22"/>
        </w:rPr>
      </w:pPr>
    </w:p>
    <w:p w14:paraId="7708BC53" w14:textId="77777777" w:rsidR="00A231B9" w:rsidRPr="00612746" w:rsidRDefault="00EF4DB3" w:rsidP="00804968">
      <w:pPr>
        <w:pStyle w:val="Style5"/>
        <w:rPr>
          <w:rStyle w:val="Strong"/>
          <w:rFonts w:ascii="Lucida Bright" w:hAnsi="Lucida Bright"/>
          <w:b w:val="0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>Prepared by:</w:t>
      </w:r>
      <w:r w:rsidR="00804968" w:rsidRPr="00612746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804968" w:rsidRPr="00612746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</w:p>
    <w:p w14:paraId="252DAA13" w14:textId="4A3ADAF8" w:rsidR="00A52603" w:rsidRPr="00612746" w:rsidRDefault="00966C22" w:rsidP="00804968">
      <w:pPr>
        <w:pStyle w:val="Style5"/>
        <w:rPr>
          <w:rStyle w:val="Strong"/>
          <w:rFonts w:ascii="Lucida Bright" w:hAnsi="Lucida Bright"/>
          <w:b w:val="0"/>
          <w:sz w:val="22"/>
          <w:szCs w:val="22"/>
        </w:rPr>
      </w:pPr>
      <w:r>
        <w:rPr>
          <w:rStyle w:val="Strong"/>
          <w:rFonts w:ascii="Lucida Bright" w:hAnsi="Lucida Bright"/>
          <w:b w:val="0"/>
          <w:sz w:val="22"/>
          <w:szCs w:val="22"/>
        </w:rPr>
        <w:t>Allison Woodall, Office of Water</w:t>
      </w:r>
      <w:r w:rsidR="00A52603" w:rsidRPr="00612746">
        <w:rPr>
          <w:rStyle w:val="Strong"/>
          <w:rFonts w:ascii="Lucida Bright" w:hAnsi="Lucida Bright"/>
          <w:b w:val="0"/>
          <w:sz w:val="22"/>
          <w:szCs w:val="22"/>
        </w:rPr>
        <w:t>, 239-</w:t>
      </w:r>
      <w:r>
        <w:rPr>
          <w:rStyle w:val="Strong"/>
          <w:rFonts w:ascii="Lucida Bright" w:hAnsi="Lucida Bright"/>
          <w:b w:val="0"/>
          <w:sz w:val="22"/>
          <w:szCs w:val="22"/>
        </w:rPr>
        <w:t>4628</w:t>
      </w:r>
    </w:p>
    <w:p w14:paraId="63E2605C" w14:textId="77777777" w:rsidR="00472997" w:rsidRPr="00612746" w:rsidRDefault="00472997" w:rsidP="00804968">
      <w:pPr>
        <w:pStyle w:val="Style5"/>
        <w:rPr>
          <w:rFonts w:ascii="Lucida Bright" w:hAnsi="Lucida Bright"/>
          <w:sz w:val="22"/>
          <w:szCs w:val="22"/>
        </w:rPr>
      </w:pPr>
    </w:p>
    <w:p w14:paraId="7E9791DE" w14:textId="77777777" w:rsidR="00A231B9" w:rsidRPr="00612746" w:rsidRDefault="00EF4DB3" w:rsidP="00804968">
      <w:pPr>
        <w:pStyle w:val="Style5"/>
        <w:rPr>
          <w:rFonts w:ascii="Lucida Bright" w:hAnsi="Lucida Bright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>Coordinated with:</w:t>
      </w:r>
      <w:r w:rsidRPr="00612746">
        <w:rPr>
          <w:rFonts w:ascii="Lucida Bright" w:hAnsi="Lucida Bright"/>
          <w:sz w:val="22"/>
          <w:szCs w:val="22"/>
        </w:rPr>
        <w:t xml:space="preserve">     </w:t>
      </w:r>
    </w:p>
    <w:p w14:paraId="37C0F4FE" w14:textId="0A9CA45F" w:rsidR="000B6AA4" w:rsidRPr="000B3EB5" w:rsidRDefault="007D0E50" w:rsidP="00A231B9">
      <w:pPr>
        <w:rPr>
          <w:rFonts w:ascii="Verdana" w:hAnsi="Verdana"/>
          <w:sz w:val="22"/>
        </w:rPr>
      </w:pPr>
      <w:r w:rsidRPr="00612746">
        <w:rPr>
          <w:rFonts w:ascii="Lucida Bright" w:hAnsi="Lucida Bright"/>
          <w:sz w:val="22"/>
          <w:szCs w:val="22"/>
        </w:rPr>
        <w:t>Gregg Easley, Office of Water, Water Quality Division, 239-4539</w:t>
      </w:r>
    </w:p>
    <w:p w14:paraId="00837F48" w14:textId="77777777" w:rsidR="000B6AA4" w:rsidRPr="000B3EB5" w:rsidRDefault="000B6AA4" w:rsidP="00A231B9">
      <w:pPr>
        <w:rPr>
          <w:rFonts w:ascii="Verdana" w:hAnsi="Verdana"/>
        </w:rPr>
      </w:pPr>
      <w:r w:rsidRPr="000B3EB5">
        <w:rPr>
          <w:rFonts w:ascii="Verdana" w:hAnsi="Verdana"/>
        </w:rPr>
        <w:tab/>
      </w:r>
    </w:p>
    <w:sectPr w:rsidR="000B6AA4" w:rsidRPr="000B3EB5" w:rsidSect="00F01EAD">
      <w:footerReference w:type="default" r:id="rId8"/>
      <w:pgSz w:w="12240" w:h="15840"/>
      <w:pgMar w:top="720" w:right="1080" w:bottom="450" w:left="1080" w:header="72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9687" w14:textId="77777777" w:rsidR="009D09BF" w:rsidRDefault="009D09BF">
      <w:r>
        <w:separator/>
      </w:r>
    </w:p>
    <w:p w14:paraId="0020AADD" w14:textId="77777777" w:rsidR="009D09BF" w:rsidRDefault="009D09BF"/>
  </w:endnote>
  <w:endnote w:type="continuationSeparator" w:id="0">
    <w:p w14:paraId="547DF734" w14:textId="77777777" w:rsidR="009D09BF" w:rsidRDefault="009D09BF">
      <w:r>
        <w:continuationSeparator/>
      </w:r>
    </w:p>
    <w:p w14:paraId="7F816329" w14:textId="77777777" w:rsidR="009D09BF" w:rsidRDefault="009D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17C3" w14:textId="45C0E9EA" w:rsidR="00A231B9" w:rsidRPr="00A231B9" w:rsidRDefault="00A231B9">
    <w:pPr>
      <w:rPr>
        <w:rFonts w:ascii="Georgia" w:hAnsi="Georgia"/>
        <w:sz w:val="16"/>
        <w:szCs w:val="16"/>
      </w:rPr>
    </w:pPr>
    <w:r w:rsidRPr="00A231B9">
      <w:rPr>
        <w:rFonts w:ascii="Georgia" w:hAnsi="Georgia" w:cs="Tahoma"/>
        <w:sz w:val="14"/>
        <w:szCs w:val="14"/>
      </w:rPr>
      <w:t>TCEQ 20375 (Rev. 1/2011)</w:t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  <w:t xml:space="preserve">Page 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begin"/>
    </w:r>
    <w:r w:rsidRPr="00A231B9">
      <w:rPr>
        <w:rStyle w:val="PageNumber"/>
        <w:rFonts w:ascii="Georgia" w:hAnsi="Georgia"/>
        <w:sz w:val="16"/>
        <w:szCs w:val="16"/>
      </w:rPr>
      <w:instrText xml:space="preserve"> PAGE </w:instrText>
    </w:r>
    <w:r w:rsidR="002016B1" w:rsidRPr="00A231B9">
      <w:rPr>
        <w:rStyle w:val="PageNumber"/>
        <w:rFonts w:ascii="Georgia" w:hAnsi="Georgia"/>
        <w:sz w:val="16"/>
        <w:szCs w:val="16"/>
      </w:rPr>
      <w:fldChar w:fldCharType="separate"/>
    </w:r>
    <w:r w:rsidR="00B07F4B">
      <w:rPr>
        <w:rStyle w:val="PageNumber"/>
        <w:rFonts w:ascii="Georgia" w:hAnsi="Georgia"/>
        <w:noProof/>
        <w:sz w:val="16"/>
        <w:szCs w:val="16"/>
      </w:rPr>
      <w:t>2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end"/>
    </w:r>
    <w:r w:rsidRPr="00A231B9">
      <w:rPr>
        <w:rStyle w:val="PageNumber"/>
        <w:rFonts w:ascii="Georgia" w:hAnsi="Georgia"/>
        <w:sz w:val="16"/>
        <w:szCs w:val="16"/>
      </w:rPr>
      <w:t xml:space="preserve"> of 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begin"/>
    </w:r>
    <w:r w:rsidRPr="00A231B9">
      <w:rPr>
        <w:rStyle w:val="PageNumber"/>
        <w:rFonts w:ascii="Georgia" w:hAnsi="Georgia"/>
        <w:sz w:val="16"/>
        <w:szCs w:val="16"/>
      </w:rPr>
      <w:instrText xml:space="preserve"> NUMPAGES </w:instrText>
    </w:r>
    <w:r w:rsidR="002016B1" w:rsidRPr="00A231B9">
      <w:rPr>
        <w:rStyle w:val="PageNumber"/>
        <w:rFonts w:ascii="Georgia" w:hAnsi="Georgia"/>
        <w:sz w:val="16"/>
        <w:szCs w:val="16"/>
      </w:rPr>
      <w:fldChar w:fldCharType="separate"/>
    </w:r>
    <w:r w:rsidR="00B07F4B">
      <w:rPr>
        <w:rStyle w:val="PageNumber"/>
        <w:rFonts w:ascii="Georgia" w:hAnsi="Georgia"/>
        <w:noProof/>
        <w:sz w:val="16"/>
        <w:szCs w:val="16"/>
      </w:rPr>
      <w:t>2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end"/>
    </w:r>
  </w:p>
  <w:p w14:paraId="7A658D38" w14:textId="77777777" w:rsidR="00D041E4" w:rsidRDefault="00D041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F0E9" w14:textId="77777777" w:rsidR="009D09BF" w:rsidRDefault="009D09BF">
      <w:r>
        <w:separator/>
      </w:r>
    </w:p>
    <w:p w14:paraId="121AE161" w14:textId="77777777" w:rsidR="009D09BF" w:rsidRDefault="009D09BF"/>
  </w:footnote>
  <w:footnote w:type="continuationSeparator" w:id="0">
    <w:p w14:paraId="6FDE941D" w14:textId="77777777" w:rsidR="009D09BF" w:rsidRDefault="009D09BF">
      <w:r>
        <w:continuationSeparator/>
      </w:r>
    </w:p>
    <w:p w14:paraId="48E4FE51" w14:textId="77777777" w:rsidR="009D09BF" w:rsidRDefault="009D0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137"/>
    <w:multiLevelType w:val="hybridMultilevel"/>
    <w:tmpl w:val="7B7E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3A16"/>
    <w:multiLevelType w:val="hybridMultilevel"/>
    <w:tmpl w:val="F8127F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782F8B"/>
    <w:multiLevelType w:val="hybridMultilevel"/>
    <w:tmpl w:val="64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4278D"/>
    <w:multiLevelType w:val="hybridMultilevel"/>
    <w:tmpl w:val="F808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07"/>
    <w:rsid w:val="00001DA4"/>
    <w:rsid w:val="0000395E"/>
    <w:rsid w:val="00024476"/>
    <w:rsid w:val="00032791"/>
    <w:rsid w:val="0007075F"/>
    <w:rsid w:val="00070982"/>
    <w:rsid w:val="000808BE"/>
    <w:rsid w:val="00080AA5"/>
    <w:rsid w:val="000B376E"/>
    <w:rsid w:val="000B3EB5"/>
    <w:rsid w:val="000B6AA4"/>
    <w:rsid w:val="000C3303"/>
    <w:rsid w:val="000D7E91"/>
    <w:rsid w:val="000F36FF"/>
    <w:rsid w:val="001047EC"/>
    <w:rsid w:val="001272AF"/>
    <w:rsid w:val="00151A4E"/>
    <w:rsid w:val="00191794"/>
    <w:rsid w:val="00196E34"/>
    <w:rsid w:val="001A2443"/>
    <w:rsid w:val="001A2685"/>
    <w:rsid w:val="001A27B8"/>
    <w:rsid w:val="001B4437"/>
    <w:rsid w:val="001C1692"/>
    <w:rsid w:val="001C6203"/>
    <w:rsid w:val="001C6782"/>
    <w:rsid w:val="001E1E53"/>
    <w:rsid w:val="001F191D"/>
    <w:rsid w:val="001F47A6"/>
    <w:rsid w:val="001F6D20"/>
    <w:rsid w:val="002016B1"/>
    <w:rsid w:val="002105E3"/>
    <w:rsid w:val="002165E0"/>
    <w:rsid w:val="002301B4"/>
    <w:rsid w:val="00234084"/>
    <w:rsid w:val="00254EE7"/>
    <w:rsid w:val="002604BE"/>
    <w:rsid w:val="00273891"/>
    <w:rsid w:val="00275628"/>
    <w:rsid w:val="00282840"/>
    <w:rsid w:val="002B2062"/>
    <w:rsid w:val="002C1814"/>
    <w:rsid w:val="002C6487"/>
    <w:rsid w:val="002E430E"/>
    <w:rsid w:val="002E47E3"/>
    <w:rsid w:val="002F31C0"/>
    <w:rsid w:val="00335565"/>
    <w:rsid w:val="00360824"/>
    <w:rsid w:val="0037115B"/>
    <w:rsid w:val="00371447"/>
    <w:rsid w:val="003A08FB"/>
    <w:rsid w:val="003A1B35"/>
    <w:rsid w:val="003C0044"/>
    <w:rsid w:val="003D1A6C"/>
    <w:rsid w:val="003E5270"/>
    <w:rsid w:val="00403C26"/>
    <w:rsid w:val="00404A40"/>
    <w:rsid w:val="00430F8C"/>
    <w:rsid w:val="00434666"/>
    <w:rsid w:val="00447074"/>
    <w:rsid w:val="004649CB"/>
    <w:rsid w:val="00470EE7"/>
    <w:rsid w:val="00472997"/>
    <w:rsid w:val="00475676"/>
    <w:rsid w:val="004778D3"/>
    <w:rsid w:val="00487DAF"/>
    <w:rsid w:val="004965DE"/>
    <w:rsid w:val="004A75EB"/>
    <w:rsid w:val="004E3FA7"/>
    <w:rsid w:val="00513FB5"/>
    <w:rsid w:val="00515618"/>
    <w:rsid w:val="00531110"/>
    <w:rsid w:val="00543449"/>
    <w:rsid w:val="00562F79"/>
    <w:rsid w:val="00571E07"/>
    <w:rsid w:val="0057235D"/>
    <w:rsid w:val="00593A51"/>
    <w:rsid w:val="005A7F14"/>
    <w:rsid w:val="005B5944"/>
    <w:rsid w:val="005C4DCB"/>
    <w:rsid w:val="005C5A7D"/>
    <w:rsid w:val="005D4AE7"/>
    <w:rsid w:val="005F5B79"/>
    <w:rsid w:val="005F62A6"/>
    <w:rsid w:val="0060024C"/>
    <w:rsid w:val="006118C2"/>
    <w:rsid w:val="00612746"/>
    <w:rsid w:val="00616E33"/>
    <w:rsid w:val="00626BDA"/>
    <w:rsid w:val="0063277B"/>
    <w:rsid w:val="00673DDA"/>
    <w:rsid w:val="0068621A"/>
    <w:rsid w:val="00691258"/>
    <w:rsid w:val="006C5BC8"/>
    <w:rsid w:val="007147C4"/>
    <w:rsid w:val="007155BF"/>
    <w:rsid w:val="00716C63"/>
    <w:rsid w:val="00727315"/>
    <w:rsid w:val="007317E1"/>
    <w:rsid w:val="0074044B"/>
    <w:rsid w:val="0074399E"/>
    <w:rsid w:val="00750A76"/>
    <w:rsid w:val="007769A4"/>
    <w:rsid w:val="007806A1"/>
    <w:rsid w:val="00790020"/>
    <w:rsid w:val="007D0E50"/>
    <w:rsid w:val="007E1BB0"/>
    <w:rsid w:val="007E44D3"/>
    <w:rsid w:val="00804968"/>
    <w:rsid w:val="00851707"/>
    <w:rsid w:val="008806AF"/>
    <w:rsid w:val="00881C3A"/>
    <w:rsid w:val="00894352"/>
    <w:rsid w:val="008A655E"/>
    <w:rsid w:val="008C12D1"/>
    <w:rsid w:val="008C185C"/>
    <w:rsid w:val="008C397E"/>
    <w:rsid w:val="008C3D21"/>
    <w:rsid w:val="008E1CF7"/>
    <w:rsid w:val="008F4120"/>
    <w:rsid w:val="00912DA2"/>
    <w:rsid w:val="00920366"/>
    <w:rsid w:val="00921B18"/>
    <w:rsid w:val="0092596D"/>
    <w:rsid w:val="00930DA6"/>
    <w:rsid w:val="00947A2A"/>
    <w:rsid w:val="009557A2"/>
    <w:rsid w:val="00966C22"/>
    <w:rsid w:val="009706E1"/>
    <w:rsid w:val="00973BBA"/>
    <w:rsid w:val="00976E34"/>
    <w:rsid w:val="009938D4"/>
    <w:rsid w:val="009A45A8"/>
    <w:rsid w:val="009A5867"/>
    <w:rsid w:val="009A5D53"/>
    <w:rsid w:val="009B0F13"/>
    <w:rsid w:val="009B5F22"/>
    <w:rsid w:val="009C59B2"/>
    <w:rsid w:val="009D09BF"/>
    <w:rsid w:val="009D1F50"/>
    <w:rsid w:val="009D5B13"/>
    <w:rsid w:val="009F4EA9"/>
    <w:rsid w:val="009F5B54"/>
    <w:rsid w:val="00A0053E"/>
    <w:rsid w:val="00A171C7"/>
    <w:rsid w:val="00A231B9"/>
    <w:rsid w:val="00A26079"/>
    <w:rsid w:val="00A43B3F"/>
    <w:rsid w:val="00A52603"/>
    <w:rsid w:val="00A5798F"/>
    <w:rsid w:val="00A7604B"/>
    <w:rsid w:val="00A8439F"/>
    <w:rsid w:val="00AA2E92"/>
    <w:rsid w:val="00AB4C34"/>
    <w:rsid w:val="00AC505C"/>
    <w:rsid w:val="00AD19F0"/>
    <w:rsid w:val="00AE615E"/>
    <w:rsid w:val="00AF5095"/>
    <w:rsid w:val="00B07F4B"/>
    <w:rsid w:val="00B35209"/>
    <w:rsid w:val="00B4277F"/>
    <w:rsid w:val="00B45074"/>
    <w:rsid w:val="00B515D6"/>
    <w:rsid w:val="00B53D91"/>
    <w:rsid w:val="00B6792E"/>
    <w:rsid w:val="00B81973"/>
    <w:rsid w:val="00B832C5"/>
    <w:rsid w:val="00B8351B"/>
    <w:rsid w:val="00B95BB9"/>
    <w:rsid w:val="00BC233B"/>
    <w:rsid w:val="00BF2FE4"/>
    <w:rsid w:val="00C15109"/>
    <w:rsid w:val="00C34C4E"/>
    <w:rsid w:val="00C50EFF"/>
    <w:rsid w:val="00C540C8"/>
    <w:rsid w:val="00C97BAF"/>
    <w:rsid w:val="00CD2136"/>
    <w:rsid w:val="00CD2E17"/>
    <w:rsid w:val="00CD7E3E"/>
    <w:rsid w:val="00CE4ACA"/>
    <w:rsid w:val="00D00690"/>
    <w:rsid w:val="00D00CE8"/>
    <w:rsid w:val="00D01FE3"/>
    <w:rsid w:val="00D03E92"/>
    <w:rsid w:val="00D041E4"/>
    <w:rsid w:val="00D14A97"/>
    <w:rsid w:val="00D1740E"/>
    <w:rsid w:val="00D3727F"/>
    <w:rsid w:val="00D43ABB"/>
    <w:rsid w:val="00D4769B"/>
    <w:rsid w:val="00D5133E"/>
    <w:rsid w:val="00D54E8E"/>
    <w:rsid w:val="00D619FA"/>
    <w:rsid w:val="00D66A0D"/>
    <w:rsid w:val="00D72BE2"/>
    <w:rsid w:val="00D83A90"/>
    <w:rsid w:val="00D87862"/>
    <w:rsid w:val="00DE67EF"/>
    <w:rsid w:val="00E02A58"/>
    <w:rsid w:val="00E10E30"/>
    <w:rsid w:val="00E11DEA"/>
    <w:rsid w:val="00E17AB2"/>
    <w:rsid w:val="00E35CAF"/>
    <w:rsid w:val="00E374B6"/>
    <w:rsid w:val="00E50482"/>
    <w:rsid w:val="00E63526"/>
    <w:rsid w:val="00E66E09"/>
    <w:rsid w:val="00E73E0E"/>
    <w:rsid w:val="00E84A21"/>
    <w:rsid w:val="00E97B9F"/>
    <w:rsid w:val="00EA1B19"/>
    <w:rsid w:val="00EC1E02"/>
    <w:rsid w:val="00EC7DCE"/>
    <w:rsid w:val="00EF4DB3"/>
    <w:rsid w:val="00F01EAD"/>
    <w:rsid w:val="00F30D41"/>
    <w:rsid w:val="00F42789"/>
    <w:rsid w:val="00F43C37"/>
    <w:rsid w:val="00F45053"/>
    <w:rsid w:val="00F602CD"/>
    <w:rsid w:val="00F93FBE"/>
    <w:rsid w:val="00F948D1"/>
    <w:rsid w:val="00FA14A2"/>
    <w:rsid w:val="00FD4D5C"/>
    <w:rsid w:val="00FE02D0"/>
    <w:rsid w:val="00FE329C"/>
    <w:rsid w:val="00FE36AF"/>
    <w:rsid w:val="00FF316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37BCC9"/>
  <w15:docId w15:val="{1C116803-829B-4A97-872C-39EBC16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E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E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31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01EAD"/>
  </w:style>
  <w:style w:type="paragraph" w:styleId="Header">
    <w:name w:val="header"/>
    <w:basedOn w:val="Normal"/>
    <w:rsid w:val="00F0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EAD"/>
  </w:style>
  <w:style w:type="character" w:customStyle="1" w:styleId="Heading1Char">
    <w:name w:val="Heading 1 Char"/>
    <w:basedOn w:val="DefaultParagraphFont"/>
    <w:link w:val="Heading1"/>
    <w:rsid w:val="00571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571E07"/>
    <w:rPr>
      <w:b/>
      <w:bCs/>
    </w:rPr>
  </w:style>
  <w:style w:type="paragraph" w:customStyle="1" w:styleId="Style1">
    <w:name w:val="Style1"/>
    <w:basedOn w:val="Heading2"/>
    <w:qFormat/>
    <w:rsid w:val="00A231B9"/>
    <w:rPr>
      <w:rFonts w:ascii="Georgia" w:hAnsi="Georgia"/>
    </w:rPr>
  </w:style>
  <w:style w:type="paragraph" w:customStyle="1" w:styleId="Style2">
    <w:name w:val="Style2"/>
    <w:basedOn w:val="Heading2"/>
    <w:qFormat/>
    <w:rsid w:val="00A231B9"/>
    <w:rPr>
      <w:rFonts w:ascii="Georgia" w:hAnsi="Georgia"/>
    </w:rPr>
  </w:style>
  <w:style w:type="character" w:customStyle="1" w:styleId="Heading2Char">
    <w:name w:val="Heading 2 Char"/>
    <w:basedOn w:val="DefaultParagraphFont"/>
    <w:link w:val="Heading2"/>
    <w:semiHidden/>
    <w:rsid w:val="00A231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A231B9"/>
    <w:rPr>
      <w:i w:val="0"/>
      <w:iCs w:val="0"/>
    </w:rPr>
  </w:style>
  <w:style w:type="paragraph" w:customStyle="1" w:styleId="Style4">
    <w:name w:val="Style4"/>
    <w:basedOn w:val="Normal"/>
    <w:qFormat/>
    <w:rsid w:val="00804968"/>
    <w:rPr>
      <w:rFonts w:ascii="Georgia" w:hAnsi="Georgia"/>
      <w:sz w:val="22"/>
      <w:szCs w:val="22"/>
    </w:rPr>
  </w:style>
  <w:style w:type="paragraph" w:customStyle="1" w:styleId="Style5">
    <w:name w:val="Style5"/>
    <w:basedOn w:val="Normal"/>
    <w:qFormat/>
    <w:rsid w:val="00804968"/>
    <w:rPr>
      <w:rFonts w:ascii="Georgia" w:hAnsi="Georgia"/>
    </w:rPr>
  </w:style>
  <w:style w:type="paragraph" w:customStyle="1" w:styleId="Style6">
    <w:name w:val="Style6"/>
    <w:basedOn w:val="Normal"/>
    <w:qFormat/>
    <w:rsid w:val="00804968"/>
    <w:rPr>
      <w:rFonts w:ascii="Georgia" w:hAnsi="Georgia"/>
      <w:sz w:val="22"/>
      <w:szCs w:val="22"/>
    </w:rPr>
  </w:style>
  <w:style w:type="paragraph" w:customStyle="1" w:styleId="Style7">
    <w:name w:val="Style7"/>
    <w:basedOn w:val="Heading2"/>
    <w:qFormat/>
    <w:rsid w:val="00804968"/>
    <w:rPr>
      <w:rFonts w:ascii="Georgia" w:hAnsi="Georgia"/>
      <w:i w:val="0"/>
      <w:iCs w:val="0"/>
    </w:rPr>
  </w:style>
  <w:style w:type="paragraph" w:customStyle="1" w:styleId="Style8">
    <w:name w:val="Style8"/>
    <w:basedOn w:val="Style7"/>
    <w:qFormat/>
    <w:rsid w:val="00804968"/>
  </w:style>
  <w:style w:type="paragraph" w:customStyle="1" w:styleId="Style9">
    <w:name w:val="Style9"/>
    <w:basedOn w:val="Heading2"/>
    <w:qFormat/>
    <w:rsid w:val="00804968"/>
    <w:rPr>
      <w:i w:val="0"/>
    </w:rPr>
  </w:style>
  <w:style w:type="paragraph" w:styleId="ListParagraph">
    <w:name w:val="List Paragraph"/>
    <w:basedOn w:val="Normal"/>
    <w:uiPriority w:val="34"/>
    <w:qFormat/>
    <w:rsid w:val="004729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E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31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31C0"/>
  </w:style>
  <w:style w:type="paragraph" w:styleId="CommentSubject">
    <w:name w:val="annotation subject"/>
    <w:basedOn w:val="CommentText"/>
    <w:next w:val="CommentText"/>
    <w:link w:val="CommentSubjectChar"/>
    <w:rsid w:val="002F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1C0"/>
    <w:rPr>
      <w:b/>
      <w:bCs/>
    </w:rPr>
  </w:style>
  <w:style w:type="paragraph" w:styleId="Revision">
    <w:name w:val="Revision"/>
    <w:hidden/>
    <w:uiPriority w:val="99"/>
    <w:semiHidden/>
    <w:rsid w:val="00531110"/>
    <w:rPr>
      <w:sz w:val="24"/>
      <w:szCs w:val="24"/>
    </w:rPr>
  </w:style>
  <w:style w:type="paragraph" w:customStyle="1" w:styleId="Default">
    <w:name w:val="Default"/>
    <w:rsid w:val="000709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4562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1030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2018-05-03T21:00:00Z</cp:lastPrinted>
  <dcterms:created xsi:type="dcterms:W3CDTF">2018-05-21T19:03:00Z</dcterms:created>
  <dcterms:modified xsi:type="dcterms:W3CDTF">2018-05-21T19:03:00Z</dcterms:modified>
</cp:coreProperties>
</file>