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6A" w:rsidRPr="0061206A" w:rsidRDefault="0061206A" w:rsidP="005814E5">
      <w:pPr>
        <w:widowControl w:val="0"/>
        <w:tabs>
          <w:tab w:val="center" w:pos="5400"/>
        </w:tabs>
        <w:jc w:val="center"/>
        <w:rPr>
          <w:rFonts w:ascii="Georgia" w:hAnsi="Georgia"/>
          <w:b/>
          <w:szCs w:val="24"/>
        </w:rPr>
      </w:pPr>
      <w:bookmarkStart w:id="0" w:name="_GoBack"/>
      <w:bookmarkEnd w:id="0"/>
      <w:r w:rsidRPr="0061206A">
        <w:rPr>
          <w:rFonts w:ascii="Georgia" w:hAnsi="Georgia"/>
          <w:b/>
          <w:szCs w:val="24"/>
        </w:rPr>
        <w:t>Texas Commission on Environmental Quality</w:t>
      </w:r>
    </w:p>
    <w:p w:rsidR="00B83303" w:rsidRPr="0061206A" w:rsidRDefault="00B83303" w:rsidP="005814E5">
      <w:pPr>
        <w:widowControl w:val="0"/>
        <w:tabs>
          <w:tab w:val="center" w:pos="5400"/>
        </w:tabs>
        <w:jc w:val="center"/>
        <w:rPr>
          <w:rFonts w:ascii="Georgia" w:hAnsi="Georgia"/>
          <w:b/>
          <w:szCs w:val="24"/>
        </w:rPr>
      </w:pPr>
      <w:r w:rsidRPr="0061206A">
        <w:rPr>
          <w:rFonts w:ascii="Georgia" w:hAnsi="Georgia"/>
          <w:szCs w:val="24"/>
        </w:rPr>
        <w:fldChar w:fldCharType="begin"/>
      </w:r>
      <w:r w:rsidRPr="0061206A">
        <w:rPr>
          <w:rFonts w:ascii="Georgia" w:hAnsi="Georgia"/>
          <w:szCs w:val="24"/>
        </w:rPr>
        <w:instrText xml:space="preserve"> SEQ CHAPTER \h \r 1</w:instrText>
      </w:r>
      <w:r w:rsidRPr="0061206A">
        <w:rPr>
          <w:rFonts w:ascii="Georgia" w:hAnsi="Georgia"/>
          <w:szCs w:val="24"/>
        </w:rPr>
        <w:fldChar w:fldCharType="end"/>
      </w:r>
      <w:r w:rsidRPr="0061206A">
        <w:rPr>
          <w:rFonts w:ascii="Georgia" w:hAnsi="Georgia"/>
          <w:b/>
          <w:szCs w:val="24"/>
        </w:rPr>
        <w:t xml:space="preserve">Exemption </w:t>
      </w:r>
      <w:r w:rsidR="005814E5" w:rsidRPr="0061206A">
        <w:rPr>
          <w:rFonts w:ascii="Georgia" w:hAnsi="Georgia"/>
          <w:b/>
          <w:szCs w:val="24"/>
        </w:rPr>
        <w:t>§</w:t>
      </w:r>
      <w:r w:rsidRPr="0061206A">
        <w:rPr>
          <w:rFonts w:ascii="Georgia" w:hAnsi="Georgia"/>
          <w:b/>
          <w:szCs w:val="24"/>
        </w:rPr>
        <w:t>106.148 Checklist</w:t>
      </w:r>
    </w:p>
    <w:p w:rsidR="00B83303" w:rsidRPr="0061206A" w:rsidRDefault="00B83303" w:rsidP="005814E5">
      <w:pPr>
        <w:widowControl w:val="0"/>
        <w:jc w:val="center"/>
        <w:rPr>
          <w:rFonts w:ascii="Georgia" w:hAnsi="Georgia"/>
          <w:b/>
          <w:szCs w:val="24"/>
        </w:rPr>
      </w:pPr>
      <w:r w:rsidRPr="0061206A">
        <w:rPr>
          <w:rFonts w:ascii="Georgia" w:hAnsi="Georgia"/>
          <w:b/>
          <w:szCs w:val="24"/>
        </w:rPr>
        <w:t>(Previously Standard Exemption 112)</w:t>
      </w:r>
    </w:p>
    <w:p w:rsidR="00B83303" w:rsidRPr="0061206A" w:rsidRDefault="00B83303" w:rsidP="0061206A">
      <w:pPr>
        <w:widowControl w:val="0"/>
        <w:spacing w:after="360"/>
        <w:jc w:val="center"/>
        <w:rPr>
          <w:rFonts w:ascii="Georgia" w:hAnsi="Georgia"/>
          <w:szCs w:val="24"/>
        </w:rPr>
      </w:pPr>
      <w:r w:rsidRPr="0061206A">
        <w:rPr>
          <w:rFonts w:ascii="Georgia" w:hAnsi="Georgia"/>
          <w:b/>
          <w:szCs w:val="24"/>
        </w:rPr>
        <w:t>Railcar or Truck Unloading Facilities</w:t>
      </w:r>
    </w:p>
    <w:p w:rsidR="00B83303" w:rsidRPr="0061206A" w:rsidRDefault="00B83303">
      <w:pPr>
        <w:widowControl w:val="0"/>
        <w:spacing w:line="240" w:lineRule="exact"/>
        <w:jc w:val="both"/>
        <w:rPr>
          <w:rFonts w:ascii="Georgia" w:hAnsi="Georgia"/>
          <w:sz w:val="22"/>
          <w:szCs w:val="22"/>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w:tblPr>
      <w:tblGrid>
        <w:gridCol w:w="8713"/>
        <w:gridCol w:w="58"/>
        <w:gridCol w:w="2029"/>
      </w:tblGrid>
      <w:tr w:rsidR="0061206A" w:rsidRPr="0061206A" w:rsidTr="001A32C2">
        <w:trPr>
          <w:tblHeader/>
          <w:jc w:val="center"/>
        </w:trPr>
        <w:tc>
          <w:tcPr>
            <w:tcW w:w="10800" w:type="dxa"/>
            <w:gridSpan w:val="3"/>
            <w:tcBorders>
              <w:top w:val="nil"/>
              <w:left w:val="nil"/>
              <w:bottom w:val="double" w:sz="6" w:space="0" w:color="auto"/>
              <w:right w:val="nil"/>
            </w:tcBorders>
            <w:shd w:val="clear" w:color="auto" w:fill="auto"/>
          </w:tcPr>
          <w:p w:rsidR="0061206A" w:rsidRDefault="0061206A" w:rsidP="0061206A">
            <w:pPr>
              <w:widowControl w:val="0"/>
              <w:spacing w:after="120"/>
              <w:rPr>
                <w:rFonts w:ascii="Georgia" w:hAnsi="Georgia"/>
                <w:sz w:val="22"/>
                <w:szCs w:val="22"/>
              </w:rPr>
            </w:pPr>
            <w:r w:rsidRPr="0061206A">
              <w:rPr>
                <w:rFonts w:ascii="Georgia" w:hAnsi="Georgia"/>
                <w:sz w:val="22"/>
                <w:szCs w:val="22"/>
              </w:rPr>
              <w:t>The following checklist has been developed so the Texas Commission on Environmental Quality (TCEQ) can confirm that you meet Exemption requirements. The questions are derived from § 106.4, previously §</w:t>
            </w:r>
            <w:r>
              <w:rPr>
                <w:rFonts w:ascii="Georgia" w:hAnsi="Georgia"/>
                <w:sz w:val="22"/>
                <w:szCs w:val="22"/>
              </w:rPr>
              <w:t> </w:t>
            </w:r>
            <w:r w:rsidRPr="0061206A">
              <w:rPr>
                <w:rFonts w:ascii="Georgia" w:hAnsi="Georgia"/>
                <w:sz w:val="22"/>
                <w:szCs w:val="22"/>
              </w:rPr>
              <w:t>116.211(a),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 116.110(a) prior to construction.</w:t>
            </w:r>
          </w:p>
          <w:p w:rsidR="00BD1CF3" w:rsidRPr="00BD1CF3" w:rsidRDefault="00BD1CF3" w:rsidP="0061206A">
            <w:pPr>
              <w:widowControl w:val="0"/>
              <w:spacing w:after="120"/>
              <w:rPr>
                <w:rFonts w:ascii="Georgia" w:hAnsi="Georgia"/>
                <w:sz w:val="22"/>
                <w:szCs w:val="22"/>
              </w:rPr>
            </w:pPr>
            <w:r w:rsidRPr="00BD1CF3">
              <w:rPr>
                <w:rFonts w:ascii="Georgia" w:hAnsi="Georgia"/>
                <w:sz w:val="22"/>
                <w:szCs w:val="22"/>
              </w:rPr>
              <w:t>For additional assistance with your application, including resources to help calculate your emissions, please visit the Small Business and Local Government Assistance (SBLGA) webpage at the following link:</w:t>
            </w:r>
            <w:r w:rsidRPr="00BD1CF3">
              <w:rPr>
                <w:rFonts w:ascii="Georgia" w:hAnsi="Georgia"/>
                <w:color w:val="1F497D"/>
                <w:sz w:val="22"/>
                <w:szCs w:val="22"/>
              </w:rPr>
              <w:t xml:space="preserve">  </w:t>
            </w:r>
            <w:hyperlink r:id="rId8" w:history="1">
              <w:r w:rsidRPr="00BD1CF3">
                <w:rPr>
                  <w:rStyle w:val="Hyperlink"/>
                  <w:rFonts w:ascii="Georgia" w:hAnsi="Georgia"/>
                  <w:sz w:val="22"/>
                  <w:szCs w:val="22"/>
                  <w:u w:val="none"/>
                </w:rPr>
                <w:t>www.TexasEnviroHelp.org</w:t>
              </w:r>
            </w:hyperlink>
            <w:r w:rsidR="0046448A" w:rsidRPr="00F167B6">
              <w:rPr>
                <w:rStyle w:val="Hyperlink"/>
                <w:rFonts w:ascii="Georgia" w:hAnsi="Georgia"/>
                <w:color w:val="auto"/>
                <w:sz w:val="22"/>
                <w:szCs w:val="22"/>
                <w:u w:val="none"/>
              </w:rPr>
              <w:t>.</w:t>
            </w:r>
          </w:p>
        </w:tc>
      </w:tr>
      <w:tr w:rsidR="00AC1463" w:rsidRPr="0061206A" w:rsidTr="0061206A">
        <w:trPr>
          <w:jc w:val="center"/>
        </w:trPr>
        <w:tc>
          <w:tcPr>
            <w:tcW w:w="10800" w:type="dxa"/>
            <w:gridSpan w:val="3"/>
            <w:tcBorders>
              <w:top w:val="double" w:sz="6" w:space="0" w:color="auto"/>
              <w:bottom w:val="single" w:sz="6" w:space="0" w:color="auto"/>
            </w:tcBorders>
            <w:shd w:val="pct10" w:color="auto" w:fill="auto"/>
          </w:tcPr>
          <w:p w:rsidR="00AC1463" w:rsidRPr="0061206A" w:rsidRDefault="00431906" w:rsidP="0061206A">
            <w:pPr>
              <w:widowControl w:val="0"/>
              <w:rPr>
                <w:rFonts w:ascii="Georgia" w:hAnsi="Georgia"/>
                <w:b/>
                <w:sz w:val="22"/>
                <w:szCs w:val="22"/>
              </w:rPr>
            </w:pPr>
            <w:r w:rsidRPr="0061206A">
              <w:rPr>
                <w:rFonts w:ascii="Georgia" w:hAnsi="Georgia"/>
                <w:b/>
                <w:sz w:val="22"/>
                <w:szCs w:val="22"/>
              </w:rPr>
              <w:t xml:space="preserve">Please </w:t>
            </w:r>
            <w:r w:rsidR="0061206A">
              <w:rPr>
                <w:rFonts w:ascii="Georgia" w:hAnsi="Georgia"/>
                <w:b/>
                <w:sz w:val="22"/>
                <w:szCs w:val="22"/>
              </w:rPr>
              <w:t>c</w:t>
            </w:r>
            <w:r w:rsidRPr="0061206A">
              <w:rPr>
                <w:rFonts w:ascii="Georgia" w:hAnsi="Georgia"/>
                <w:b/>
                <w:sz w:val="22"/>
                <w:szCs w:val="22"/>
              </w:rPr>
              <w:t xml:space="preserve">heck </w:t>
            </w:r>
            <w:r w:rsidR="0061206A">
              <w:rPr>
                <w:rFonts w:ascii="Georgia" w:hAnsi="Georgia"/>
                <w:b/>
                <w:sz w:val="22"/>
                <w:szCs w:val="22"/>
              </w:rPr>
              <w:t>the most</w:t>
            </w:r>
            <w:r w:rsidRPr="0061206A">
              <w:rPr>
                <w:rFonts w:ascii="Georgia" w:hAnsi="Georgia"/>
                <w:b/>
                <w:sz w:val="22"/>
                <w:szCs w:val="22"/>
              </w:rPr>
              <w:t xml:space="preserve"> </w:t>
            </w:r>
            <w:r w:rsidR="0061206A">
              <w:rPr>
                <w:rFonts w:ascii="Georgia" w:hAnsi="Georgia"/>
                <w:b/>
                <w:sz w:val="22"/>
                <w:szCs w:val="22"/>
              </w:rPr>
              <w:t>appropriate answer</w:t>
            </w:r>
          </w:p>
        </w:tc>
      </w:tr>
      <w:tr w:rsidR="00AC1463" w:rsidRPr="0061206A" w:rsidTr="0061206A">
        <w:trPr>
          <w:jc w:val="center"/>
        </w:trPr>
        <w:tc>
          <w:tcPr>
            <w:tcW w:w="8771" w:type="dxa"/>
            <w:gridSpan w:val="2"/>
            <w:tcBorders>
              <w:top w:val="single" w:sz="6" w:space="0" w:color="auto"/>
            </w:tcBorders>
          </w:tcPr>
          <w:p w:rsidR="00AC1463" w:rsidRPr="0061206A" w:rsidRDefault="00AC1463" w:rsidP="0061206A">
            <w:pPr>
              <w:widowControl w:val="0"/>
              <w:numPr>
                <w:ilvl w:val="0"/>
                <w:numId w:val="1"/>
              </w:numPr>
              <w:tabs>
                <w:tab w:val="clear" w:pos="720"/>
                <w:tab w:val="left" w:pos="547"/>
              </w:tabs>
              <w:ind w:left="547" w:hanging="547"/>
              <w:rPr>
                <w:rFonts w:ascii="Georgia" w:hAnsi="Georgia"/>
                <w:sz w:val="22"/>
                <w:szCs w:val="22"/>
              </w:rPr>
            </w:pPr>
            <w:r w:rsidRPr="0061206A">
              <w:rPr>
                <w:rFonts w:ascii="Georgia" w:hAnsi="Georgia"/>
                <w:sz w:val="22"/>
                <w:szCs w:val="22"/>
              </w:rPr>
              <w:t>This facility unloads wet sand, gravel, aggregate, coal, lignite, and scrap steel (but not including metal ores, metal oxides, battery parts, or fine dry materials) into trucks or railcars for transportation to other locations?</w:t>
            </w:r>
          </w:p>
        </w:tc>
        <w:tc>
          <w:tcPr>
            <w:tcW w:w="2029" w:type="dxa"/>
            <w:tcBorders>
              <w:top w:val="single" w:sz="6" w:space="0" w:color="auto"/>
            </w:tcBorders>
          </w:tcPr>
          <w:p w:rsidR="00AC1463" w:rsidRPr="0061206A" w:rsidRDefault="00D41852" w:rsidP="0061206A">
            <w:pPr>
              <w:widowControl w:val="0"/>
              <w:rPr>
                <w:rFonts w:ascii="Georgia" w:hAnsi="Georgia"/>
                <w:sz w:val="22"/>
                <w:szCs w:val="22"/>
              </w:rPr>
            </w:pPr>
            <w:r w:rsidRPr="0061206A">
              <w:rPr>
                <w:rFonts w:ascii="Georgia" w:hAnsi="Georgia"/>
                <w:sz w:val="22"/>
                <w:szCs w:val="22"/>
              </w:rPr>
              <w:fldChar w:fldCharType="begin">
                <w:ffData>
                  <w:name w:val="Check1"/>
                  <w:enabled/>
                  <w:calcOnExit w:val="0"/>
                  <w:checkBox>
                    <w:sizeAuto/>
                    <w:default w:val="0"/>
                  </w:checkBox>
                </w:ffData>
              </w:fldChar>
            </w:r>
            <w:bookmarkStart w:id="1" w:name="Check1"/>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bookmarkEnd w:id="1"/>
            <w:r w:rsidRPr="0061206A">
              <w:rPr>
                <w:rFonts w:ascii="Georgia" w:hAnsi="Georgia"/>
                <w:sz w:val="22"/>
                <w:szCs w:val="22"/>
              </w:rPr>
              <w:t xml:space="preserve"> YES </w:t>
            </w:r>
            <w:r w:rsidRPr="0061206A">
              <w:rPr>
                <w:rFonts w:ascii="Georgia" w:hAnsi="Georgia"/>
                <w:sz w:val="22"/>
                <w:szCs w:val="22"/>
              </w:rPr>
              <w:fldChar w:fldCharType="begin">
                <w:ffData>
                  <w:name w:val="Check2"/>
                  <w:enabled/>
                  <w:calcOnExit w:val="0"/>
                  <w:checkBox>
                    <w:sizeAuto/>
                    <w:default w:val="0"/>
                  </w:checkBox>
                </w:ffData>
              </w:fldChar>
            </w:r>
            <w:bookmarkStart w:id="2" w:name="Check2"/>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bookmarkEnd w:id="2"/>
            <w:r w:rsidRPr="0061206A">
              <w:rPr>
                <w:rFonts w:ascii="Georgia" w:hAnsi="Georgia"/>
                <w:sz w:val="22"/>
                <w:szCs w:val="22"/>
              </w:rPr>
              <w:t xml:space="preserve"> NO</w:t>
            </w:r>
          </w:p>
        </w:tc>
      </w:tr>
      <w:tr w:rsidR="00AC1463" w:rsidRPr="0061206A" w:rsidTr="0061206A">
        <w:trPr>
          <w:jc w:val="center"/>
        </w:trPr>
        <w:tc>
          <w:tcPr>
            <w:tcW w:w="8771" w:type="dxa"/>
            <w:gridSpan w:val="2"/>
          </w:tcPr>
          <w:p w:rsidR="00AC1463" w:rsidRPr="0061206A" w:rsidRDefault="00827E2A" w:rsidP="0061206A">
            <w:pPr>
              <w:widowControl w:val="0"/>
              <w:numPr>
                <w:ilvl w:val="0"/>
                <w:numId w:val="1"/>
              </w:numPr>
              <w:tabs>
                <w:tab w:val="clear" w:pos="720"/>
                <w:tab w:val="left" w:pos="547"/>
              </w:tabs>
              <w:ind w:left="547" w:hanging="547"/>
              <w:rPr>
                <w:rFonts w:ascii="Georgia" w:hAnsi="Georgia"/>
                <w:sz w:val="22"/>
                <w:szCs w:val="22"/>
              </w:rPr>
            </w:pPr>
            <w:r w:rsidRPr="0061206A">
              <w:rPr>
                <w:rFonts w:ascii="Georgia" w:hAnsi="Georgia"/>
                <w:sz w:val="22"/>
                <w:szCs w:val="22"/>
              </w:rPr>
              <w:t>Bulk materials shall not be stored on-</w:t>
            </w:r>
            <w:r w:rsidR="00C96568" w:rsidRPr="0061206A">
              <w:rPr>
                <w:rFonts w:ascii="Georgia" w:hAnsi="Georgia"/>
                <w:sz w:val="22"/>
                <w:szCs w:val="22"/>
              </w:rPr>
              <w:t>site.</w:t>
            </w:r>
          </w:p>
        </w:tc>
        <w:tc>
          <w:tcPr>
            <w:tcW w:w="2029" w:type="dxa"/>
          </w:tcPr>
          <w:p w:rsidR="00AC1463" w:rsidRPr="0061206A" w:rsidRDefault="000B6646" w:rsidP="0061206A">
            <w:pPr>
              <w:widowControl w:val="0"/>
              <w:rPr>
                <w:rFonts w:ascii="Georgia" w:hAnsi="Georgia"/>
                <w:sz w:val="22"/>
                <w:szCs w:val="22"/>
              </w:rPr>
            </w:pPr>
            <w:r w:rsidRPr="0061206A">
              <w:rPr>
                <w:rFonts w:ascii="Georgia" w:hAnsi="Georgia"/>
                <w:sz w:val="22"/>
                <w:szCs w:val="22"/>
              </w:rPr>
              <w:fldChar w:fldCharType="begin">
                <w:ffData>
                  <w:name w:val="Check1"/>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YES </w:t>
            </w:r>
            <w:r w:rsidRPr="0061206A">
              <w:rPr>
                <w:rFonts w:ascii="Georgia" w:hAnsi="Georgia"/>
                <w:sz w:val="22"/>
                <w:szCs w:val="22"/>
              </w:rPr>
              <w:fldChar w:fldCharType="begin">
                <w:ffData>
                  <w:name w:val="Check2"/>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NO</w:t>
            </w:r>
          </w:p>
        </w:tc>
      </w:tr>
      <w:tr w:rsidR="00AC1463" w:rsidRPr="0061206A" w:rsidTr="0061206A">
        <w:trPr>
          <w:jc w:val="center"/>
        </w:trPr>
        <w:tc>
          <w:tcPr>
            <w:tcW w:w="8771" w:type="dxa"/>
            <w:gridSpan w:val="2"/>
          </w:tcPr>
          <w:p w:rsidR="00AC1463" w:rsidRPr="0061206A" w:rsidRDefault="000B3651" w:rsidP="0061206A">
            <w:pPr>
              <w:widowControl w:val="0"/>
              <w:numPr>
                <w:ilvl w:val="0"/>
                <w:numId w:val="1"/>
              </w:numPr>
              <w:tabs>
                <w:tab w:val="clear" w:pos="720"/>
                <w:tab w:val="left" w:pos="547"/>
              </w:tabs>
              <w:ind w:left="547" w:hanging="547"/>
              <w:rPr>
                <w:rFonts w:ascii="Georgia" w:hAnsi="Georgia"/>
                <w:sz w:val="22"/>
                <w:szCs w:val="22"/>
              </w:rPr>
            </w:pPr>
            <w:r w:rsidRPr="0061206A">
              <w:rPr>
                <w:rFonts w:ascii="Georgia" w:hAnsi="Georgia"/>
                <w:sz w:val="22"/>
                <w:szCs w:val="22"/>
              </w:rPr>
              <w:t>Water sprays or the equivalent are installed and used as necessary at material handling operations to achieve maximum control of dust emissions</w:t>
            </w:r>
          </w:p>
        </w:tc>
        <w:tc>
          <w:tcPr>
            <w:tcW w:w="2029" w:type="dxa"/>
          </w:tcPr>
          <w:p w:rsidR="00AC1463" w:rsidRPr="0061206A" w:rsidRDefault="000B6646" w:rsidP="0061206A">
            <w:pPr>
              <w:widowControl w:val="0"/>
              <w:rPr>
                <w:rFonts w:ascii="Georgia" w:hAnsi="Georgia"/>
                <w:sz w:val="22"/>
                <w:szCs w:val="22"/>
              </w:rPr>
            </w:pPr>
            <w:r w:rsidRPr="0061206A">
              <w:rPr>
                <w:rFonts w:ascii="Georgia" w:hAnsi="Georgia"/>
                <w:sz w:val="22"/>
                <w:szCs w:val="22"/>
              </w:rPr>
              <w:fldChar w:fldCharType="begin">
                <w:ffData>
                  <w:name w:val="Check1"/>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YES </w:t>
            </w:r>
            <w:r w:rsidRPr="0061206A">
              <w:rPr>
                <w:rFonts w:ascii="Georgia" w:hAnsi="Georgia"/>
                <w:sz w:val="22"/>
                <w:szCs w:val="22"/>
              </w:rPr>
              <w:fldChar w:fldCharType="begin">
                <w:ffData>
                  <w:name w:val="Check2"/>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NO</w:t>
            </w:r>
          </w:p>
        </w:tc>
      </w:tr>
      <w:tr w:rsidR="00AC1463" w:rsidRPr="0061206A" w:rsidTr="0061206A">
        <w:trPr>
          <w:jc w:val="center"/>
        </w:trPr>
        <w:tc>
          <w:tcPr>
            <w:tcW w:w="8771" w:type="dxa"/>
            <w:gridSpan w:val="2"/>
          </w:tcPr>
          <w:p w:rsidR="00AC1463" w:rsidRPr="0061206A" w:rsidRDefault="000B3651" w:rsidP="0061206A">
            <w:pPr>
              <w:widowControl w:val="0"/>
              <w:numPr>
                <w:ilvl w:val="0"/>
                <w:numId w:val="1"/>
              </w:numPr>
              <w:tabs>
                <w:tab w:val="clear" w:pos="720"/>
                <w:tab w:val="left" w:pos="547"/>
              </w:tabs>
              <w:ind w:left="547" w:hanging="547"/>
              <w:rPr>
                <w:rFonts w:ascii="Georgia" w:hAnsi="Georgia"/>
                <w:sz w:val="22"/>
                <w:szCs w:val="22"/>
              </w:rPr>
            </w:pPr>
            <w:r w:rsidRPr="0061206A">
              <w:rPr>
                <w:rFonts w:ascii="Georgia" w:hAnsi="Georgia"/>
                <w:sz w:val="22"/>
                <w:szCs w:val="22"/>
              </w:rPr>
              <w:t>All permanent in-plant roads and vehicle work areas will be paved and cleaned?</w:t>
            </w:r>
          </w:p>
        </w:tc>
        <w:tc>
          <w:tcPr>
            <w:tcW w:w="2029" w:type="dxa"/>
          </w:tcPr>
          <w:p w:rsidR="00AC1463" w:rsidRPr="0061206A" w:rsidRDefault="000B6646" w:rsidP="0061206A">
            <w:pPr>
              <w:widowControl w:val="0"/>
              <w:rPr>
                <w:rFonts w:ascii="Georgia" w:hAnsi="Georgia"/>
                <w:sz w:val="22"/>
                <w:szCs w:val="22"/>
              </w:rPr>
            </w:pPr>
            <w:r w:rsidRPr="0061206A">
              <w:rPr>
                <w:rFonts w:ascii="Georgia" w:hAnsi="Georgia"/>
                <w:sz w:val="22"/>
                <w:szCs w:val="22"/>
              </w:rPr>
              <w:fldChar w:fldCharType="begin">
                <w:ffData>
                  <w:name w:val="Check1"/>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YES </w:t>
            </w:r>
            <w:r w:rsidRPr="0061206A">
              <w:rPr>
                <w:rFonts w:ascii="Georgia" w:hAnsi="Georgia"/>
                <w:sz w:val="22"/>
                <w:szCs w:val="22"/>
              </w:rPr>
              <w:fldChar w:fldCharType="begin">
                <w:ffData>
                  <w:name w:val="Check2"/>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NO</w:t>
            </w:r>
          </w:p>
        </w:tc>
      </w:tr>
      <w:tr w:rsidR="00AC1463" w:rsidRPr="0061206A" w:rsidTr="0061206A">
        <w:trPr>
          <w:jc w:val="center"/>
        </w:trPr>
        <w:tc>
          <w:tcPr>
            <w:tcW w:w="8771" w:type="dxa"/>
            <w:gridSpan w:val="2"/>
          </w:tcPr>
          <w:p w:rsidR="00AC1463" w:rsidRPr="0061206A" w:rsidRDefault="000B3651" w:rsidP="0061206A">
            <w:pPr>
              <w:widowControl w:val="0"/>
              <w:numPr>
                <w:ilvl w:val="0"/>
                <w:numId w:val="1"/>
              </w:numPr>
              <w:tabs>
                <w:tab w:val="clear" w:pos="720"/>
                <w:tab w:val="left" w:pos="547"/>
              </w:tabs>
              <w:ind w:left="547" w:hanging="547"/>
              <w:rPr>
                <w:rFonts w:ascii="Georgia" w:hAnsi="Georgia"/>
                <w:sz w:val="22"/>
                <w:szCs w:val="22"/>
              </w:rPr>
            </w:pPr>
            <w:r w:rsidRPr="0061206A">
              <w:rPr>
                <w:rFonts w:ascii="Georgia" w:hAnsi="Georgia"/>
                <w:sz w:val="22"/>
                <w:szCs w:val="22"/>
              </w:rPr>
              <w:t>All permanent in-plant roads and vehicle work areas will be oiled?</w:t>
            </w:r>
          </w:p>
        </w:tc>
        <w:tc>
          <w:tcPr>
            <w:tcW w:w="2029" w:type="dxa"/>
          </w:tcPr>
          <w:p w:rsidR="00AC1463" w:rsidRPr="0061206A" w:rsidRDefault="000B6646" w:rsidP="0061206A">
            <w:pPr>
              <w:widowControl w:val="0"/>
              <w:rPr>
                <w:rFonts w:ascii="Georgia" w:hAnsi="Georgia"/>
                <w:sz w:val="22"/>
                <w:szCs w:val="22"/>
              </w:rPr>
            </w:pPr>
            <w:r w:rsidRPr="0061206A">
              <w:rPr>
                <w:rFonts w:ascii="Georgia" w:hAnsi="Georgia"/>
                <w:sz w:val="22"/>
                <w:szCs w:val="22"/>
              </w:rPr>
              <w:fldChar w:fldCharType="begin">
                <w:ffData>
                  <w:name w:val="Check1"/>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YES </w:t>
            </w:r>
            <w:r w:rsidRPr="0061206A">
              <w:rPr>
                <w:rFonts w:ascii="Georgia" w:hAnsi="Georgia"/>
                <w:sz w:val="22"/>
                <w:szCs w:val="22"/>
              </w:rPr>
              <w:fldChar w:fldCharType="begin">
                <w:ffData>
                  <w:name w:val="Check2"/>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NO</w:t>
            </w:r>
          </w:p>
        </w:tc>
      </w:tr>
      <w:tr w:rsidR="00AC1463" w:rsidRPr="0061206A" w:rsidTr="0061206A">
        <w:trPr>
          <w:jc w:val="center"/>
        </w:trPr>
        <w:tc>
          <w:tcPr>
            <w:tcW w:w="8771" w:type="dxa"/>
            <w:gridSpan w:val="2"/>
          </w:tcPr>
          <w:p w:rsidR="00AC1463" w:rsidRPr="0061206A" w:rsidRDefault="000B3651" w:rsidP="00D31AE4">
            <w:pPr>
              <w:widowControl w:val="0"/>
              <w:numPr>
                <w:ilvl w:val="0"/>
                <w:numId w:val="1"/>
              </w:numPr>
              <w:tabs>
                <w:tab w:val="clear" w:pos="720"/>
                <w:tab w:val="left" w:pos="547"/>
              </w:tabs>
              <w:ind w:left="547" w:hanging="547"/>
              <w:rPr>
                <w:rFonts w:ascii="Georgia" w:hAnsi="Georgia"/>
                <w:sz w:val="22"/>
                <w:szCs w:val="22"/>
              </w:rPr>
            </w:pPr>
            <w:r w:rsidRPr="0061206A">
              <w:rPr>
                <w:rFonts w:ascii="Georgia" w:hAnsi="Georgia"/>
                <w:sz w:val="22"/>
                <w:szCs w:val="22"/>
              </w:rPr>
              <w:t>All permanent in-plant roads and vehicle work areas will be treated with dust</w:t>
            </w:r>
            <w:r w:rsidR="00D31AE4">
              <w:rPr>
                <w:rFonts w:ascii="Georgia" w:hAnsi="Georgia"/>
                <w:sz w:val="22"/>
                <w:szCs w:val="22"/>
              </w:rPr>
              <w:noBreakHyphen/>
            </w:r>
            <w:r w:rsidRPr="0061206A">
              <w:rPr>
                <w:rFonts w:ascii="Georgia" w:hAnsi="Georgia"/>
                <w:sz w:val="22"/>
                <w:szCs w:val="22"/>
              </w:rPr>
              <w:t>suppressant chemicals?</w:t>
            </w:r>
          </w:p>
        </w:tc>
        <w:tc>
          <w:tcPr>
            <w:tcW w:w="2029" w:type="dxa"/>
          </w:tcPr>
          <w:p w:rsidR="00AC1463" w:rsidRPr="0061206A" w:rsidRDefault="000B6646" w:rsidP="0061206A">
            <w:pPr>
              <w:widowControl w:val="0"/>
              <w:rPr>
                <w:rFonts w:ascii="Georgia" w:hAnsi="Georgia"/>
                <w:sz w:val="22"/>
                <w:szCs w:val="22"/>
              </w:rPr>
            </w:pPr>
            <w:r w:rsidRPr="0061206A">
              <w:rPr>
                <w:rFonts w:ascii="Georgia" w:hAnsi="Georgia"/>
                <w:sz w:val="22"/>
                <w:szCs w:val="22"/>
              </w:rPr>
              <w:fldChar w:fldCharType="begin">
                <w:ffData>
                  <w:name w:val="Check1"/>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YES </w:t>
            </w:r>
            <w:r w:rsidRPr="0061206A">
              <w:rPr>
                <w:rFonts w:ascii="Georgia" w:hAnsi="Georgia"/>
                <w:sz w:val="22"/>
                <w:szCs w:val="22"/>
              </w:rPr>
              <w:fldChar w:fldCharType="begin">
                <w:ffData>
                  <w:name w:val="Check2"/>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NO</w:t>
            </w:r>
          </w:p>
        </w:tc>
      </w:tr>
      <w:tr w:rsidR="000B3651" w:rsidRPr="0061206A" w:rsidTr="0061206A">
        <w:trPr>
          <w:jc w:val="center"/>
        </w:trPr>
        <w:tc>
          <w:tcPr>
            <w:tcW w:w="8771" w:type="dxa"/>
            <w:gridSpan w:val="2"/>
          </w:tcPr>
          <w:p w:rsidR="000B3651" w:rsidRPr="0061206A" w:rsidRDefault="000B3651" w:rsidP="0061206A">
            <w:pPr>
              <w:widowControl w:val="0"/>
              <w:numPr>
                <w:ilvl w:val="0"/>
                <w:numId w:val="1"/>
              </w:numPr>
              <w:tabs>
                <w:tab w:val="clear" w:pos="720"/>
                <w:tab w:val="left" w:pos="547"/>
              </w:tabs>
              <w:ind w:left="547" w:hanging="547"/>
              <w:rPr>
                <w:rFonts w:ascii="Georgia" w:hAnsi="Georgia"/>
                <w:sz w:val="22"/>
                <w:szCs w:val="22"/>
              </w:rPr>
            </w:pPr>
            <w:r w:rsidRPr="0061206A">
              <w:rPr>
                <w:rFonts w:ascii="Georgia" w:hAnsi="Georgia"/>
                <w:sz w:val="22"/>
                <w:szCs w:val="22"/>
              </w:rPr>
              <w:t xml:space="preserve">All permanent in-plant roads and vehicle work areas will be sprinkled with </w:t>
            </w:r>
            <w:r w:rsidR="00C96568" w:rsidRPr="0061206A">
              <w:rPr>
                <w:rFonts w:ascii="Georgia" w:hAnsi="Georgia"/>
                <w:sz w:val="22"/>
                <w:szCs w:val="22"/>
              </w:rPr>
              <w:t>water.</w:t>
            </w:r>
          </w:p>
        </w:tc>
        <w:tc>
          <w:tcPr>
            <w:tcW w:w="2029" w:type="dxa"/>
          </w:tcPr>
          <w:p w:rsidR="000B3651" w:rsidRPr="0061206A" w:rsidRDefault="000B6646" w:rsidP="0061206A">
            <w:pPr>
              <w:widowControl w:val="0"/>
              <w:rPr>
                <w:rFonts w:ascii="Georgia" w:hAnsi="Georgia"/>
                <w:sz w:val="22"/>
                <w:szCs w:val="22"/>
              </w:rPr>
            </w:pPr>
            <w:r w:rsidRPr="0061206A">
              <w:rPr>
                <w:rFonts w:ascii="Georgia" w:hAnsi="Georgia"/>
                <w:sz w:val="22"/>
                <w:szCs w:val="22"/>
              </w:rPr>
              <w:fldChar w:fldCharType="begin">
                <w:ffData>
                  <w:name w:val="Check1"/>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YES </w:t>
            </w:r>
            <w:r w:rsidRPr="0061206A">
              <w:rPr>
                <w:rFonts w:ascii="Georgia" w:hAnsi="Georgia"/>
                <w:sz w:val="22"/>
                <w:szCs w:val="22"/>
              </w:rPr>
              <w:fldChar w:fldCharType="begin">
                <w:ffData>
                  <w:name w:val="Check2"/>
                  <w:enabled/>
                  <w:calcOnExit w:val="0"/>
                  <w:checkBox>
                    <w:sizeAuto/>
                    <w:default w:val="0"/>
                  </w:checkBox>
                </w:ffData>
              </w:fldChar>
            </w:r>
            <w:r w:rsidRPr="0061206A">
              <w:rPr>
                <w:rFonts w:ascii="Georgia" w:hAnsi="Georgia"/>
                <w:sz w:val="22"/>
                <w:szCs w:val="22"/>
              </w:rPr>
              <w:instrText xml:space="preserve"> FORMCHECKBOX </w:instrText>
            </w:r>
            <w:r w:rsidR="00AF633B">
              <w:rPr>
                <w:rFonts w:ascii="Georgia" w:hAnsi="Georgia"/>
                <w:sz w:val="22"/>
                <w:szCs w:val="22"/>
              </w:rPr>
            </w:r>
            <w:r w:rsidR="00AF633B">
              <w:rPr>
                <w:rFonts w:ascii="Georgia" w:hAnsi="Georgia"/>
                <w:sz w:val="22"/>
                <w:szCs w:val="22"/>
              </w:rPr>
              <w:fldChar w:fldCharType="separate"/>
            </w:r>
            <w:r w:rsidRPr="0061206A">
              <w:rPr>
                <w:rFonts w:ascii="Georgia" w:hAnsi="Georgia"/>
                <w:sz w:val="22"/>
                <w:szCs w:val="22"/>
              </w:rPr>
              <w:fldChar w:fldCharType="end"/>
            </w:r>
            <w:r w:rsidRPr="0061206A">
              <w:rPr>
                <w:rFonts w:ascii="Georgia" w:hAnsi="Georgia"/>
                <w:sz w:val="22"/>
                <w:szCs w:val="22"/>
              </w:rPr>
              <w:t xml:space="preserve"> NO</w:t>
            </w:r>
          </w:p>
        </w:tc>
      </w:tr>
      <w:tr w:rsidR="0061206A" w:rsidRPr="0061206A" w:rsidTr="00767473">
        <w:trPr>
          <w:jc w:val="center"/>
        </w:trPr>
        <w:tc>
          <w:tcPr>
            <w:tcW w:w="10800" w:type="dxa"/>
            <w:gridSpan w:val="3"/>
          </w:tcPr>
          <w:p w:rsidR="0061206A" w:rsidRPr="0061206A" w:rsidRDefault="0061206A" w:rsidP="0061206A">
            <w:pPr>
              <w:widowControl w:val="0"/>
              <w:rPr>
                <w:rFonts w:ascii="Georgia" w:hAnsi="Georgia"/>
                <w:sz w:val="22"/>
                <w:szCs w:val="22"/>
              </w:rPr>
            </w:pPr>
            <w:r w:rsidRPr="0061206A">
              <w:rPr>
                <w:rFonts w:ascii="Georgia" w:hAnsi="Georgia"/>
                <w:sz w:val="22"/>
                <w:szCs w:val="22"/>
              </w:rPr>
              <w:t>Name:</w:t>
            </w:r>
          </w:p>
        </w:tc>
      </w:tr>
      <w:tr w:rsidR="0061206A" w:rsidRPr="0061206A" w:rsidTr="00ED2CEC">
        <w:trPr>
          <w:jc w:val="center"/>
        </w:trPr>
        <w:tc>
          <w:tcPr>
            <w:tcW w:w="10800" w:type="dxa"/>
            <w:gridSpan w:val="3"/>
          </w:tcPr>
          <w:p w:rsidR="0061206A" w:rsidRPr="0061206A" w:rsidRDefault="0061206A" w:rsidP="0061206A">
            <w:pPr>
              <w:widowControl w:val="0"/>
              <w:rPr>
                <w:rFonts w:ascii="Georgia" w:hAnsi="Georgia"/>
                <w:sz w:val="22"/>
                <w:szCs w:val="22"/>
              </w:rPr>
            </w:pPr>
            <w:r w:rsidRPr="0061206A">
              <w:rPr>
                <w:rFonts w:ascii="Georgia" w:hAnsi="Georgia"/>
                <w:sz w:val="22"/>
                <w:szCs w:val="22"/>
              </w:rPr>
              <w:t>Company:</w:t>
            </w:r>
          </w:p>
        </w:tc>
      </w:tr>
      <w:tr w:rsidR="0061206A" w:rsidRPr="0061206A" w:rsidTr="00ED2CEC">
        <w:trPr>
          <w:jc w:val="center"/>
        </w:trPr>
        <w:tc>
          <w:tcPr>
            <w:tcW w:w="10800" w:type="dxa"/>
            <w:gridSpan w:val="3"/>
          </w:tcPr>
          <w:p w:rsidR="0061206A" w:rsidRPr="0061206A" w:rsidRDefault="0061206A" w:rsidP="0061206A">
            <w:pPr>
              <w:widowControl w:val="0"/>
              <w:rPr>
                <w:rFonts w:ascii="Georgia" w:hAnsi="Georgia"/>
                <w:sz w:val="22"/>
                <w:szCs w:val="22"/>
              </w:rPr>
            </w:pPr>
            <w:r w:rsidRPr="0061206A">
              <w:rPr>
                <w:rFonts w:ascii="Georgia" w:hAnsi="Georgia"/>
                <w:sz w:val="22"/>
                <w:szCs w:val="22"/>
              </w:rPr>
              <w:t>Title:</w:t>
            </w:r>
          </w:p>
        </w:tc>
      </w:tr>
      <w:tr w:rsidR="0061206A" w:rsidRPr="0061206A" w:rsidTr="002F3234">
        <w:trPr>
          <w:jc w:val="center"/>
        </w:trPr>
        <w:tc>
          <w:tcPr>
            <w:tcW w:w="10800" w:type="dxa"/>
            <w:gridSpan w:val="3"/>
          </w:tcPr>
          <w:p w:rsidR="0061206A" w:rsidRPr="0061206A" w:rsidRDefault="0061206A" w:rsidP="0061206A">
            <w:pPr>
              <w:widowControl w:val="0"/>
              <w:rPr>
                <w:rFonts w:ascii="Georgia" w:hAnsi="Georgia"/>
                <w:sz w:val="22"/>
                <w:szCs w:val="22"/>
              </w:rPr>
            </w:pPr>
            <w:r w:rsidRPr="0061206A">
              <w:rPr>
                <w:rFonts w:ascii="Georgia" w:hAnsi="Georgia"/>
                <w:sz w:val="22"/>
                <w:szCs w:val="22"/>
              </w:rPr>
              <w:t>Facility:</w:t>
            </w:r>
          </w:p>
        </w:tc>
      </w:tr>
      <w:tr w:rsidR="0061206A" w:rsidRPr="0061206A" w:rsidTr="002F3234">
        <w:trPr>
          <w:jc w:val="center"/>
        </w:trPr>
        <w:tc>
          <w:tcPr>
            <w:tcW w:w="10800" w:type="dxa"/>
            <w:gridSpan w:val="3"/>
          </w:tcPr>
          <w:p w:rsidR="0061206A" w:rsidRPr="0061206A" w:rsidRDefault="0061206A" w:rsidP="0061206A">
            <w:pPr>
              <w:widowControl w:val="0"/>
              <w:rPr>
                <w:rFonts w:ascii="Georgia" w:hAnsi="Georgia"/>
                <w:sz w:val="22"/>
                <w:szCs w:val="22"/>
              </w:rPr>
            </w:pPr>
            <w:r w:rsidRPr="0061206A">
              <w:rPr>
                <w:rFonts w:ascii="Georgia" w:hAnsi="Georgia"/>
                <w:sz w:val="22"/>
                <w:szCs w:val="22"/>
              </w:rPr>
              <w:t>Phone No.:</w:t>
            </w:r>
          </w:p>
        </w:tc>
      </w:tr>
      <w:tr w:rsidR="0061206A" w:rsidRPr="0061206A" w:rsidTr="002F3234">
        <w:trPr>
          <w:jc w:val="center"/>
        </w:trPr>
        <w:tc>
          <w:tcPr>
            <w:tcW w:w="10800" w:type="dxa"/>
            <w:gridSpan w:val="3"/>
          </w:tcPr>
          <w:p w:rsidR="0061206A" w:rsidRPr="0061206A" w:rsidRDefault="0061206A" w:rsidP="0061206A">
            <w:pPr>
              <w:widowControl w:val="0"/>
              <w:rPr>
                <w:rFonts w:ascii="Georgia" w:hAnsi="Georgia"/>
                <w:sz w:val="22"/>
                <w:szCs w:val="22"/>
              </w:rPr>
            </w:pPr>
            <w:r w:rsidRPr="0061206A">
              <w:rPr>
                <w:rFonts w:ascii="Georgia" w:hAnsi="Georgia"/>
                <w:sz w:val="22"/>
                <w:szCs w:val="22"/>
              </w:rPr>
              <w:t>Fax No.:</w:t>
            </w:r>
          </w:p>
        </w:tc>
      </w:tr>
      <w:tr w:rsidR="0061206A" w:rsidRPr="0061206A" w:rsidTr="002F3234">
        <w:trPr>
          <w:jc w:val="center"/>
        </w:trPr>
        <w:tc>
          <w:tcPr>
            <w:tcW w:w="10800" w:type="dxa"/>
            <w:gridSpan w:val="3"/>
          </w:tcPr>
          <w:p w:rsidR="0061206A" w:rsidRPr="0061206A" w:rsidRDefault="0061206A" w:rsidP="0061206A">
            <w:pPr>
              <w:widowControl w:val="0"/>
              <w:rPr>
                <w:rFonts w:ascii="Georgia" w:hAnsi="Georgia"/>
                <w:sz w:val="22"/>
                <w:szCs w:val="22"/>
              </w:rPr>
            </w:pPr>
            <w:r>
              <w:rPr>
                <w:rFonts w:ascii="Georgia" w:hAnsi="Georgia"/>
                <w:sz w:val="22"/>
                <w:szCs w:val="22"/>
              </w:rPr>
              <w:t>E-mail Address:</w:t>
            </w:r>
          </w:p>
        </w:tc>
      </w:tr>
      <w:tr w:rsidR="0061206A" w:rsidRPr="0061206A" w:rsidTr="00D01629">
        <w:trPr>
          <w:jc w:val="center"/>
        </w:trPr>
        <w:tc>
          <w:tcPr>
            <w:tcW w:w="10800" w:type="dxa"/>
            <w:gridSpan w:val="3"/>
          </w:tcPr>
          <w:p w:rsidR="0061206A" w:rsidRPr="0061206A" w:rsidRDefault="0061206A" w:rsidP="0061206A">
            <w:pPr>
              <w:widowControl w:val="0"/>
              <w:rPr>
                <w:rFonts w:ascii="Georgia" w:hAnsi="Georgia"/>
                <w:sz w:val="22"/>
                <w:szCs w:val="22"/>
              </w:rPr>
            </w:pPr>
            <w:r w:rsidRPr="0061206A">
              <w:rPr>
                <w:rFonts w:ascii="Georgia" w:hAnsi="Georgia"/>
                <w:sz w:val="22"/>
                <w:szCs w:val="22"/>
              </w:rPr>
              <w:t>Account ID No.:</w:t>
            </w:r>
          </w:p>
        </w:tc>
      </w:tr>
      <w:tr w:rsidR="00BD1F17" w:rsidRPr="0061206A" w:rsidTr="0061206A">
        <w:trPr>
          <w:jc w:val="center"/>
        </w:trPr>
        <w:tc>
          <w:tcPr>
            <w:tcW w:w="10800" w:type="dxa"/>
            <w:gridSpan w:val="3"/>
            <w:tcBorders>
              <w:bottom w:val="single" w:sz="6" w:space="0" w:color="auto"/>
            </w:tcBorders>
          </w:tcPr>
          <w:p w:rsidR="00BD1F17" w:rsidRPr="0061206A" w:rsidRDefault="00BD1F17" w:rsidP="0061206A">
            <w:pPr>
              <w:widowControl w:val="0"/>
              <w:rPr>
                <w:rFonts w:ascii="Georgia" w:hAnsi="Georgia"/>
                <w:sz w:val="22"/>
                <w:szCs w:val="22"/>
              </w:rPr>
            </w:pPr>
            <w:r w:rsidRPr="0061206A">
              <w:rPr>
                <w:rFonts w:ascii="Georgia" w:hAnsi="Georgia"/>
                <w:sz w:val="22"/>
                <w:szCs w:val="22"/>
              </w:rPr>
              <w:t>Location:</w:t>
            </w:r>
          </w:p>
        </w:tc>
      </w:tr>
      <w:tr w:rsidR="000B3651" w:rsidRPr="0061206A" w:rsidTr="00F70FBF">
        <w:trPr>
          <w:jc w:val="center"/>
        </w:trPr>
        <w:tc>
          <w:tcPr>
            <w:tcW w:w="8713" w:type="dxa"/>
            <w:tcBorders>
              <w:top w:val="single" w:sz="6" w:space="0" w:color="auto"/>
              <w:bottom w:val="double" w:sz="6" w:space="0" w:color="auto"/>
            </w:tcBorders>
          </w:tcPr>
          <w:p w:rsidR="000B3651" w:rsidRPr="0061206A" w:rsidRDefault="00BD1F17" w:rsidP="0061206A">
            <w:pPr>
              <w:widowControl w:val="0"/>
              <w:rPr>
                <w:rFonts w:ascii="Georgia" w:hAnsi="Georgia"/>
                <w:sz w:val="22"/>
                <w:szCs w:val="22"/>
              </w:rPr>
            </w:pPr>
            <w:r w:rsidRPr="0061206A">
              <w:rPr>
                <w:rFonts w:ascii="Georgia" w:hAnsi="Georgia"/>
                <w:sz w:val="22"/>
                <w:szCs w:val="22"/>
              </w:rPr>
              <w:t>Signature of Company Officer:</w:t>
            </w:r>
          </w:p>
        </w:tc>
        <w:tc>
          <w:tcPr>
            <w:tcW w:w="2087" w:type="dxa"/>
            <w:gridSpan w:val="2"/>
            <w:tcBorders>
              <w:top w:val="single" w:sz="6" w:space="0" w:color="auto"/>
              <w:bottom w:val="double" w:sz="6" w:space="0" w:color="auto"/>
            </w:tcBorders>
          </w:tcPr>
          <w:p w:rsidR="000B3651" w:rsidRPr="0061206A" w:rsidRDefault="00BD1F17" w:rsidP="0061206A">
            <w:pPr>
              <w:widowControl w:val="0"/>
              <w:rPr>
                <w:rFonts w:ascii="Georgia" w:hAnsi="Georgia"/>
                <w:sz w:val="22"/>
                <w:szCs w:val="22"/>
              </w:rPr>
            </w:pPr>
            <w:r w:rsidRPr="0061206A">
              <w:rPr>
                <w:rFonts w:ascii="Georgia" w:hAnsi="Georgia"/>
                <w:sz w:val="22"/>
                <w:szCs w:val="22"/>
              </w:rPr>
              <w:t>Date:</w:t>
            </w:r>
          </w:p>
        </w:tc>
      </w:tr>
    </w:tbl>
    <w:p w:rsidR="00B83303" w:rsidRPr="0061206A" w:rsidRDefault="00B83303">
      <w:pPr>
        <w:widowControl w:val="0"/>
        <w:spacing w:line="0" w:lineRule="atLeast"/>
        <w:jc w:val="both"/>
        <w:rPr>
          <w:rFonts w:ascii="Georgia" w:hAnsi="Georgia"/>
          <w:sz w:val="22"/>
          <w:szCs w:val="22"/>
        </w:rPr>
      </w:pPr>
    </w:p>
    <w:sectPr w:rsidR="00B83303" w:rsidRPr="0061206A" w:rsidSect="00CF6EF5">
      <w:headerReference w:type="even" r:id="rId9"/>
      <w:headerReference w:type="default" r:id="rId10"/>
      <w:footerReference w:type="even" r:id="rId11"/>
      <w:footerReference w:type="default" r:id="rId12"/>
      <w:footerReference w:type="first" r:id="rId13"/>
      <w:footnotePr>
        <w:numFmt w:val="lowerLetter"/>
      </w:footnotePr>
      <w:endnotePr>
        <w:numFmt w:val="lowerLetter"/>
      </w:endnotePr>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52" w:rsidRDefault="00D41852">
      <w:r>
        <w:separator/>
      </w:r>
    </w:p>
  </w:endnote>
  <w:endnote w:type="continuationSeparator" w:id="0">
    <w:p w:rsidR="00D41852" w:rsidRDefault="00D4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52" w:rsidRDefault="00D41852">
    <w:pPr>
      <w:widowControl w:val="0"/>
      <w:rPr>
        <w:b/>
        <w:sz w:val="16"/>
      </w:rPr>
    </w:pPr>
    <w:r>
      <w:rPr>
        <w:b/>
        <w:sz w:val="16"/>
      </w:rPr>
      <w:t xml:space="preserve">TCEQ 10110 [Revised10/04] 106-148ckl - Permits by Rule Railcar or Truck </w:t>
    </w:r>
  </w:p>
  <w:p w:rsidR="00D41852" w:rsidRDefault="00D41852">
    <w:pPr>
      <w:widowControl w:val="0"/>
      <w:rPr>
        <w:b/>
        <w:sz w:val="16"/>
      </w:rPr>
    </w:pPr>
    <w:r>
      <w:rPr>
        <w:b/>
        <w:sz w:val="16"/>
      </w:rPr>
      <w:t>Unloading Facilities 106.148 Checklist</w:t>
    </w:r>
    <w:r>
      <w:rPr>
        <w:sz w:val="16"/>
      </w:rPr>
      <w:t xml:space="preserve">  </w:t>
    </w:r>
    <w:r>
      <w:rPr>
        <w:b/>
        <w:sz w:val="16"/>
      </w:rPr>
      <w:t xml:space="preserve">This form is for use by sources subject to air </w:t>
    </w:r>
  </w:p>
  <w:p w:rsidR="00D41852" w:rsidRDefault="00D41852">
    <w:pPr>
      <w:widowControl w:val="0"/>
    </w:pPr>
    <w:r>
      <w:rPr>
        <w:b/>
        <w:sz w:val="16"/>
      </w:rPr>
      <w:t>quality permit requirements and may be revised periodically.  [APDG 5009v3]</w:t>
    </w:r>
  </w:p>
  <w:p w:rsidR="00D41852" w:rsidRDefault="00D41852">
    <w:pPr>
      <w:framePr w:w="10800" w:h="186" w:hRule="exact" w:wrap="notBeside" w:vAnchor="page" w:hAnchor="text" w:y="15120"/>
      <w:widowControl w:val="0"/>
      <w:spacing w:line="0" w:lineRule="atLeast"/>
      <w:jc w:val="right"/>
      <w:rPr>
        <w:rFonts w:ascii="Univers" w:hAnsi="Univers"/>
        <w:vanish/>
        <w:sz w:val="22"/>
      </w:rPr>
    </w:pPr>
    <w:r>
      <w:rPr>
        <w:b/>
        <w:sz w:val="16"/>
      </w:rPr>
      <w:t xml:space="preserve">Page </w:t>
    </w:r>
    <w:r>
      <w:rPr>
        <w:b/>
        <w:sz w:val="16"/>
      </w:rPr>
      <w:pgNum/>
    </w:r>
  </w:p>
  <w:p w:rsidR="00D41852" w:rsidRDefault="00D41852">
    <w:pPr>
      <w:widowControl w:val="0"/>
      <w:rPr>
        <w:rFonts w:ascii="Univers" w:hAnsi="Univer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52" w:rsidRDefault="00D41852">
    <w:pPr>
      <w:widowControl w:val="0"/>
      <w:rPr>
        <w:b/>
        <w:sz w:val="16"/>
      </w:rPr>
    </w:pPr>
    <w:r>
      <w:rPr>
        <w:b/>
        <w:sz w:val="16"/>
      </w:rPr>
      <w:t xml:space="preserve">TCEQ 10110 [Revised10/04] 106-148ckl - Permits by Rule Railcar or Truck </w:t>
    </w:r>
  </w:p>
  <w:p w:rsidR="00D41852" w:rsidRDefault="00D41852">
    <w:pPr>
      <w:widowControl w:val="0"/>
      <w:rPr>
        <w:b/>
        <w:sz w:val="16"/>
      </w:rPr>
    </w:pPr>
    <w:r>
      <w:rPr>
        <w:b/>
        <w:sz w:val="16"/>
      </w:rPr>
      <w:t>Unloading Facilities 106.148 Checklist</w:t>
    </w:r>
    <w:r>
      <w:rPr>
        <w:sz w:val="16"/>
      </w:rPr>
      <w:t xml:space="preserve">  </w:t>
    </w:r>
    <w:r>
      <w:rPr>
        <w:b/>
        <w:sz w:val="16"/>
      </w:rPr>
      <w:t xml:space="preserve">This form is for use by sources subject to air </w:t>
    </w:r>
  </w:p>
  <w:p w:rsidR="00D41852" w:rsidRDefault="00D41852">
    <w:pPr>
      <w:widowControl w:val="0"/>
    </w:pPr>
    <w:r>
      <w:rPr>
        <w:b/>
        <w:sz w:val="16"/>
      </w:rPr>
      <w:t>quality permit requirements and may be revised periodically.  [APDG 5009v3]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52" w:rsidRPr="00AE5270" w:rsidRDefault="00D41852">
    <w:pPr>
      <w:pStyle w:val="Footer"/>
      <w:rPr>
        <w:rFonts w:ascii="Georgia" w:hAnsi="Georgia"/>
        <w:b/>
        <w:sz w:val="16"/>
        <w:szCs w:val="16"/>
      </w:rPr>
    </w:pPr>
    <w:r w:rsidRPr="00AE5270">
      <w:rPr>
        <w:rFonts w:ascii="Georgia" w:hAnsi="Georgia"/>
        <w:b/>
        <w:sz w:val="16"/>
        <w:szCs w:val="16"/>
      </w:rPr>
      <w:t>TCEQ 10110 (</w:t>
    </w:r>
    <w:r w:rsidR="00AE5270">
      <w:rPr>
        <w:rFonts w:ascii="Georgia" w:hAnsi="Georgia"/>
        <w:b/>
        <w:sz w:val="16"/>
        <w:szCs w:val="16"/>
      </w:rPr>
      <w:t>APDG 5009v</w:t>
    </w:r>
    <w:r w:rsidR="009A6650">
      <w:rPr>
        <w:rFonts w:ascii="Georgia" w:hAnsi="Georgia"/>
        <w:b/>
        <w:sz w:val="16"/>
        <w:szCs w:val="16"/>
      </w:rPr>
      <w:t>7</w:t>
    </w:r>
    <w:r w:rsidR="00AE5270">
      <w:rPr>
        <w:rFonts w:ascii="Georgia" w:hAnsi="Georgia"/>
        <w:b/>
        <w:sz w:val="16"/>
        <w:szCs w:val="16"/>
      </w:rPr>
      <w:t xml:space="preserve">, </w:t>
    </w:r>
    <w:r w:rsidRPr="00AE5270">
      <w:rPr>
        <w:rFonts w:ascii="Georgia" w:hAnsi="Georgia"/>
        <w:b/>
        <w:sz w:val="16"/>
        <w:szCs w:val="16"/>
      </w:rPr>
      <w:t xml:space="preserve">Revised </w:t>
    </w:r>
    <w:r w:rsidR="00AE5270">
      <w:rPr>
        <w:rFonts w:ascii="Georgia" w:hAnsi="Georgia"/>
        <w:b/>
        <w:sz w:val="16"/>
        <w:szCs w:val="16"/>
      </w:rPr>
      <w:t>0</w:t>
    </w:r>
    <w:r w:rsidR="009A6650">
      <w:rPr>
        <w:rFonts w:ascii="Georgia" w:hAnsi="Georgia"/>
        <w:b/>
        <w:sz w:val="16"/>
        <w:szCs w:val="16"/>
      </w:rPr>
      <w:t>7</w:t>
    </w:r>
    <w:r w:rsidR="00AE5270">
      <w:rPr>
        <w:rFonts w:ascii="Georgia" w:hAnsi="Georgia"/>
        <w:b/>
        <w:sz w:val="16"/>
        <w:szCs w:val="16"/>
      </w:rPr>
      <w:t>/15</w:t>
    </w:r>
    <w:r w:rsidRPr="00AE5270">
      <w:rPr>
        <w:rFonts w:ascii="Georgia" w:hAnsi="Georgia"/>
        <w:b/>
        <w:sz w:val="16"/>
        <w:szCs w:val="16"/>
      </w:rPr>
      <w:t>) PBR Railcar or Truck Unloading Facilities</w:t>
    </w:r>
    <w:r w:rsidR="004110A9">
      <w:rPr>
        <w:rFonts w:ascii="Georgia" w:hAnsi="Georgia"/>
        <w:b/>
        <w:sz w:val="16"/>
        <w:szCs w:val="16"/>
      </w:rPr>
      <w:t xml:space="preserve"> </w:t>
    </w:r>
    <w:r w:rsidRPr="00AE5270">
      <w:rPr>
        <w:rFonts w:ascii="Georgia" w:hAnsi="Georgia"/>
        <w:b/>
        <w:sz w:val="16"/>
        <w:szCs w:val="16"/>
      </w:rPr>
      <w:t>106.148 Checklist</w:t>
    </w:r>
  </w:p>
  <w:p w:rsidR="00AE5270" w:rsidRDefault="00D41852">
    <w:pPr>
      <w:pStyle w:val="Footer"/>
      <w:rPr>
        <w:rFonts w:ascii="Georgia" w:hAnsi="Georgia"/>
        <w:b/>
        <w:sz w:val="16"/>
        <w:szCs w:val="16"/>
      </w:rPr>
    </w:pPr>
    <w:r w:rsidRPr="00AE5270">
      <w:rPr>
        <w:rFonts w:ascii="Georgia" w:hAnsi="Georgia"/>
        <w:b/>
        <w:sz w:val="16"/>
        <w:szCs w:val="16"/>
      </w:rPr>
      <w:t xml:space="preserve">This form is for use by </w:t>
    </w:r>
    <w:r w:rsidR="00AE5270">
      <w:rPr>
        <w:rFonts w:ascii="Georgia" w:hAnsi="Georgia"/>
        <w:b/>
        <w:sz w:val="16"/>
        <w:szCs w:val="16"/>
      </w:rPr>
      <w:t>facilities</w:t>
    </w:r>
    <w:r w:rsidRPr="00AE5270">
      <w:rPr>
        <w:rFonts w:ascii="Georgia" w:hAnsi="Georgia"/>
        <w:b/>
        <w:sz w:val="16"/>
        <w:szCs w:val="16"/>
      </w:rPr>
      <w:t xml:space="preserve"> subject to air quality permits requirements</w:t>
    </w:r>
    <w:r w:rsidR="00C96568">
      <w:rPr>
        <w:rFonts w:ascii="Georgia" w:hAnsi="Georgia"/>
        <w:b/>
        <w:sz w:val="16"/>
        <w:szCs w:val="16"/>
      </w:rPr>
      <w:t xml:space="preserve"> </w:t>
    </w:r>
  </w:p>
  <w:p w:rsidR="00D41852" w:rsidRPr="00AE5270" w:rsidRDefault="00D41852" w:rsidP="00AE5270">
    <w:pPr>
      <w:pStyle w:val="Footer"/>
      <w:tabs>
        <w:tab w:val="clear" w:pos="4320"/>
        <w:tab w:val="clear" w:pos="8640"/>
        <w:tab w:val="right" w:pos="10710"/>
      </w:tabs>
      <w:rPr>
        <w:rFonts w:ascii="Georgia" w:hAnsi="Georgia"/>
        <w:b/>
        <w:sz w:val="16"/>
        <w:szCs w:val="16"/>
      </w:rPr>
    </w:pPr>
    <w:r w:rsidRPr="00AE5270">
      <w:rPr>
        <w:rFonts w:ascii="Georgia" w:hAnsi="Georgia"/>
        <w:b/>
        <w:sz w:val="16"/>
        <w:szCs w:val="16"/>
      </w:rPr>
      <w:t>and may be</w:t>
    </w:r>
    <w:r w:rsidR="00AE5270">
      <w:rPr>
        <w:rFonts w:ascii="Georgia" w:hAnsi="Georgia"/>
        <w:b/>
        <w:sz w:val="16"/>
        <w:szCs w:val="16"/>
      </w:rPr>
      <w:t xml:space="preserve"> revised periodically.</w:t>
    </w:r>
    <w:r w:rsidR="00AE5270">
      <w:rPr>
        <w:rFonts w:ascii="Georgia" w:hAnsi="Georgia"/>
        <w:b/>
        <w:sz w:val="16"/>
        <w:szCs w:val="16"/>
      </w:rPr>
      <w:tab/>
    </w:r>
    <w:r w:rsidR="00AE5270" w:rsidRPr="00AE5270">
      <w:rPr>
        <w:rFonts w:ascii="Georgia" w:hAnsi="Georgia"/>
        <w:b/>
        <w:sz w:val="16"/>
        <w:szCs w:val="16"/>
      </w:rPr>
      <w:t xml:space="preserve">Page </w:t>
    </w:r>
    <w:r w:rsidR="00AE5270" w:rsidRPr="00AE5270">
      <w:rPr>
        <w:rFonts w:ascii="Georgia" w:hAnsi="Georgia"/>
        <w:b/>
        <w:sz w:val="16"/>
        <w:szCs w:val="16"/>
      </w:rPr>
      <w:fldChar w:fldCharType="begin"/>
    </w:r>
    <w:r w:rsidR="00AE5270" w:rsidRPr="00AE5270">
      <w:rPr>
        <w:rFonts w:ascii="Georgia" w:hAnsi="Georgia"/>
        <w:b/>
        <w:sz w:val="16"/>
        <w:szCs w:val="16"/>
      </w:rPr>
      <w:instrText xml:space="preserve"> PAGE  \* Arabic  \* MERGEFORMAT </w:instrText>
    </w:r>
    <w:r w:rsidR="00AE5270" w:rsidRPr="00AE5270">
      <w:rPr>
        <w:rFonts w:ascii="Georgia" w:hAnsi="Georgia"/>
        <w:b/>
        <w:sz w:val="16"/>
        <w:szCs w:val="16"/>
      </w:rPr>
      <w:fldChar w:fldCharType="separate"/>
    </w:r>
    <w:r w:rsidR="00AF633B">
      <w:rPr>
        <w:rFonts w:ascii="Georgia" w:hAnsi="Georgia"/>
        <w:b/>
        <w:noProof/>
        <w:sz w:val="16"/>
        <w:szCs w:val="16"/>
      </w:rPr>
      <w:t>1</w:t>
    </w:r>
    <w:r w:rsidR="00AE5270" w:rsidRPr="00AE5270">
      <w:rPr>
        <w:rFonts w:ascii="Georgia" w:hAnsi="Georgia"/>
        <w:b/>
        <w:sz w:val="16"/>
        <w:szCs w:val="16"/>
      </w:rPr>
      <w:fldChar w:fldCharType="end"/>
    </w:r>
    <w:r w:rsidR="00AE5270" w:rsidRPr="00AE5270">
      <w:rPr>
        <w:rFonts w:ascii="Georgia" w:hAnsi="Georgia"/>
        <w:b/>
        <w:sz w:val="16"/>
        <w:szCs w:val="16"/>
      </w:rPr>
      <w:t xml:space="preserve"> of </w:t>
    </w:r>
    <w:r w:rsidR="00AE5270" w:rsidRPr="00AE5270">
      <w:rPr>
        <w:rFonts w:ascii="Georgia" w:hAnsi="Georgia"/>
        <w:b/>
        <w:sz w:val="16"/>
        <w:szCs w:val="16"/>
      </w:rPr>
      <w:fldChar w:fldCharType="begin"/>
    </w:r>
    <w:r w:rsidR="00AE5270" w:rsidRPr="00AE5270">
      <w:rPr>
        <w:rFonts w:ascii="Georgia" w:hAnsi="Georgia"/>
        <w:b/>
        <w:sz w:val="16"/>
        <w:szCs w:val="16"/>
      </w:rPr>
      <w:instrText xml:space="preserve"> NUMPAGES  \* Arabic  \* MERGEFORMAT </w:instrText>
    </w:r>
    <w:r w:rsidR="00AE5270" w:rsidRPr="00AE5270">
      <w:rPr>
        <w:rFonts w:ascii="Georgia" w:hAnsi="Georgia"/>
        <w:b/>
        <w:sz w:val="16"/>
        <w:szCs w:val="16"/>
      </w:rPr>
      <w:fldChar w:fldCharType="separate"/>
    </w:r>
    <w:r w:rsidR="00AF633B">
      <w:rPr>
        <w:rFonts w:ascii="Georgia" w:hAnsi="Georgia"/>
        <w:b/>
        <w:noProof/>
        <w:sz w:val="16"/>
        <w:szCs w:val="16"/>
      </w:rPr>
      <w:t>1</w:t>
    </w:r>
    <w:r w:rsidR="00AE5270" w:rsidRPr="00AE5270">
      <w:rPr>
        <w:rFonts w:ascii="Georgia" w:hAnsi="Georgia"/>
        <w:b/>
        <w:sz w:val="16"/>
        <w:szCs w:val="16"/>
      </w:rPr>
      <w:fldChar w:fldCharType="end"/>
    </w:r>
  </w:p>
  <w:p w:rsidR="00D41852" w:rsidRPr="00AE5270" w:rsidRDefault="00D41852" w:rsidP="000C51E9">
    <w:pPr>
      <w:pStyle w:val="Footer"/>
      <w:tabs>
        <w:tab w:val="clear" w:pos="4320"/>
        <w:tab w:val="clear" w:pos="8640"/>
        <w:tab w:val="right" w:pos="10620"/>
      </w:tabs>
      <w:rPr>
        <w:rFonts w:ascii="Georgia" w:hAnsi="Georgi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52" w:rsidRDefault="00D41852">
      <w:r>
        <w:separator/>
      </w:r>
    </w:p>
  </w:footnote>
  <w:footnote w:type="continuationSeparator" w:id="0">
    <w:p w:rsidR="00D41852" w:rsidRDefault="00D4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52" w:rsidRDefault="00D4185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52" w:rsidRDefault="00D41852">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18B"/>
    <w:multiLevelType w:val="hybridMultilevel"/>
    <w:tmpl w:val="590EB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A4"/>
    <w:rsid w:val="000B3651"/>
    <w:rsid w:val="000B6646"/>
    <w:rsid w:val="000C51E9"/>
    <w:rsid w:val="001A32C2"/>
    <w:rsid w:val="00304F57"/>
    <w:rsid w:val="004110A9"/>
    <w:rsid w:val="00431906"/>
    <w:rsid w:val="0046448A"/>
    <w:rsid w:val="005814E5"/>
    <w:rsid w:val="0061206A"/>
    <w:rsid w:val="006A4EA4"/>
    <w:rsid w:val="007D65F8"/>
    <w:rsid w:val="00827E2A"/>
    <w:rsid w:val="00853630"/>
    <w:rsid w:val="00911EC2"/>
    <w:rsid w:val="009A6650"/>
    <w:rsid w:val="00AC1463"/>
    <w:rsid w:val="00AD0FCA"/>
    <w:rsid w:val="00AE5270"/>
    <w:rsid w:val="00AF3FDB"/>
    <w:rsid w:val="00AF633B"/>
    <w:rsid w:val="00B56A3C"/>
    <w:rsid w:val="00B63C30"/>
    <w:rsid w:val="00B83303"/>
    <w:rsid w:val="00BD1CF3"/>
    <w:rsid w:val="00BD1F17"/>
    <w:rsid w:val="00C13A49"/>
    <w:rsid w:val="00C96568"/>
    <w:rsid w:val="00CA40E0"/>
    <w:rsid w:val="00CF6EF5"/>
    <w:rsid w:val="00CF7A82"/>
    <w:rsid w:val="00D31AE4"/>
    <w:rsid w:val="00D41852"/>
    <w:rsid w:val="00E273F2"/>
    <w:rsid w:val="00F167B6"/>
    <w:rsid w:val="00F7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EA4"/>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Heading">
    <w:name w:val="Heading"/>
    <w:rPr>
      <w:b/>
      <w:sz w:val="29"/>
    </w:rPr>
  </w:style>
  <w:style w:type="character" w:customStyle="1" w:styleId="RightPar">
    <w:name w:val="Right Par"/>
  </w:style>
  <w:style w:type="character" w:customStyle="1" w:styleId="Subheading">
    <w:name w:val="Subheading"/>
    <w:rPr>
      <w:b/>
    </w:rPr>
  </w:style>
  <w:style w:type="paragraph" w:styleId="Footer">
    <w:name w:val="footer"/>
    <w:basedOn w:val="Normal"/>
    <w:rsid w:val="006A4EA4"/>
    <w:pPr>
      <w:tabs>
        <w:tab w:val="center" w:pos="4320"/>
        <w:tab w:val="right" w:pos="8640"/>
      </w:tabs>
    </w:pPr>
  </w:style>
  <w:style w:type="table" w:styleId="TableGrid">
    <w:name w:val="Table Grid"/>
    <w:basedOn w:val="TableNormal"/>
    <w:rsid w:val="00AC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5F8"/>
    <w:rPr>
      <w:rFonts w:ascii="Tahoma" w:hAnsi="Tahoma" w:cs="Tahoma"/>
      <w:sz w:val="16"/>
      <w:szCs w:val="16"/>
    </w:rPr>
  </w:style>
  <w:style w:type="character" w:styleId="CommentReference">
    <w:name w:val="annotation reference"/>
    <w:basedOn w:val="DefaultParagraphFont"/>
    <w:rsid w:val="00304F57"/>
    <w:rPr>
      <w:sz w:val="16"/>
      <w:szCs w:val="16"/>
    </w:rPr>
  </w:style>
  <w:style w:type="paragraph" w:styleId="CommentText">
    <w:name w:val="annotation text"/>
    <w:basedOn w:val="Normal"/>
    <w:link w:val="CommentTextChar"/>
    <w:rsid w:val="00304F57"/>
    <w:rPr>
      <w:sz w:val="20"/>
    </w:rPr>
  </w:style>
  <w:style w:type="character" w:customStyle="1" w:styleId="CommentTextChar">
    <w:name w:val="Comment Text Char"/>
    <w:basedOn w:val="DefaultParagraphFont"/>
    <w:link w:val="CommentText"/>
    <w:rsid w:val="00304F57"/>
  </w:style>
  <w:style w:type="paragraph" w:styleId="CommentSubject">
    <w:name w:val="annotation subject"/>
    <w:basedOn w:val="CommentText"/>
    <w:next w:val="CommentText"/>
    <w:link w:val="CommentSubjectChar"/>
    <w:rsid w:val="00304F57"/>
    <w:rPr>
      <w:b/>
      <w:bCs/>
    </w:rPr>
  </w:style>
  <w:style w:type="character" w:customStyle="1" w:styleId="CommentSubjectChar">
    <w:name w:val="Comment Subject Char"/>
    <w:basedOn w:val="CommentTextChar"/>
    <w:link w:val="CommentSubject"/>
    <w:rsid w:val="00304F57"/>
    <w:rPr>
      <w:b/>
      <w:bCs/>
    </w:rPr>
  </w:style>
  <w:style w:type="character" w:styleId="Hyperlink">
    <w:name w:val="Hyperlink"/>
    <w:unhideWhenUsed/>
    <w:rsid w:val="00304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EA4"/>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Heading">
    <w:name w:val="Heading"/>
    <w:rPr>
      <w:b/>
      <w:sz w:val="29"/>
    </w:rPr>
  </w:style>
  <w:style w:type="character" w:customStyle="1" w:styleId="RightPar">
    <w:name w:val="Right Par"/>
  </w:style>
  <w:style w:type="character" w:customStyle="1" w:styleId="Subheading">
    <w:name w:val="Subheading"/>
    <w:rPr>
      <w:b/>
    </w:rPr>
  </w:style>
  <w:style w:type="paragraph" w:styleId="Footer">
    <w:name w:val="footer"/>
    <w:basedOn w:val="Normal"/>
    <w:rsid w:val="006A4EA4"/>
    <w:pPr>
      <w:tabs>
        <w:tab w:val="center" w:pos="4320"/>
        <w:tab w:val="right" w:pos="8640"/>
      </w:tabs>
    </w:pPr>
  </w:style>
  <w:style w:type="table" w:styleId="TableGrid">
    <w:name w:val="Table Grid"/>
    <w:basedOn w:val="TableNormal"/>
    <w:rsid w:val="00AC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5F8"/>
    <w:rPr>
      <w:rFonts w:ascii="Tahoma" w:hAnsi="Tahoma" w:cs="Tahoma"/>
      <w:sz w:val="16"/>
      <w:szCs w:val="16"/>
    </w:rPr>
  </w:style>
  <w:style w:type="character" w:styleId="CommentReference">
    <w:name w:val="annotation reference"/>
    <w:basedOn w:val="DefaultParagraphFont"/>
    <w:rsid w:val="00304F57"/>
    <w:rPr>
      <w:sz w:val="16"/>
      <w:szCs w:val="16"/>
    </w:rPr>
  </w:style>
  <w:style w:type="paragraph" w:styleId="CommentText">
    <w:name w:val="annotation text"/>
    <w:basedOn w:val="Normal"/>
    <w:link w:val="CommentTextChar"/>
    <w:rsid w:val="00304F57"/>
    <w:rPr>
      <w:sz w:val="20"/>
    </w:rPr>
  </w:style>
  <w:style w:type="character" w:customStyle="1" w:styleId="CommentTextChar">
    <w:name w:val="Comment Text Char"/>
    <w:basedOn w:val="DefaultParagraphFont"/>
    <w:link w:val="CommentText"/>
    <w:rsid w:val="00304F57"/>
  </w:style>
  <w:style w:type="paragraph" w:styleId="CommentSubject">
    <w:name w:val="annotation subject"/>
    <w:basedOn w:val="CommentText"/>
    <w:next w:val="CommentText"/>
    <w:link w:val="CommentSubjectChar"/>
    <w:rsid w:val="00304F57"/>
    <w:rPr>
      <w:b/>
      <w:bCs/>
    </w:rPr>
  </w:style>
  <w:style w:type="character" w:customStyle="1" w:styleId="CommentSubjectChar">
    <w:name w:val="Comment Subject Char"/>
    <w:basedOn w:val="CommentTextChar"/>
    <w:link w:val="CommentSubject"/>
    <w:rsid w:val="00304F57"/>
    <w:rPr>
      <w:b/>
      <w:bCs/>
    </w:rPr>
  </w:style>
  <w:style w:type="character" w:styleId="Hyperlink">
    <w:name w:val="Hyperlink"/>
    <w:unhideWhenUsed/>
    <w:rsid w:val="00304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EnviroHelp.or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TCEQ-Exemption § 106.148 Checklist- Railcar or Truck Unloading Facilites</vt:lpstr>
    </vt:vector>
  </TitlesOfParts>
  <Company>TCEQ</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TCEQ-Exemption § 106.148 Checklist- Railcar or Truck Unloading Facilites</dc:title>
  <dc:subject>TCEQ-Exemption § 106.148 Checklist - Railcar or Truck Unloading Facilites</dc:subject>
  <dc:creator>TCEQ</dc:creator>
  <cp:keywords>facility, unloads, wet, sand, gravel, aggregate, coal, lignite, scrap steel, emission, vehicle, sprinkled, water, permanent, in-plant, railcar, truck, and construction</cp:keywords>
  <cp:lastModifiedBy>TSpencer</cp:lastModifiedBy>
  <cp:revision>2</cp:revision>
  <cp:lastPrinted>2015-06-16T16:36:00Z</cp:lastPrinted>
  <dcterms:created xsi:type="dcterms:W3CDTF">2015-07-13T20:22:00Z</dcterms:created>
  <dcterms:modified xsi:type="dcterms:W3CDTF">2015-07-13T20:22:00Z</dcterms:modified>
</cp:coreProperties>
</file>