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7496" w:rsidRPr="00F841BD" w:rsidRDefault="00E17496" w:rsidP="00FC67E0">
      <w:pPr>
        <w:jc w:val="center"/>
        <w:outlineLvl w:val="0"/>
        <w:rPr>
          <w:rFonts w:ascii="Arial" w:hAnsi="Arial" w:cs="Arial"/>
          <w:b/>
        </w:rPr>
      </w:pPr>
      <w:r w:rsidRPr="00F841BD">
        <w:rPr>
          <w:rFonts w:ascii="Arial" w:hAnsi="Arial" w:cs="Arial"/>
          <w:b/>
        </w:rPr>
        <w:t>Boilers, Heaters, and Other Combustion Devices</w:t>
      </w:r>
    </w:p>
    <w:p w:rsidR="00E17496" w:rsidRPr="00F841BD" w:rsidRDefault="00E17496" w:rsidP="00FC67E0">
      <w:pPr>
        <w:jc w:val="center"/>
        <w:outlineLvl w:val="0"/>
        <w:rPr>
          <w:rFonts w:ascii="Arial" w:hAnsi="Arial" w:cs="Arial"/>
          <w:b/>
        </w:rPr>
      </w:pPr>
      <w:r w:rsidRPr="00F841BD">
        <w:rPr>
          <w:rFonts w:ascii="Arial" w:hAnsi="Arial" w:cs="Arial"/>
          <w:b/>
        </w:rPr>
        <w:t>Air Permits by Rule (PBR) Checklist</w:t>
      </w:r>
    </w:p>
    <w:p w:rsidR="00E17496" w:rsidRPr="00F841BD" w:rsidRDefault="00E17496" w:rsidP="00FC67E0">
      <w:pPr>
        <w:spacing w:after="480"/>
        <w:jc w:val="center"/>
        <w:outlineLvl w:val="0"/>
        <w:rPr>
          <w:rFonts w:ascii="Arial" w:hAnsi="Arial" w:cs="Arial"/>
          <w:b/>
        </w:rPr>
      </w:pPr>
      <w:r w:rsidRPr="00F841BD">
        <w:rPr>
          <w:rFonts w:ascii="Arial" w:hAnsi="Arial" w:cs="Arial"/>
          <w:b/>
        </w:rPr>
        <w:t>Title 30 Texas Administrative Code § 106.183</w:t>
      </w:r>
    </w:p>
    <w:p w:rsidR="00E14589" w:rsidRPr="00F841BD" w:rsidRDefault="004E4ACA" w:rsidP="00E14589">
      <w:pPr>
        <w:rPr>
          <w:rFonts w:ascii="Arial" w:hAnsi="Arial" w:cs="Arial"/>
          <w:sz w:val="22"/>
          <w:szCs w:val="22"/>
        </w:rPr>
      </w:pPr>
      <w:r w:rsidRPr="00F841BD">
        <w:rPr>
          <w:rFonts w:ascii="Arial" w:hAnsi="Arial" w:cs="Arial"/>
          <w:sz w:val="22"/>
          <w:szCs w:val="22"/>
        </w:rPr>
        <w:fldChar w:fldCharType="begin"/>
      </w:r>
      <w:r w:rsidRPr="00F841BD">
        <w:rPr>
          <w:rFonts w:ascii="Arial" w:hAnsi="Arial" w:cs="Arial"/>
          <w:sz w:val="22"/>
          <w:szCs w:val="22"/>
        </w:rPr>
        <w:instrText xml:space="preserve"> SEQ CHAPTER \h \r 1</w:instrText>
      </w:r>
      <w:r w:rsidRPr="00F841BD">
        <w:rPr>
          <w:rFonts w:ascii="Arial" w:hAnsi="Arial" w:cs="Arial"/>
          <w:sz w:val="22"/>
          <w:szCs w:val="22"/>
        </w:rPr>
        <w:fldChar w:fldCharType="end"/>
      </w:r>
      <w:r w:rsidRPr="00F841BD">
        <w:rPr>
          <w:rFonts w:ascii="Arial" w:hAnsi="Arial" w:cs="Arial"/>
          <w:sz w:val="22"/>
          <w:szCs w:val="22"/>
        </w:rPr>
        <w:t xml:space="preserve">Check the most appropriate answer and include any additional information in the spaces provided. If additional space </w:t>
      </w:r>
      <w:proofErr w:type="gramStart"/>
      <w:r w:rsidRPr="00F841BD">
        <w:rPr>
          <w:rFonts w:ascii="Arial" w:hAnsi="Arial" w:cs="Arial"/>
          <w:sz w:val="22"/>
          <w:szCs w:val="22"/>
        </w:rPr>
        <w:t>is needed</w:t>
      </w:r>
      <w:proofErr w:type="gramEnd"/>
      <w:r w:rsidRPr="00F841BD">
        <w:rPr>
          <w:rFonts w:ascii="Arial" w:hAnsi="Arial" w:cs="Arial"/>
          <w:sz w:val="22"/>
          <w:szCs w:val="22"/>
        </w:rPr>
        <w:t xml:space="preserve">, please include an extra page and reference the </w:t>
      </w:r>
      <w:r w:rsidR="00830D49" w:rsidRPr="00F841BD">
        <w:rPr>
          <w:rFonts w:ascii="Arial" w:hAnsi="Arial" w:cs="Arial"/>
          <w:sz w:val="22"/>
          <w:szCs w:val="22"/>
        </w:rPr>
        <w:t>rule</w:t>
      </w:r>
      <w:r w:rsidRPr="00F841BD">
        <w:rPr>
          <w:rFonts w:ascii="Arial" w:hAnsi="Arial" w:cs="Arial"/>
          <w:sz w:val="22"/>
          <w:szCs w:val="22"/>
        </w:rPr>
        <w:t xml:space="preserve"> number. The PBR forms, tables, checklists, and guidance documents are available from the TCEQ, Air Permits Division Web site at</w:t>
      </w:r>
      <w:r w:rsidR="00AA358A" w:rsidRPr="00F841BD">
        <w:rPr>
          <w:rFonts w:ascii="Arial" w:hAnsi="Arial" w:cs="Arial"/>
          <w:sz w:val="22"/>
          <w:szCs w:val="22"/>
        </w:rPr>
        <w:t xml:space="preserve">: </w:t>
      </w:r>
    </w:p>
    <w:p w:rsidR="004E4ACA" w:rsidRPr="00F841BD" w:rsidRDefault="00FC67E0" w:rsidP="00E14589">
      <w:pPr>
        <w:spacing w:after="120"/>
        <w:rPr>
          <w:rFonts w:ascii="Arial" w:hAnsi="Arial" w:cs="Arial"/>
          <w:sz w:val="22"/>
          <w:szCs w:val="22"/>
        </w:rPr>
      </w:pPr>
      <w:hyperlink r:id="rId8" w:history="1">
        <w:r w:rsidR="00CD13D7" w:rsidRPr="00F841BD">
          <w:rPr>
            <w:rStyle w:val="Hyperlink"/>
            <w:rFonts w:ascii="Arial" w:hAnsi="Arial" w:cs="Arial"/>
            <w:sz w:val="22"/>
            <w:szCs w:val="22"/>
            <w:u w:val="none"/>
          </w:rPr>
          <w:t>www.tceq.texas.gov/permitting/air/nav/air_pbr.html</w:t>
        </w:r>
      </w:hyperlink>
      <w:r w:rsidR="004E4ACA" w:rsidRPr="00F841BD">
        <w:rPr>
          <w:rFonts w:ascii="Arial" w:hAnsi="Arial" w:cs="Arial"/>
          <w:sz w:val="22"/>
          <w:szCs w:val="22"/>
        </w:rPr>
        <w:t>.</w:t>
      </w:r>
    </w:p>
    <w:p w:rsidR="00653604" w:rsidRPr="00F841BD" w:rsidRDefault="004E4ACA" w:rsidP="00653604">
      <w:pPr>
        <w:rPr>
          <w:rFonts w:ascii="Arial" w:hAnsi="Arial" w:cs="Arial"/>
          <w:sz w:val="22"/>
          <w:szCs w:val="22"/>
        </w:rPr>
      </w:pPr>
      <w:r w:rsidRPr="00F841BD">
        <w:rPr>
          <w:rFonts w:ascii="Arial" w:hAnsi="Arial" w:cs="Arial"/>
          <w:sz w:val="22"/>
          <w:szCs w:val="22"/>
        </w:rPr>
        <w:t xml:space="preserve">This </w:t>
      </w:r>
      <w:smartTag w:uri="urn:schemas-microsoft-com:office:smarttags" w:element="phone">
        <w:r w:rsidRPr="00F841BD">
          <w:rPr>
            <w:rFonts w:ascii="Arial" w:hAnsi="Arial" w:cs="Arial"/>
            <w:sz w:val="22"/>
            <w:szCs w:val="22"/>
          </w:rPr>
          <w:t>PBR</w:t>
        </w:r>
      </w:smartTag>
      <w:r w:rsidRPr="00F841BD">
        <w:rPr>
          <w:rFonts w:ascii="Arial" w:hAnsi="Arial" w:cs="Arial"/>
          <w:sz w:val="22"/>
          <w:szCs w:val="22"/>
        </w:rPr>
        <w:t xml:space="preserve"> (</w:t>
      </w:r>
      <w:hyperlink r:id="rId9" w:history="1">
        <w:r w:rsidRPr="00F841BD">
          <w:rPr>
            <w:rStyle w:val="Hyperlink"/>
            <w:rFonts w:ascii="Arial" w:hAnsi="Arial" w:cs="Arial"/>
            <w:sz w:val="22"/>
            <w:szCs w:val="22"/>
            <w:u w:val="none"/>
          </w:rPr>
          <w:t>§</w:t>
        </w:r>
        <w:r w:rsidR="00E03E5D" w:rsidRPr="00F841BD">
          <w:rPr>
            <w:rStyle w:val="Hyperlink"/>
            <w:rFonts w:ascii="Arial" w:hAnsi="Arial" w:cs="Arial"/>
            <w:sz w:val="22"/>
            <w:szCs w:val="22"/>
            <w:u w:val="none"/>
          </w:rPr>
          <w:t xml:space="preserve"> </w:t>
        </w:r>
        <w:r w:rsidRPr="00F841BD">
          <w:rPr>
            <w:rStyle w:val="Hyperlink"/>
            <w:rFonts w:ascii="Arial" w:hAnsi="Arial" w:cs="Arial"/>
            <w:sz w:val="22"/>
            <w:szCs w:val="22"/>
            <w:u w:val="none"/>
          </w:rPr>
          <w:t>106.183</w:t>
        </w:r>
      </w:hyperlink>
      <w:r w:rsidRPr="00F841BD">
        <w:rPr>
          <w:rFonts w:ascii="Arial" w:hAnsi="Arial" w:cs="Arial"/>
          <w:sz w:val="22"/>
          <w:szCs w:val="22"/>
        </w:rPr>
        <w:t xml:space="preserve">) </w:t>
      </w:r>
      <w:r w:rsidRPr="00F841BD">
        <w:rPr>
          <w:rFonts w:ascii="Arial" w:hAnsi="Arial" w:cs="Arial"/>
          <w:b/>
          <w:sz w:val="22"/>
          <w:szCs w:val="22"/>
        </w:rPr>
        <w:t>does not require registration</w:t>
      </w:r>
      <w:r w:rsidRPr="00F841BD">
        <w:rPr>
          <w:rFonts w:ascii="Arial" w:hAnsi="Arial" w:cs="Arial"/>
          <w:sz w:val="22"/>
          <w:szCs w:val="22"/>
        </w:rPr>
        <w:t xml:space="preserve">. However, you may register the facility and its emissions with the commission’s Office of </w:t>
      </w:r>
      <w:r w:rsidR="00F14C96" w:rsidRPr="00F841BD">
        <w:rPr>
          <w:rFonts w:ascii="Arial" w:hAnsi="Arial" w:cs="Arial"/>
          <w:sz w:val="22"/>
          <w:szCs w:val="22"/>
        </w:rPr>
        <w:t>Air</w:t>
      </w:r>
      <w:r w:rsidRPr="00F841BD">
        <w:rPr>
          <w:rFonts w:ascii="Arial" w:hAnsi="Arial" w:cs="Arial"/>
          <w:sz w:val="22"/>
          <w:szCs w:val="22"/>
        </w:rPr>
        <w:t xml:space="preserve"> in Austin. The facility </w:t>
      </w:r>
      <w:proofErr w:type="gramStart"/>
      <w:r w:rsidRPr="00F841BD">
        <w:rPr>
          <w:rFonts w:ascii="Arial" w:hAnsi="Arial" w:cs="Arial"/>
          <w:sz w:val="22"/>
          <w:szCs w:val="22"/>
        </w:rPr>
        <w:t>may be registered</w:t>
      </w:r>
      <w:proofErr w:type="gramEnd"/>
      <w:r w:rsidRPr="00F841BD">
        <w:rPr>
          <w:rFonts w:ascii="Arial" w:hAnsi="Arial" w:cs="Arial"/>
          <w:sz w:val="22"/>
          <w:szCs w:val="22"/>
        </w:rPr>
        <w:t xml:space="preserve"> by completing </w:t>
      </w:r>
    </w:p>
    <w:p w:rsidR="004E4ACA" w:rsidRPr="00F841BD" w:rsidRDefault="00FC67E0" w:rsidP="00E14589">
      <w:pPr>
        <w:spacing w:after="120"/>
        <w:rPr>
          <w:rFonts w:ascii="Arial" w:hAnsi="Arial" w:cs="Arial"/>
          <w:sz w:val="22"/>
          <w:szCs w:val="22"/>
        </w:rPr>
      </w:pPr>
      <w:hyperlink r:id="rId10" w:history="1">
        <w:r w:rsidR="004E4ACA" w:rsidRPr="00F841BD">
          <w:rPr>
            <w:rStyle w:val="Hyperlink"/>
            <w:rFonts w:ascii="Arial" w:hAnsi="Arial" w:cs="Arial"/>
            <w:sz w:val="22"/>
            <w:szCs w:val="22"/>
            <w:u w:val="none"/>
          </w:rPr>
          <w:t>Form PI-7</w:t>
        </w:r>
      </w:hyperlink>
      <w:r w:rsidR="004E4ACA" w:rsidRPr="00F841BD">
        <w:rPr>
          <w:rFonts w:ascii="Arial" w:hAnsi="Arial" w:cs="Arial"/>
          <w:sz w:val="22"/>
          <w:szCs w:val="22"/>
        </w:rPr>
        <w:t>, “Registration for Permits by Rule</w:t>
      </w:r>
      <w:r w:rsidR="00B901B0" w:rsidRPr="00F841BD">
        <w:rPr>
          <w:rFonts w:ascii="Arial" w:hAnsi="Arial" w:cs="Arial"/>
          <w:sz w:val="22"/>
          <w:szCs w:val="22"/>
        </w:rPr>
        <w:t>,</w:t>
      </w:r>
      <w:r w:rsidR="004E4ACA" w:rsidRPr="00F841BD">
        <w:rPr>
          <w:rFonts w:ascii="Arial" w:hAnsi="Arial" w:cs="Arial"/>
          <w:sz w:val="22"/>
          <w:szCs w:val="22"/>
        </w:rPr>
        <w:t xml:space="preserve">” or </w:t>
      </w:r>
      <w:hyperlink r:id="rId11" w:history="1">
        <w:r w:rsidR="004E4ACA" w:rsidRPr="00F841BD">
          <w:rPr>
            <w:rStyle w:val="Hyperlink"/>
            <w:rFonts w:ascii="Arial" w:hAnsi="Arial" w:cs="Arial"/>
            <w:sz w:val="22"/>
            <w:szCs w:val="22"/>
            <w:u w:val="none"/>
          </w:rPr>
          <w:t>Form PI-7-CERT</w:t>
        </w:r>
      </w:hyperlink>
      <w:r w:rsidR="004E4ACA" w:rsidRPr="00F841BD">
        <w:rPr>
          <w:rFonts w:ascii="Arial" w:hAnsi="Arial" w:cs="Arial"/>
          <w:sz w:val="22"/>
          <w:szCs w:val="22"/>
        </w:rPr>
        <w:t>, “Registration</w:t>
      </w:r>
      <w:r w:rsidR="00F14C96" w:rsidRPr="00F841BD">
        <w:rPr>
          <w:rFonts w:ascii="Arial" w:hAnsi="Arial" w:cs="Arial"/>
          <w:sz w:val="22"/>
          <w:szCs w:val="22"/>
        </w:rPr>
        <w:t xml:space="preserve"> and Certification</w:t>
      </w:r>
      <w:r w:rsidR="004E4ACA" w:rsidRPr="00F841BD">
        <w:rPr>
          <w:rFonts w:ascii="Arial" w:hAnsi="Arial" w:cs="Arial"/>
          <w:sz w:val="22"/>
          <w:szCs w:val="22"/>
        </w:rPr>
        <w:t xml:space="preserve"> for Permits by Rule.” This checklist should accompany the registration form.</w:t>
      </w:r>
    </w:p>
    <w:p w:rsidR="00BF4464" w:rsidRPr="00F841BD" w:rsidRDefault="00BF4464" w:rsidP="00E14589">
      <w:pPr>
        <w:rPr>
          <w:rFonts w:ascii="Arial" w:hAnsi="Arial" w:cs="Arial"/>
          <w:sz w:val="22"/>
          <w:szCs w:val="22"/>
        </w:rPr>
      </w:pPr>
      <w:r w:rsidRPr="00F841BD">
        <w:rPr>
          <w:rFonts w:ascii="Arial" w:hAnsi="Arial" w:cs="Arial"/>
          <w:sz w:val="22"/>
          <w:szCs w:val="22"/>
        </w:rPr>
        <w:t>For additional assistance with your application, including resources to help calculate your emissions, please visit the Small Business and Local Government Assistance (SBLGA) webpage at the following link:</w:t>
      </w:r>
      <w:r w:rsidRPr="00F841BD">
        <w:rPr>
          <w:rFonts w:ascii="Arial" w:hAnsi="Arial" w:cs="Arial"/>
          <w:color w:val="1F497D"/>
          <w:sz w:val="22"/>
          <w:szCs w:val="22"/>
        </w:rPr>
        <w:t xml:space="preserve"> </w:t>
      </w:r>
      <w:hyperlink r:id="rId12" w:history="1">
        <w:r w:rsidRPr="00F841BD">
          <w:rPr>
            <w:rStyle w:val="Hyperlink"/>
            <w:rFonts w:ascii="Arial" w:hAnsi="Arial" w:cs="Arial"/>
            <w:sz w:val="22"/>
            <w:szCs w:val="22"/>
            <w:u w:val="none"/>
          </w:rPr>
          <w:t>www.TexasEnviroHelp.org</w:t>
        </w:r>
      </w:hyperlink>
      <w:r w:rsidRPr="00F841BD">
        <w:rPr>
          <w:rFonts w:ascii="Arial" w:hAnsi="Arial" w:cs="Arial"/>
          <w:sz w:val="22"/>
          <w:szCs w:val="22"/>
        </w:rPr>
        <w:t xml:space="preserve"> </w:t>
      </w:r>
    </w:p>
    <w:p w:rsidR="00BF4464" w:rsidRPr="00F841BD" w:rsidRDefault="00BF4464" w:rsidP="00E14589">
      <w:pPr>
        <w:rPr>
          <w:rFonts w:ascii="Arial" w:hAnsi="Arial" w:cs="Arial"/>
          <w:sz w:val="22"/>
          <w:szCs w:val="22"/>
        </w:rPr>
      </w:pPr>
    </w:p>
    <w:tbl>
      <w:tblPr>
        <w:tblW w:w="10800" w:type="dxa"/>
        <w:jc w:val="center"/>
        <w:tblBorders>
          <w:top w:val="double" w:sz="4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62" w:type="dxa"/>
          <w:bottom w:w="58" w:type="dxa"/>
          <w:right w:w="62" w:type="dxa"/>
        </w:tblCellMar>
        <w:tblLook w:val="00A0" w:firstRow="1" w:lastRow="0" w:firstColumn="1" w:lastColumn="0" w:noHBand="0" w:noVBand="0"/>
        <w:tblDescription w:val="Table Boilers, Heaters, and Other Combustion Devices"/>
      </w:tblPr>
      <w:tblGrid>
        <w:gridCol w:w="2160"/>
        <w:gridCol w:w="540"/>
        <w:gridCol w:w="1980"/>
        <w:gridCol w:w="720"/>
        <w:gridCol w:w="2700"/>
        <w:gridCol w:w="900"/>
        <w:gridCol w:w="1800"/>
      </w:tblGrid>
      <w:tr w:rsidR="00BF4464" w:rsidRPr="00F841BD" w:rsidTr="0057260B">
        <w:trPr>
          <w:cantSplit/>
          <w:tblHeader/>
          <w:jc w:val="center"/>
        </w:trPr>
        <w:tc>
          <w:tcPr>
            <w:tcW w:w="10800" w:type="dxa"/>
            <w:gridSpan w:val="7"/>
            <w:tcBorders>
              <w:top w:val="double" w:sz="4" w:space="0" w:color="auto"/>
              <w:left w:val="double" w:sz="4" w:space="0" w:color="auto"/>
              <w:bottom w:val="single" w:sz="6" w:space="0" w:color="000000"/>
              <w:right w:val="double" w:sz="4" w:space="0" w:color="auto"/>
            </w:tcBorders>
            <w:shd w:val="pct10" w:color="auto" w:fill="auto"/>
            <w:vAlign w:val="center"/>
          </w:tcPr>
          <w:p w:rsidR="00BF4464" w:rsidRPr="00F841BD" w:rsidRDefault="0054050B" w:rsidP="00540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b/>
                <w:bCs/>
                <w:sz w:val="22"/>
                <w:szCs w:val="22"/>
              </w:rPr>
              <w:t>Please Complete the Following:</w:t>
            </w:r>
          </w:p>
        </w:tc>
      </w:tr>
      <w:tr w:rsidR="000C6284" w:rsidRPr="00F841BD" w:rsidTr="0057260B">
        <w:trPr>
          <w:cantSplit/>
          <w:trHeight w:val="404"/>
          <w:jc w:val="center"/>
        </w:trPr>
        <w:tc>
          <w:tcPr>
            <w:tcW w:w="9000" w:type="dxa"/>
            <w:gridSpan w:val="6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0C6284" w:rsidRPr="00F841BD" w:rsidRDefault="000C628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Will the equipment to be authorized include only boilers, heaters, drying or curing ovens, furnaces, or other combustion units?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0C6284" w:rsidRPr="00F841BD" w:rsidRDefault="000C628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BF4464" w:rsidRPr="00F841BD" w:rsidTr="0057260B">
        <w:trPr>
          <w:cantSplit/>
          <w:trHeight w:val="233"/>
          <w:jc w:val="center"/>
        </w:trPr>
        <w:tc>
          <w:tcPr>
            <w:tcW w:w="10800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F4464" w:rsidRPr="00F841BD" w:rsidRDefault="00BF4464" w:rsidP="000C62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41BD">
              <w:rPr>
                <w:rFonts w:ascii="Arial" w:hAnsi="Arial" w:cs="Arial"/>
                <w:i/>
                <w:sz w:val="22"/>
                <w:szCs w:val="22"/>
              </w:rPr>
              <w:t>If “NO,” this PBR cannot be claimed.</w:t>
            </w:r>
          </w:p>
        </w:tc>
      </w:tr>
      <w:tr w:rsidR="00BF4464" w:rsidRPr="00F841BD" w:rsidTr="0057260B">
        <w:trPr>
          <w:cantSplit/>
          <w:trHeight w:val="233"/>
          <w:jc w:val="center"/>
        </w:trPr>
        <w:tc>
          <w:tcPr>
            <w:tcW w:w="10800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0C6284" w:rsidRPr="00F841BD" w:rsidRDefault="00BF4464" w:rsidP="000C6284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41BD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F841BD">
              <w:rPr>
                <w:rFonts w:ascii="Arial" w:hAnsi="Arial" w:cs="Arial"/>
                <w:i/>
                <w:sz w:val="22"/>
                <w:szCs w:val="22"/>
              </w:rPr>
              <w:t xml:space="preserve">  Stationary internal combustion engines and turbines may require registration under </w:t>
            </w:r>
          </w:p>
          <w:p w:rsidR="00BF4464" w:rsidRPr="00F841BD" w:rsidRDefault="00FC67E0" w:rsidP="000C6284">
            <w:pPr>
              <w:rPr>
                <w:rFonts w:ascii="Arial" w:hAnsi="Arial" w:cs="Arial"/>
                <w:sz w:val="22"/>
                <w:szCs w:val="22"/>
              </w:rPr>
            </w:pPr>
            <w:hyperlink r:id="rId13" w:history="1">
              <w:r w:rsidR="00BF4464" w:rsidRPr="00F841BD">
                <w:rPr>
                  <w:rStyle w:val="Hyperlink"/>
                  <w:rFonts w:ascii="Arial" w:hAnsi="Arial" w:cs="Arial"/>
                  <w:b/>
                  <w:i/>
                  <w:sz w:val="22"/>
                  <w:szCs w:val="22"/>
                  <w:u w:val="none"/>
                </w:rPr>
                <w:t>30 TAC § 106.512</w:t>
              </w:r>
            </w:hyperlink>
            <w:r w:rsidR="00BF4464" w:rsidRPr="00F841BD">
              <w:rPr>
                <w:rFonts w:ascii="Arial" w:hAnsi="Arial" w:cs="Arial"/>
                <w:i/>
                <w:sz w:val="22"/>
                <w:szCs w:val="22"/>
              </w:rPr>
              <w:t xml:space="preserve">. A </w:t>
            </w:r>
            <w:hyperlink r:id="rId14" w:history="1">
              <w:r w:rsidR="00BF4464" w:rsidRPr="00F841BD">
                <w:rPr>
                  <w:rStyle w:val="Hyperlink"/>
                  <w:rFonts w:ascii="Arial" w:hAnsi="Arial" w:cs="Arial"/>
                  <w:b/>
                  <w:i/>
                  <w:sz w:val="22"/>
                  <w:szCs w:val="22"/>
                  <w:u w:val="none"/>
                </w:rPr>
                <w:t>§ 106.512 Checklist</w:t>
              </w:r>
            </w:hyperlink>
            <w:r w:rsidR="00BF4464" w:rsidRPr="00F841BD">
              <w:rPr>
                <w:rFonts w:ascii="Arial" w:hAnsi="Arial" w:cs="Arial"/>
                <w:i/>
                <w:color w:val="0000FF"/>
                <w:sz w:val="22"/>
                <w:szCs w:val="22"/>
              </w:rPr>
              <w:t xml:space="preserve"> </w:t>
            </w:r>
            <w:r w:rsidR="00BF4464" w:rsidRPr="00F841BD">
              <w:rPr>
                <w:rFonts w:ascii="Arial" w:hAnsi="Arial" w:cs="Arial"/>
                <w:i/>
                <w:sz w:val="22"/>
                <w:szCs w:val="22"/>
              </w:rPr>
              <w:t>is available to help verify compliance with the requirements.</w:t>
            </w:r>
          </w:p>
        </w:tc>
      </w:tr>
      <w:tr w:rsidR="00BF4464" w:rsidRPr="00F841BD" w:rsidTr="0057260B">
        <w:trPr>
          <w:cantSplit/>
          <w:trHeight w:val="16"/>
          <w:jc w:val="center"/>
        </w:trPr>
        <w:tc>
          <w:tcPr>
            <w:tcW w:w="10800" w:type="dxa"/>
            <w:gridSpan w:val="7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</w:tcPr>
          <w:p w:rsidR="00BF4464" w:rsidRPr="00F841BD" w:rsidRDefault="00BF446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Check all that apply:</w:t>
            </w:r>
          </w:p>
        </w:tc>
      </w:tr>
      <w:tr w:rsidR="00BF4464" w:rsidRPr="00F841BD" w:rsidTr="0057260B">
        <w:trPr>
          <w:cantSplit/>
          <w:trHeight w:val="16"/>
          <w:jc w:val="center"/>
        </w:trPr>
        <w:tc>
          <w:tcPr>
            <w:tcW w:w="2700" w:type="dxa"/>
            <w:gridSpan w:val="2"/>
            <w:tcBorders>
              <w:top w:val="nil"/>
              <w:left w:val="double" w:sz="4" w:space="0" w:color="auto"/>
              <w:bottom w:val="nil"/>
              <w:right w:val="nil"/>
            </w:tcBorders>
          </w:tcPr>
          <w:p w:rsidR="00BF4464" w:rsidRPr="00F841BD" w:rsidRDefault="00BF446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boilers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4464" w:rsidRPr="00F841BD" w:rsidRDefault="00BF446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heaters</w:t>
            </w: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</w:tcPr>
          <w:p w:rsidR="00BF4464" w:rsidRPr="00F841BD" w:rsidRDefault="00BF446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drying or curing ovens</w:t>
            </w:r>
          </w:p>
        </w:tc>
        <w:tc>
          <w:tcPr>
            <w:tcW w:w="2700" w:type="dxa"/>
            <w:gridSpan w:val="2"/>
            <w:tcBorders>
              <w:top w:val="nil"/>
              <w:left w:val="nil"/>
              <w:bottom w:val="nil"/>
              <w:right w:val="double" w:sz="4" w:space="0" w:color="auto"/>
            </w:tcBorders>
          </w:tcPr>
          <w:p w:rsidR="00BF4464" w:rsidRPr="00F841BD" w:rsidRDefault="00BF446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furnaces</w:t>
            </w:r>
          </w:p>
        </w:tc>
      </w:tr>
      <w:tr w:rsidR="00BF4464" w:rsidRPr="00F841BD" w:rsidTr="0057260B">
        <w:trPr>
          <w:cantSplit/>
          <w:trHeight w:val="16"/>
          <w:jc w:val="center"/>
        </w:trPr>
        <w:tc>
          <w:tcPr>
            <w:tcW w:w="10800" w:type="dxa"/>
            <w:gridSpan w:val="7"/>
            <w:tcBorders>
              <w:top w:val="nil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BF4464" w:rsidRPr="00F841BD" w:rsidRDefault="00BF4464" w:rsidP="000C6284">
            <w:pPr>
              <w:tabs>
                <w:tab w:val="right" w:pos="10558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other combustion unit (If other please specify):</w:t>
            </w:r>
            <w:r w:rsidR="000C6284" w:rsidRPr="00F841BD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</w:tc>
      </w:tr>
      <w:tr w:rsidR="000C6284" w:rsidRPr="00F841BD" w:rsidTr="0057260B">
        <w:trPr>
          <w:cantSplit/>
          <w:jc w:val="center"/>
        </w:trPr>
        <w:tc>
          <w:tcPr>
            <w:tcW w:w="9000" w:type="dxa"/>
            <w:gridSpan w:val="6"/>
            <w:tcBorders>
              <w:top w:val="single" w:sz="6" w:space="0" w:color="000000"/>
              <w:left w:val="double" w:sz="4" w:space="0" w:color="auto"/>
              <w:bottom w:val="nil"/>
              <w:right w:val="nil"/>
            </w:tcBorders>
          </w:tcPr>
          <w:p w:rsidR="000C6284" w:rsidRPr="00F841BD" w:rsidRDefault="000C6284" w:rsidP="0027403E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Have you included a </w:t>
            </w:r>
            <w:hyperlink r:id="rId15" w:history="1">
              <w:r w:rsidRPr="00F841BD">
                <w:rPr>
                  <w:rStyle w:val="Hyperlink"/>
                  <w:rFonts w:ascii="Arial" w:hAnsi="Arial" w:cs="Arial"/>
                  <w:b/>
                  <w:sz w:val="22"/>
                  <w:szCs w:val="22"/>
                  <w:u w:val="none"/>
                </w:rPr>
                <w:t>Table 4 (Combustion Units)</w:t>
              </w:r>
            </w:hyperlink>
            <w:r w:rsidRPr="00F841BD">
              <w:rPr>
                <w:rFonts w:ascii="Arial" w:hAnsi="Arial" w:cs="Arial"/>
                <w:sz w:val="22"/>
                <w:szCs w:val="22"/>
              </w:rPr>
              <w:t xml:space="preserve"> or a </w:t>
            </w:r>
            <w:hyperlink r:id="rId16" w:history="1">
              <w:r w:rsidRPr="00F841BD">
                <w:rPr>
                  <w:rStyle w:val="Hyperlink"/>
                  <w:rFonts w:ascii="Arial" w:hAnsi="Arial" w:cs="Arial"/>
                  <w:b/>
                  <w:sz w:val="22"/>
                  <w:szCs w:val="22"/>
                  <w:u w:val="none"/>
                </w:rPr>
                <w:t>Table 6 (Boilers and Heaters)</w:t>
              </w:r>
            </w:hyperlink>
            <w:r w:rsidRPr="00F841BD">
              <w:rPr>
                <w:rFonts w:ascii="Arial" w:hAnsi="Arial" w:cs="Arial"/>
                <w:sz w:val="22"/>
                <w:szCs w:val="22"/>
              </w:rPr>
              <w:t xml:space="preserve"> with the registration?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double" w:sz="4" w:space="0" w:color="auto"/>
            </w:tcBorders>
            <w:shd w:val="clear" w:color="auto" w:fill="FFFFFF"/>
          </w:tcPr>
          <w:p w:rsidR="000C6284" w:rsidRPr="00F841BD" w:rsidRDefault="000C628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BF4464" w:rsidRPr="00F841BD" w:rsidTr="0057260B">
        <w:trPr>
          <w:cantSplit/>
          <w:jc w:val="center"/>
        </w:trPr>
        <w:tc>
          <w:tcPr>
            <w:tcW w:w="5400" w:type="dxa"/>
            <w:gridSpan w:val="4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BF4464" w:rsidRPr="00F841BD" w:rsidRDefault="00BF446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Table 4</w:t>
            </w:r>
          </w:p>
        </w:tc>
        <w:tc>
          <w:tcPr>
            <w:tcW w:w="5400" w:type="dxa"/>
            <w:gridSpan w:val="3"/>
            <w:tcBorders>
              <w:top w:val="nil"/>
              <w:left w:val="nil"/>
              <w:bottom w:val="single" w:sz="6" w:space="0" w:color="000000"/>
              <w:right w:val="double" w:sz="4" w:space="0" w:color="auto"/>
            </w:tcBorders>
          </w:tcPr>
          <w:p w:rsidR="00BF4464" w:rsidRPr="00F841BD" w:rsidRDefault="00BF446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Table 6</w:t>
            </w:r>
          </w:p>
        </w:tc>
      </w:tr>
      <w:tr w:rsidR="000C6284" w:rsidRPr="00F841BD" w:rsidTr="0057260B">
        <w:trPr>
          <w:cantSplit/>
          <w:jc w:val="center"/>
        </w:trPr>
        <w:tc>
          <w:tcPr>
            <w:tcW w:w="9000" w:type="dxa"/>
            <w:gridSpan w:val="6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nil"/>
            </w:tcBorders>
          </w:tcPr>
          <w:p w:rsidR="000C6284" w:rsidRPr="00F841BD" w:rsidRDefault="000C628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Are the only emissions from the facility products of combustion?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  <w:right w:val="double" w:sz="4" w:space="0" w:color="auto"/>
            </w:tcBorders>
            <w:shd w:val="clear" w:color="000000" w:fill="auto"/>
          </w:tcPr>
          <w:p w:rsidR="000C6284" w:rsidRPr="00F841BD" w:rsidRDefault="000C6284" w:rsidP="000C628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BF4464" w:rsidRPr="00F841BD" w:rsidTr="0057260B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BF4464" w:rsidRPr="00F841BD" w:rsidRDefault="00BF4464" w:rsidP="00975DC5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i/>
                <w:sz w:val="22"/>
                <w:szCs w:val="22"/>
              </w:rPr>
              <w:t>If “NO,” the facility does not qualify for this PBR.</w:t>
            </w:r>
          </w:p>
        </w:tc>
      </w:tr>
      <w:tr w:rsidR="00BF4464" w:rsidRPr="00F841BD" w:rsidTr="0057260B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BF4464" w:rsidRPr="00F841BD" w:rsidRDefault="00BF4464" w:rsidP="0027403E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What is the maximum heat input of the facility? (</w:t>
            </w:r>
            <w:proofErr w:type="spellStart"/>
            <w:r w:rsidRPr="00F841BD">
              <w:rPr>
                <w:rFonts w:ascii="Arial" w:hAnsi="Arial" w:cs="Arial"/>
                <w:sz w:val="22"/>
                <w:szCs w:val="22"/>
              </w:rPr>
              <w:t>MBtu</w:t>
            </w:r>
            <w:proofErr w:type="spellEnd"/>
            <w:r w:rsidRPr="00F841BD">
              <w:rPr>
                <w:rFonts w:ascii="Arial" w:hAnsi="Arial" w:cs="Arial"/>
                <w:sz w:val="22"/>
                <w:szCs w:val="22"/>
              </w:rPr>
              <w:t>/hr.)</w:t>
            </w:r>
          </w:p>
        </w:tc>
      </w:tr>
      <w:tr w:rsidR="00BF4464" w:rsidRPr="00F841BD" w:rsidTr="0057260B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000000"/>
              <w:left w:val="double" w:sz="4" w:space="0" w:color="auto"/>
              <w:bottom w:val="single" w:sz="6" w:space="0" w:color="000000"/>
              <w:right w:val="double" w:sz="4" w:space="0" w:color="auto"/>
            </w:tcBorders>
          </w:tcPr>
          <w:p w:rsidR="00BF4464" w:rsidRPr="00F841BD" w:rsidRDefault="00BF4464" w:rsidP="0027403E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If the facility has a heat input greater than 10 </w:t>
            </w:r>
            <w:proofErr w:type="spellStart"/>
            <w:r w:rsidRPr="00F841BD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  <w:r w:rsidRPr="00F841BD">
              <w:rPr>
                <w:rFonts w:ascii="Arial" w:hAnsi="Arial" w:cs="Arial"/>
                <w:sz w:val="22"/>
                <w:szCs w:val="22"/>
              </w:rPr>
              <w:t>/</w:t>
            </w:r>
            <w:proofErr w:type="spellStart"/>
            <w:r w:rsidRPr="00F841BD">
              <w:rPr>
                <w:rFonts w:ascii="Arial" w:hAnsi="Arial" w:cs="Arial"/>
                <w:sz w:val="22"/>
                <w:szCs w:val="22"/>
              </w:rPr>
              <w:t>hr</w:t>
            </w:r>
            <w:proofErr w:type="spellEnd"/>
            <w:r w:rsidRPr="00F841BD">
              <w:rPr>
                <w:rFonts w:ascii="Arial" w:hAnsi="Arial" w:cs="Arial"/>
                <w:sz w:val="22"/>
                <w:szCs w:val="22"/>
              </w:rPr>
              <w:t xml:space="preserve"> (higher heating value), what is the emission rate of nitrogen oxides? (1b/</w:t>
            </w:r>
            <w:proofErr w:type="spellStart"/>
            <w:r w:rsidRPr="00F841BD">
              <w:rPr>
                <w:rFonts w:ascii="Arial" w:hAnsi="Arial" w:cs="Arial"/>
                <w:sz w:val="22"/>
                <w:szCs w:val="22"/>
              </w:rPr>
              <w:t>MMBtu</w:t>
            </w:r>
            <w:proofErr w:type="spellEnd"/>
            <w:r w:rsidRPr="00F841BD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54050B" w:rsidRPr="00F841BD" w:rsidTr="0057260B">
        <w:trPr>
          <w:cantSplit/>
          <w:jc w:val="center"/>
        </w:trPr>
        <w:tc>
          <w:tcPr>
            <w:tcW w:w="10800" w:type="dxa"/>
            <w:gridSpan w:val="7"/>
            <w:tcBorders>
              <w:top w:val="single" w:sz="6" w:space="0" w:color="000000"/>
              <w:left w:val="double" w:sz="4" w:space="0" w:color="auto"/>
              <w:bottom w:val="nil"/>
              <w:right w:val="double" w:sz="4" w:space="0" w:color="auto"/>
            </w:tcBorders>
          </w:tcPr>
          <w:p w:rsidR="0054050B" w:rsidRPr="00F841BD" w:rsidRDefault="0054050B" w:rsidP="006D0D16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What type of fuel is used? (Check all that apply)</w:t>
            </w:r>
          </w:p>
        </w:tc>
      </w:tr>
      <w:tr w:rsidR="00BF4464" w:rsidRPr="00F841BD" w:rsidTr="0057260B">
        <w:trPr>
          <w:cantSplit/>
          <w:jc w:val="center"/>
        </w:trPr>
        <w:tc>
          <w:tcPr>
            <w:tcW w:w="2160" w:type="dxa"/>
            <w:tcBorders>
              <w:top w:val="nil"/>
              <w:left w:val="double" w:sz="4" w:space="0" w:color="auto"/>
              <w:bottom w:val="single" w:sz="6" w:space="0" w:color="000000"/>
              <w:right w:val="nil"/>
            </w:tcBorders>
          </w:tcPr>
          <w:p w:rsidR="00BF4464" w:rsidRPr="00F841BD" w:rsidRDefault="0054050B" w:rsidP="0054050B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sweet natural gas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BF4464" w:rsidRPr="00F841BD" w:rsidRDefault="0054050B" w:rsidP="0054050B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>liquid petroleum gas</w:t>
            </w:r>
          </w:p>
        </w:tc>
        <w:tc>
          <w:tcPr>
            <w:tcW w:w="6120" w:type="dxa"/>
            <w:gridSpan w:val="4"/>
            <w:tcBorders>
              <w:top w:val="nil"/>
              <w:left w:val="nil"/>
              <w:bottom w:val="single" w:sz="6" w:space="0" w:color="000000"/>
              <w:right w:val="double" w:sz="4" w:space="0" w:color="auto"/>
            </w:tcBorders>
            <w:shd w:val="clear" w:color="auto" w:fill="auto"/>
          </w:tcPr>
          <w:p w:rsidR="00BF4464" w:rsidRPr="00F841BD" w:rsidRDefault="0054050B" w:rsidP="006D0D16">
            <w:pPr>
              <w:tabs>
                <w:tab w:val="left" w:pos="478"/>
              </w:tabs>
              <w:ind w:left="478" w:hanging="501"/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3176F1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fuel gas with </w:t>
            </w:r>
            <w:r w:rsidRPr="00F841BD">
              <w:rPr>
                <w:rFonts w:ascii="Arial" w:hAnsi="Arial" w:cs="Arial"/>
                <w:sz w:val="22"/>
                <w:szCs w:val="22"/>
                <w:u w:val="single"/>
              </w:rPr>
              <w:t>&lt;</w:t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0.1 grain total sulfur compounds per </w:t>
            </w:r>
            <w:proofErr w:type="spellStart"/>
            <w:r w:rsidRPr="00F841BD">
              <w:rPr>
                <w:rFonts w:ascii="Arial" w:hAnsi="Arial" w:cs="Arial"/>
                <w:sz w:val="22"/>
                <w:szCs w:val="22"/>
              </w:rPr>
              <w:t>dscf</w:t>
            </w:r>
            <w:proofErr w:type="spellEnd"/>
          </w:p>
        </w:tc>
      </w:tr>
      <w:tr w:rsidR="00E4287D" w:rsidRPr="00F841BD" w:rsidTr="0057260B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jc w:val="center"/>
        </w:trPr>
        <w:tc>
          <w:tcPr>
            <w:tcW w:w="9000" w:type="dxa"/>
            <w:gridSpan w:val="6"/>
            <w:tcBorders>
              <w:top w:val="single" w:sz="6" w:space="0" w:color="000000"/>
              <w:bottom w:val="single" w:sz="6" w:space="0" w:color="000000"/>
              <w:right w:val="nil"/>
            </w:tcBorders>
          </w:tcPr>
          <w:p w:rsidR="00E4287D" w:rsidRPr="00F841BD" w:rsidRDefault="00E4287D" w:rsidP="00E4287D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Is the distillate fuel oil used only as a backup fuel?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6" w:space="0" w:color="000000"/>
            </w:tcBorders>
            <w:shd w:val="clear" w:color="auto" w:fill="auto"/>
            <w:vAlign w:val="center"/>
          </w:tcPr>
          <w:p w:rsidR="00E4287D" w:rsidRPr="00F841BD" w:rsidRDefault="00E4287D" w:rsidP="00E4287D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="00F737D4" w:rsidRPr="00F841BD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050B" w:rsidRPr="00F841BD" w:rsidTr="0057260B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6"/>
          <w:jc w:val="center"/>
        </w:trPr>
        <w:tc>
          <w:tcPr>
            <w:tcW w:w="1080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4050B" w:rsidRPr="00F841BD" w:rsidRDefault="0054050B" w:rsidP="003176F1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Total hours of operation (hr./</w:t>
            </w:r>
            <w:proofErr w:type="spellStart"/>
            <w:r w:rsidRPr="00F841BD">
              <w:rPr>
                <w:rFonts w:ascii="Arial" w:hAnsi="Arial" w:cs="Arial"/>
                <w:sz w:val="22"/>
                <w:szCs w:val="22"/>
              </w:rPr>
              <w:t>yr</w:t>
            </w:r>
            <w:proofErr w:type="spellEnd"/>
            <w:r w:rsidRPr="00F841BD">
              <w:rPr>
                <w:rFonts w:ascii="Arial" w:hAnsi="Arial" w:cs="Arial"/>
                <w:sz w:val="22"/>
                <w:szCs w:val="22"/>
              </w:rPr>
              <w:t>):</w:t>
            </w:r>
          </w:p>
        </w:tc>
      </w:tr>
      <w:tr w:rsidR="0054050B" w:rsidRPr="00F841BD" w:rsidTr="0057260B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5"/>
          <w:jc w:val="center"/>
        </w:trPr>
        <w:tc>
          <w:tcPr>
            <w:tcW w:w="10800" w:type="dxa"/>
            <w:gridSpan w:val="7"/>
            <w:tcBorders>
              <w:top w:val="single" w:sz="6" w:space="0" w:color="000000"/>
              <w:bottom w:val="single" w:sz="6" w:space="0" w:color="000000"/>
            </w:tcBorders>
          </w:tcPr>
          <w:p w:rsidR="0054050B" w:rsidRPr="00F841BD" w:rsidRDefault="0054050B" w:rsidP="00E4287D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b/>
                <w:sz w:val="22"/>
                <w:szCs w:val="22"/>
              </w:rPr>
              <w:t>Note:</w:t>
            </w:r>
            <w:r w:rsidRPr="00F841BD">
              <w:rPr>
                <w:rFonts w:ascii="Arial" w:hAnsi="Arial" w:cs="Arial"/>
                <w:i/>
                <w:sz w:val="22"/>
                <w:szCs w:val="22"/>
              </w:rPr>
              <w:t xml:space="preserve">  If distillate fuel oil is used, firing cannot exceed 720 hours per year.</w:t>
            </w:r>
          </w:p>
        </w:tc>
      </w:tr>
      <w:tr w:rsidR="0054050B" w:rsidRPr="00F841BD" w:rsidTr="0057260B">
        <w:tblPrEx>
          <w:tblBorders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65"/>
          <w:jc w:val="center"/>
        </w:trPr>
        <w:tc>
          <w:tcPr>
            <w:tcW w:w="10800" w:type="dxa"/>
            <w:gridSpan w:val="7"/>
            <w:tcBorders>
              <w:top w:val="single" w:sz="6" w:space="0" w:color="000000"/>
              <w:bottom w:val="double" w:sz="4" w:space="0" w:color="auto"/>
            </w:tcBorders>
          </w:tcPr>
          <w:p w:rsidR="0054050B" w:rsidRPr="00F841BD" w:rsidRDefault="0054050B" w:rsidP="00E4287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F841BD">
              <w:rPr>
                <w:rFonts w:ascii="Arial" w:hAnsi="Arial" w:cs="Arial"/>
                <w:i/>
                <w:sz w:val="22"/>
                <w:szCs w:val="22"/>
              </w:rPr>
              <w:t>If “YES,” please continue.</w:t>
            </w:r>
          </w:p>
          <w:p w:rsidR="0054050B" w:rsidRPr="00F841BD" w:rsidRDefault="0054050B" w:rsidP="00E4287D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i/>
                <w:sz w:val="22"/>
                <w:szCs w:val="22"/>
              </w:rPr>
              <w:t>If “NO,” the remaining questions do not apply.</w:t>
            </w:r>
          </w:p>
        </w:tc>
      </w:tr>
    </w:tbl>
    <w:p w:rsidR="0025341A" w:rsidRPr="00F841BD" w:rsidRDefault="0025341A" w:rsidP="0025341A">
      <w:pPr>
        <w:jc w:val="center"/>
        <w:rPr>
          <w:rFonts w:ascii="Arial" w:hAnsi="Arial" w:cs="Arial"/>
          <w:b/>
        </w:rPr>
      </w:pPr>
      <w:r w:rsidRPr="00F841BD">
        <w:rPr>
          <w:rFonts w:ascii="Arial" w:hAnsi="Arial" w:cs="Arial"/>
          <w:sz w:val="22"/>
          <w:szCs w:val="22"/>
        </w:rPr>
        <w:br w:type="page"/>
      </w:r>
      <w:r w:rsidRPr="00F841BD">
        <w:rPr>
          <w:rFonts w:ascii="Arial" w:hAnsi="Arial" w:cs="Arial"/>
          <w:b/>
        </w:rPr>
        <w:lastRenderedPageBreak/>
        <w:t>Boilers, Heaters, and Other Combustion Devices</w:t>
      </w:r>
    </w:p>
    <w:p w:rsidR="0025341A" w:rsidRPr="00F841BD" w:rsidRDefault="0025341A" w:rsidP="0025341A">
      <w:pPr>
        <w:jc w:val="center"/>
        <w:rPr>
          <w:rFonts w:ascii="Arial" w:hAnsi="Arial" w:cs="Arial"/>
          <w:b/>
        </w:rPr>
      </w:pPr>
      <w:r w:rsidRPr="00F841BD">
        <w:rPr>
          <w:rFonts w:ascii="Arial" w:hAnsi="Arial" w:cs="Arial"/>
          <w:b/>
        </w:rPr>
        <w:t>Air Permits by Rule (PBR) Checklist</w:t>
      </w:r>
    </w:p>
    <w:p w:rsidR="0025341A" w:rsidRPr="00F841BD" w:rsidRDefault="0025341A" w:rsidP="004C531C">
      <w:pPr>
        <w:spacing w:after="240"/>
        <w:jc w:val="center"/>
        <w:rPr>
          <w:rFonts w:ascii="Arial" w:hAnsi="Arial" w:cs="Arial"/>
          <w:b/>
        </w:rPr>
      </w:pPr>
      <w:r w:rsidRPr="00F841BD">
        <w:rPr>
          <w:rFonts w:ascii="Arial" w:hAnsi="Arial" w:cs="Arial"/>
          <w:b/>
        </w:rPr>
        <w:t>Title 30 Texas Administrative Code § 106.183</w:t>
      </w:r>
    </w:p>
    <w:p w:rsidR="00F737D4" w:rsidRPr="00F841BD" w:rsidRDefault="00F737D4" w:rsidP="00F737D4">
      <w:pPr>
        <w:rPr>
          <w:rFonts w:ascii="Arial" w:hAnsi="Arial" w:cs="Arial"/>
          <w:b/>
          <w:sz w:val="22"/>
          <w:szCs w:val="22"/>
        </w:rPr>
      </w:pPr>
    </w:p>
    <w:tbl>
      <w:tblPr>
        <w:tblW w:w="10800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top w:w="58" w:type="dxa"/>
          <w:left w:w="62" w:type="dxa"/>
          <w:bottom w:w="58" w:type="dxa"/>
          <w:right w:w="62" w:type="dxa"/>
        </w:tblCellMar>
        <w:tblLook w:val="00A0" w:firstRow="1" w:lastRow="0" w:firstColumn="1" w:lastColumn="0" w:noHBand="0" w:noVBand="0"/>
        <w:tblDescription w:val="Table Boilers, Heaters, and Other Combustion Devices"/>
      </w:tblPr>
      <w:tblGrid>
        <w:gridCol w:w="9000"/>
        <w:gridCol w:w="1800"/>
      </w:tblGrid>
      <w:tr w:rsidR="0025341A" w:rsidRPr="00F841BD" w:rsidTr="0057260B">
        <w:trPr>
          <w:cantSplit/>
          <w:tblHeader/>
          <w:jc w:val="center"/>
        </w:trPr>
        <w:tc>
          <w:tcPr>
            <w:tcW w:w="10800" w:type="dxa"/>
            <w:gridSpan w:val="2"/>
            <w:tcBorders>
              <w:top w:val="double" w:sz="4" w:space="0" w:color="auto"/>
              <w:bottom w:val="single" w:sz="4" w:space="0" w:color="auto"/>
            </w:tcBorders>
            <w:shd w:val="pct10" w:color="auto" w:fill="auto"/>
          </w:tcPr>
          <w:p w:rsidR="0025341A" w:rsidRPr="00F841BD" w:rsidRDefault="0025341A" w:rsidP="003176F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b/>
                <w:bCs/>
                <w:sz w:val="22"/>
                <w:szCs w:val="22"/>
              </w:rPr>
              <w:t>Please Complete the Following:</w:t>
            </w:r>
          </w:p>
        </w:tc>
      </w:tr>
      <w:tr w:rsidR="00AC6449" w:rsidRPr="00F841BD" w:rsidTr="0057260B">
        <w:trPr>
          <w:cantSplit/>
          <w:jc w:val="center"/>
        </w:trPr>
        <w:tc>
          <w:tcPr>
            <w:tcW w:w="10800" w:type="dxa"/>
            <w:gridSpan w:val="2"/>
            <w:tcBorders>
              <w:top w:val="single" w:sz="6" w:space="0" w:color="000000"/>
              <w:bottom w:val="single" w:sz="4" w:space="0" w:color="auto"/>
            </w:tcBorders>
          </w:tcPr>
          <w:p w:rsidR="00AC6449" w:rsidRPr="00F841BD" w:rsidRDefault="00AC6449" w:rsidP="00F14C96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What is sul</w:t>
            </w:r>
            <w:bookmarkStart w:id="0" w:name="_GoBack"/>
            <w:bookmarkEnd w:id="0"/>
            <w:r w:rsidRPr="00F841BD">
              <w:rPr>
                <w:rFonts w:ascii="Arial" w:hAnsi="Arial" w:cs="Arial"/>
                <w:sz w:val="22"/>
                <w:szCs w:val="22"/>
              </w:rPr>
              <w:t>fur content of the distillate fuel oil</w:t>
            </w:r>
            <w:r w:rsidR="00F14C96" w:rsidRPr="00F841BD">
              <w:rPr>
                <w:rFonts w:ascii="Arial" w:hAnsi="Arial" w:cs="Arial"/>
                <w:sz w:val="22"/>
                <w:szCs w:val="22"/>
              </w:rPr>
              <w:t xml:space="preserve"> (% sulfur by weight)</w:t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? </w:t>
            </w:r>
          </w:p>
        </w:tc>
      </w:tr>
      <w:tr w:rsidR="00F737D4" w:rsidRPr="00F841BD" w:rsidTr="0057260B">
        <w:trPr>
          <w:cantSplit/>
          <w:jc w:val="center"/>
        </w:trPr>
        <w:tc>
          <w:tcPr>
            <w:tcW w:w="9000" w:type="dxa"/>
            <w:tcBorders>
              <w:top w:val="single" w:sz="6" w:space="0" w:color="000000"/>
              <w:bottom w:val="single" w:sz="4" w:space="0" w:color="auto"/>
              <w:right w:val="nil"/>
            </w:tcBorders>
          </w:tcPr>
          <w:p w:rsidR="00F737D4" w:rsidRPr="00F841BD" w:rsidRDefault="00F737D4" w:rsidP="003176F1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Is the distillate fuel oil blended with waste oils or solvents?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F737D4" w:rsidRPr="00F841BD" w:rsidRDefault="00F737D4" w:rsidP="00F737D4">
            <w:pPr>
              <w:tabs>
                <w:tab w:val="left" w:pos="360"/>
              </w:tabs>
              <w:ind w:left="360" w:hanging="360"/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F737D4" w:rsidRPr="00F841BD" w:rsidTr="0057260B">
        <w:trPr>
          <w:cantSplit/>
          <w:jc w:val="center"/>
        </w:trPr>
        <w:tc>
          <w:tcPr>
            <w:tcW w:w="9000" w:type="dxa"/>
            <w:tcBorders>
              <w:top w:val="single" w:sz="6" w:space="0" w:color="000000"/>
              <w:bottom w:val="single" w:sz="4" w:space="0" w:color="auto"/>
              <w:right w:val="nil"/>
            </w:tcBorders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Will records of hours of fuel oil firing and fuel oil purchases be maintained on-site for at least two years and made available upon request to the commission or any local air pollution control program having jurisdiction?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single" w:sz="4" w:space="0" w:color="auto"/>
            </w:tcBorders>
            <w:shd w:val="clear" w:color="auto" w:fill="auto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050B" w:rsidRPr="00F841BD" w:rsidTr="0057260B">
        <w:trPr>
          <w:cantSplit/>
          <w:jc w:val="center"/>
        </w:trPr>
        <w:tc>
          <w:tcPr>
            <w:tcW w:w="10800" w:type="dxa"/>
            <w:gridSpan w:val="2"/>
            <w:tcBorders>
              <w:top w:val="single" w:sz="4" w:space="0" w:color="auto"/>
              <w:bottom w:val="single" w:sz="6" w:space="0" w:color="000000"/>
            </w:tcBorders>
            <w:shd w:val="pct10" w:color="auto" w:fill="auto"/>
            <w:vAlign w:val="center"/>
          </w:tcPr>
          <w:p w:rsidR="0054050B" w:rsidRPr="00F841BD" w:rsidRDefault="0054050B" w:rsidP="003176F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1BD">
              <w:rPr>
                <w:rFonts w:ascii="Arial" w:hAnsi="Arial" w:cs="Arial"/>
                <w:b/>
                <w:sz w:val="22"/>
                <w:szCs w:val="22"/>
              </w:rPr>
              <w:t>Other Applicable Rules and Regulations</w:t>
            </w:r>
          </w:p>
          <w:p w:rsidR="0054050B" w:rsidRPr="00F841BD" w:rsidRDefault="0054050B" w:rsidP="0033177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F841BD">
              <w:rPr>
                <w:rFonts w:ascii="Arial" w:hAnsi="Arial" w:cs="Arial"/>
                <w:b/>
                <w:sz w:val="22"/>
                <w:szCs w:val="22"/>
              </w:rPr>
              <w:t>If assistance is needed in determining other applicable rules and regulat</w:t>
            </w:r>
            <w:r w:rsidR="00331778" w:rsidRPr="00F841BD">
              <w:rPr>
                <w:rFonts w:ascii="Arial" w:hAnsi="Arial" w:cs="Arial"/>
                <w:b/>
                <w:sz w:val="22"/>
                <w:szCs w:val="22"/>
              </w:rPr>
              <w:t>ion please contact the Rule</w:t>
            </w:r>
            <w:r w:rsidRPr="00F841BD">
              <w:rPr>
                <w:rFonts w:ascii="Arial" w:hAnsi="Arial" w:cs="Arial"/>
                <w:b/>
                <w:sz w:val="22"/>
                <w:szCs w:val="22"/>
              </w:rPr>
              <w:t xml:space="preserve"> Reg</w:t>
            </w:r>
            <w:r w:rsidR="00331778" w:rsidRPr="00F841BD">
              <w:rPr>
                <w:rFonts w:ascii="Arial" w:hAnsi="Arial" w:cs="Arial"/>
                <w:b/>
                <w:sz w:val="22"/>
                <w:szCs w:val="22"/>
              </w:rPr>
              <w:t>istrations</w:t>
            </w:r>
            <w:r w:rsidRPr="00F841BD">
              <w:rPr>
                <w:rFonts w:ascii="Arial" w:hAnsi="Arial" w:cs="Arial"/>
                <w:b/>
                <w:sz w:val="22"/>
                <w:szCs w:val="22"/>
              </w:rPr>
              <w:t xml:space="preserve"> Section, Air Permits Division at (512) 239-1250.</w:t>
            </w:r>
          </w:p>
        </w:tc>
      </w:tr>
      <w:tr w:rsidR="00F737D4" w:rsidRPr="00F841BD" w:rsidTr="0057260B">
        <w:trPr>
          <w:cantSplit/>
          <w:jc w:val="center"/>
        </w:trPr>
        <w:tc>
          <w:tcPr>
            <w:tcW w:w="9000" w:type="dxa"/>
            <w:tcBorders>
              <w:top w:val="single" w:sz="6" w:space="0" w:color="000000"/>
              <w:bottom w:val="nil"/>
              <w:right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Is the facility subject to </w:t>
            </w:r>
            <w:hyperlink r:id="rId17" w:history="1"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30 TAC Chapter 117, Subchapter B</w:t>
              </w:r>
            </w:hyperlink>
            <w:r w:rsidRPr="00F841B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050B" w:rsidRPr="00F841BD" w:rsidTr="0057260B">
        <w:trPr>
          <w:cantSplit/>
          <w:jc w:val="center"/>
        </w:trPr>
        <w:tc>
          <w:tcPr>
            <w:tcW w:w="10800" w:type="dxa"/>
            <w:gridSpan w:val="2"/>
            <w:tcBorders>
              <w:top w:val="nil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Why or Why Not:</w:t>
            </w:r>
          </w:p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7D4" w:rsidRPr="00F841BD" w:rsidTr="0057260B">
        <w:trPr>
          <w:cantSplit/>
          <w:jc w:val="center"/>
        </w:trPr>
        <w:tc>
          <w:tcPr>
            <w:tcW w:w="9000" w:type="dxa"/>
            <w:tcBorders>
              <w:top w:val="single" w:sz="6" w:space="0" w:color="000000"/>
              <w:bottom w:val="nil"/>
              <w:right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Is the facility subject to </w:t>
            </w:r>
            <w:hyperlink r:id="rId18" w:history="1"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30 TAC Chapter 117, Subchapter D</w:t>
              </w:r>
            </w:hyperlink>
            <w:r w:rsidRPr="00F841B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050B" w:rsidRPr="00F841BD" w:rsidTr="0057260B">
        <w:trPr>
          <w:cantSplit/>
          <w:jc w:val="center"/>
        </w:trPr>
        <w:tc>
          <w:tcPr>
            <w:tcW w:w="10800" w:type="dxa"/>
            <w:gridSpan w:val="2"/>
            <w:tcBorders>
              <w:top w:val="nil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Why or Why Not:</w:t>
            </w:r>
          </w:p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7D4" w:rsidRPr="00F841BD" w:rsidTr="0057260B">
        <w:trPr>
          <w:cantSplit/>
          <w:jc w:val="center"/>
        </w:trPr>
        <w:tc>
          <w:tcPr>
            <w:tcW w:w="9000" w:type="dxa"/>
            <w:tcBorders>
              <w:top w:val="single" w:sz="6" w:space="0" w:color="000000"/>
              <w:bottom w:val="nil"/>
              <w:right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Is the facility subject to </w:t>
            </w:r>
            <w:hyperlink r:id="rId19" w:history="1"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 Part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60, NSPS Subpart D</w:t>
              </w:r>
            </w:hyperlink>
            <w:r w:rsidRPr="00F841B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050B" w:rsidRPr="00F841BD" w:rsidTr="0057260B">
        <w:trPr>
          <w:cantSplit/>
          <w:jc w:val="center"/>
        </w:trPr>
        <w:tc>
          <w:tcPr>
            <w:tcW w:w="10800" w:type="dxa"/>
            <w:gridSpan w:val="2"/>
            <w:tcBorders>
              <w:top w:val="nil"/>
              <w:bottom w:val="single" w:sz="6" w:space="0" w:color="000000"/>
              <w:right w:val="single" w:sz="8" w:space="0" w:color="000000"/>
            </w:tcBorders>
            <w:shd w:val="clear" w:color="auto" w:fill="FFFFFF"/>
          </w:tcPr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Why or Why Not:</w:t>
            </w:r>
          </w:p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7D4" w:rsidRPr="00F841BD" w:rsidTr="0057260B">
        <w:trPr>
          <w:cantSplit/>
          <w:trHeight w:val="179"/>
          <w:jc w:val="center"/>
        </w:trPr>
        <w:tc>
          <w:tcPr>
            <w:tcW w:w="9000" w:type="dxa"/>
            <w:tcBorders>
              <w:top w:val="single" w:sz="6" w:space="0" w:color="000000"/>
              <w:bottom w:val="nil"/>
              <w:right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Is the facility subject to </w:t>
            </w:r>
            <w:hyperlink r:id="rId20" w:history="1"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P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a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rt 60, NSPS Subpart Da</w:t>
              </w:r>
            </w:hyperlink>
            <w:r w:rsidRPr="00F841B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54050B" w:rsidRPr="00F841BD" w:rsidTr="0057260B">
        <w:trPr>
          <w:cantSplit/>
          <w:trHeight w:val="350"/>
          <w:jc w:val="center"/>
        </w:trPr>
        <w:tc>
          <w:tcPr>
            <w:tcW w:w="10800" w:type="dxa"/>
            <w:gridSpan w:val="2"/>
            <w:tcBorders>
              <w:top w:val="nil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Why or Why Not:</w:t>
            </w:r>
          </w:p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54050B" w:rsidRPr="00F841BD" w:rsidRDefault="0054050B" w:rsidP="00F7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7D4" w:rsidRPr="00F841BD" w:rsidTr="0057260B">
        <w:tblPrEx>
          <w:tblBorders>
            <w:top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jc w:val="center"/>
        </w:trPr>
        <w:tc>
          <w:tcPr>
            <w:tcW w:w="9000" w:type="dxa"/>
            <w:tcBorders>
              <w:top w:val="single" w:sz="6" w:space="0" w:color="000000"/>
              <w:bottom w:val="nil"/>
              <w:right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Is the facility subject to </w:t>
            </w:r>
            <w:hyperlink r:id="rId21" w:history="1"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 P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a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rt 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6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0, NSPS Subpart </w:t>
              </w:r>
              <w:proofErr w:type="spellStart"/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Db</w:t>
              </w:r>
              <w:proofErr w:type="spellEnd"/>
            </w:hyperlink>
            <w:r w:rsidRPr="00F841B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25341A" w:rsidRPr="00F841BD" w:rsidTr="0057260B">
        <w:tblPrEx>
          <w:tblBorders>
            <w:top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jc w:val="center"/>
        </w:trPr>
        <w:tc>
          <w:tcPr>
            <w:tcW w:w="10800" w:type="dxa"/>
            <w:gridSpan w:val="2"/>
            <w:tcBorders>
              <w:top w:val="nil"/>
              <w:bottom w:val="single" w:sz="6" w:space="0" w:color="000000"/>
            </w:tcBorders>
            <w:shd w:val="clear" w:color="auto" w:fill="FFFFFF"/>
          </w:tcPr>
          <w:p w:rsidR="0025341A" w:rsidRPr="00F841BD" w:rsidRDefault="0025341A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Why or Why Not:</w:t>
            </w:r>
          </w:p>
          <w:p w:rsidR="0025341A" w:rsidRPr="00F841BD" w:rsidRDefault="0025341A" w:rsidP="00F73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41A" w:rsidRPr="00F841BD" w:rsidRDefault="0025341A" w:rsidP="00F7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7D4" w:rsidRPr="00F841BD" w:rsidTr="0057260B">
        <w:tblPrEx>
          <w:tblBorders>
            <w:top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jc w:val="center"/>
        </w:trPr>
        <w:tc>
          <w:tcPr>
            <w:tcW w:w="9000" w:type="dxa"/>
            <w:tcBorders>
              <w:top w:val="single" w:sz="6" w:space="0" w:color="000000"/>
              <w:bottom w:val="nil"/>
              <w:right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Is the facility subject to </w:t>
            </w:r>
            <w:hyperlink r:id="rId22" w:history="1"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 Pa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r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t 60, NSPS Subpart Dc</w:t>
              </w:r>
            </w:hyperlink>
            <w:r w:rsidRPr="00F841B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NO</w:t>
            </w:r>
          </w:p>
        </w:tc>
      </w:tr>
      <w:tr w:rsidR="0025341A" w:rsidRPr="00F841BD" w:rsidTr="0057260B">
        <w:tblPrEx>
          <w:tblBorders>
            <w:top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jc w:val="center"/>
        </w:trPr>
        <w:tc>
          <w:tcPr>
            <w:tcW w:w="10800" w:type="dxa"/>
            <w:gridSpan w:val="2"/>
            <w:tcBorders>
              <w:top w:val="nil"/>
              <w:bottom w:val="single" w:sz="6" w:space="0" w:color="000000"/>
            </w:tcBorders>
            <w:shd w:val="clear" w:color="auto" w:fill="FFFFFF"/>
          </w:tcPr>
          <w:p w:rsidR="0025341A" w:rsidRPr="00F841BD" w:rsidRDefault="0025341A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Why or Why Not:</w:t>
            </w:r>
          </w:p>
          <w:p w:rsidR="0025341A" w:rsidRPr="00F841BD" w:rsidRDefault="0025341A" w:rsidP="00F73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41A" w:rsidRPr="00F841BD" w:rsidRDefault="0025341A" w:rsidP="00F7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37D4" w:rsidRPr="00F841BD" w:rsidTr="0057260B">
        <w:tblPrEx>
          <w:tblBorders>
            <w:top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jc w:val="center"/>
        </w:trPr>
        <w:tc>
          <w:tcPr>
            <w:tcW w:w="9000" w:type="dxa"/>
            <w:tcBorders>
              <w:top w:val="single" w:sz="6" w:space="0" w:color="000000"/>
              <w:bottom w:val="nil"/>
              <w:right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 xml:space="preserve">Is the facility subject to </w:t>
            </w:r>
            <w:hyperlink r:id="rId23" w:history="1"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40 CFR Par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t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 xml:space="preserve"> 6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0</w:t>
              </w:r>
              <w:r w:rsidRPr="00F841BD">
                <w:rPr>
                  <w:rStyle w:val="Hyperlink"/>
                  <w:rFonts w:ascii="Arial" w:hAnsi="Arial" w:cs="Arial"/>
                  <w:sz w:val="22"/>
                  <w:szCs w:val="22"/>
                  <w:u w:val="none"/>
                </w:rPr>
                <w:t>, NSPS Subpart UUU</w:t>
              </w:r>
            </w:hyperlink>
            <w:r w:rsidRPr="00F841BD">
              <w:rPr>
                <w:rFonts w:ascii="Arial" w:hAnsi="Arial" w:cs="Arial"/>
                <w:sz w:val="22"/>
                <w:szCs w:val="22"/>
              </w:rPr>
              <w:t>?</w:t>
            </w:r>
          </w:p>
        </w:tc>
        <w:tc>
          <w:tcPr>
            <w:tcW w:w="1800" w:type="dxa"/>
            <w:tcBorders>
              <w:top w:val="single" w:sz="6" w:space="0" w:color="000000"/>
              <w:left w:val="nil"/>
              <w:bottom w:val="nil"/>
            </w:tcBorders>
            <w:shd w:val="clear" w:color="auto" w:fill="FFFFFF"/>
          </w:tcPr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 xml:space="preserve"> YES </w:t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841BD">
              <w:rPr>
                <w:rFonts w:ascii="Arial" w:hAnsi="Arial" w:cs="Arial"/>
                <w:sz w:val="22"/>
                <w:szCs w:val="22"/>
              </w:rPr>
              <w:instrText xml:space="preserve"> FORMCHECKBOX </w:instrText>
            </w:r>
            <w:r w:rsidR="00FC67E0">
              <w:rPr>
                <w:rFonts w:ascii="Arial" w:hAnsi="Arial" w:cs="Arial"/>
                <w:sz w:val="22"/>
                <w:szCs w:val="22"/>
              </w:rPr>
            </w:r>
            <w:r w:rsidR="00FC67E0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Pr="00F841BD">
              <w:rPr>
                <w:rFonts w:ascii="Arial" w:hAnsi="Arial" w:cs="Arial"/>
                <w:sz w:val="22"/>
                <w:szCs w:val="22"/>
              </w:rPr>
              <w:fldChar w:fldCharType="end"/>
            </w:r>
            <w:r w:rsidRPr="00F841BD">
              <w:rPr>
                <w:rFonts w:ascii="Arial" w:hAnsi="Arial" w:cs="Arial"/>
                <w:sz w:val="22"/>
                <w:szCs w:val="22"/>
              </w:rPr>
              <w:t>NO</w:t>
            </w:r>
          </w:p>
        </w:tc>
      </w:tr>
      <w:tr w:rsidR="0025341A" w:rsidRPr="00F841BD" w:rsidTr="0057260B">
        <w:tblPrEx>
          <w:tblBorders>
            <w:top w:val="double" w:sz="6" w:space="0" w:color="auto"/>
            <w:bottom w:val="double" w:sz="6" w:space="0" w:color="auto"/>
            <w:right w:val="double" w:sz="6" w:space="0" w:color="auto"/>
          </w:tblBorders>
        </w:tblPrEx>
        <w:trPr>
          <w:cantSplit/>
          <w:jc w:val="center"/>
        </w:trPr>
        <w:tc>
          <w:tcPr>
            <w:tcW w:w="10800" w:type="dxa"/>
            <w:gridSpan w:val="2"/>
            <w:tcBorders>
              <w:top w:val="nil"/>
              <w:bottom w:val="double" w:sz="6" w:space="0" w:color="auto"/>
            </w:tcBorders>
            <w:shd w:val="clear" w:color="auto" w:fill="FFFFFF"/>
          </w:tcPr>
          <w:p w:rsidR="0025341A" w:rsidRPr="00F841BD" w:rsidRDefault="0025341A" w:rsidP="00F737D4">
            <w:pPr>
              <w:rPr>
                <w:rFonts w:ascii="Arial" w:hAnsi="Arial" w:cs="Arial"/>
                <w:sz w:val="22"/>
                <w:szCs w:val="22"/>
              </w:rPr>
            </w:pPr>
            <w:r w:rsidRPr="00F841BD">
              <w:rPr>
                <w:rFonts w:ascii="Arial" w:hAnsi="Arial" w:cs="Arial"/>
                <w:sz w:val="22"/>
                <w:szCs w:val="22"/>
              </w:rPr>
              <w:t>Why or Why Not:</w:t>
            </w:r>
          </w:p>
          <w:p w:rsidR="00F737D4" w:rsidRPr="00F841BD" w:rsidRDefault="00F737D4" w:rsidP="00F737D4">
            <w:pPr>
              <w:rPr>
                <w:rFonts w:ascii="Arial" w:hAnsi="Arial" w:cs="Arial"/>
                <w:sz w:val="22"/>
                <w:szCs w:val="22"/>
              </w:rPr>
            </w:pPr>
          </w:p>
          <w:p w:rsidR="0025341A" w:rsidRPr="00F841BD" w:rsidRDefault="0025341A" w:rsidP="00F737D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25341A" w:rsidRPr="00F841BD" w:rsidRDefault="0025341A" w:rsidP="0025341A">
      <w:pPr>
        <w:rPr>
          <w:rFonts w:ascii="Arial" w:hAnsi="Arial" w:cs="Arial"/>
          <w:sz w:val="22"/>
          <w:szCs w:val="22"/>
        </w:rPr>
      </w:pPr>
      <w:r w:rsidRPr="00F841BD">
        <w:rPr>
          <w:rFonts w:ascii="Arial" w:hAnsi="Arial" w:cs="Arial"/>
          <w:b/>
          <w:sz w:val="22"/>
          <w:szCs w:val="22"/>
          <w:u w:val="single"/>
        </w:rPr>
        <w:br w:type="page"/>
      </w:r>
    </w:p>
    <w:p w:rsidR="0025341A" w:rsidRPr="00F841BD" w:rsidRDefault="0025341A" w:rsidP="0025341A">
      <w:pPr>
        <w:jc w:val="center"/>
        <w:rPr>
          <w:rFonts w:ascii="Arial" w:hAnsi="Arial" w:cs="Arial"/>
          <w:b/>
        </w:rPr>
      </w:pPr>
      <w:r w:rsidRPr="00F841BD">
        <w:rPr>
          <w:rFonts w:ascii="Arial" w:hAnsi="Arial" w:cs="Arial"/>
          <w:b/>
        </w:rPr>
        <w:lastRenderedPageBreak/>
        <w:t>Boilers, Heaters, and Other Combustion Devices</w:t>
      </w:r>
    </w:p>
    <w:p w:rsidR="0025341A" w:rsidRPr="00F841BD" w:rsidRDefault="0025341A" w:rsidP="0025341A">
      <w:pPr>
        <w:jc w:val="center"/>
        <w:rPr>
          <w:rFonts w:ascii="Arial" w:hAnsi="Arial" w:cs="Arial"/>
          <w:b/>
        </w:rPr>
      </w:pPr>
      <w:r w:rsidRPr="00F841BD">
        <w:rPr>
          <w:rFonts w:ascii="Arial" w:hAnsi="Arial" w:cs="Arial"/>
          <w:b/>
        </w:rPr>
        <w:t>Air Permits by Rule (PBR) Checklist</w:t>
      </w:r>
    </w:p>
    <w:p w:rsidR="0025341A" w:rsidRPr="00F841BD" w:rsidRDefault="0025341A" w:rsidP="0025341A">
      <w:pPr>
        <w:spacing w:after="480"/>
        <w:jc w:val="center"/>
        <w:rPr>
          <w:rFonts w:ascii="Arial" w:hAnsi="Arial" w:cs="Arial"/>
          <w:b/>
        </w:rPr>
      </w:pPr>
      <w:r w:rsidRPr="00F841BD">
        <w:rPr>
          <w:rFonts w:ascii="Arial" w:hAnsi="Arial" w:cs="Arial"/>
          <w:b/>
        </w:rPr>
        <w:t>Title 30 Texas Administrative Code § 106.183</w:t>
      </w:r>
    </w:p>
    <w:p w:rsidR="00F7344C" w:rsidRPr="00F841BD" w:rsidRDefault="00F7344C" w:rsidP="00653604">
      <w:pPr>
        <w:spacing w:after="120"/>
        <w:rPr>
          <w:rFonts w:ascii="Arial" w:hAnsi="Arial" w:cs="Arial"/>
          <w:iCs/>
          <w:sz w:val="22"/>
          <w:szCs w:val="22"/>
        </w:rPr>
      </w:pPr>
      <w:r w:rsidRPr="00F841BD">
        <w:rPr>
          <w:rFonts w:ascii="Arial" w:hAnsi="Arial" w:cs="Arial"/>
          <w:b/>
          <w:sz w:val="22"/>
          <w:szCs w:val="22"/>
        </w:rPr>
        <w:t>Record Keeping:</w:t>
      </w:r>
      <w:r w:rsidRPr="00F841BD">
        <w:rPr>
          <w:rFonts w:ascii="Arial" w:hAnsi="Arial" w:cs="Arial"/>
          <w:sz w:val="22"/>
          <w:szCs w:val="22"/>
        </w:rPr>
        <w:t xml:space="preserve">  </w:t>
      </w:r>
      <w:r w:rsidRPr="00F841BD">
        <w:rPr>
          <w:rFonts w:ascii="Arial" w:hAnsi="Arial" w:cs="Arial"/>
          <w:iCs/>
          <w:sz w:val="22"/>
          <w:szCs w:val="22"/>
        </w:rPr>
        <w:t xml:space="preserve">In order to demonstrate compliance with the general and specific requirements of this </w:t>
      </w:r>
      <w:smartTag w:uri="urn:schemas-microsoft-com:office:smarttags" w:element="phone">
        <w:r w:rsidRPr="00F841BD">
          <w:rPr>
            <w:rFonts w:ascii="Arial" w:hAnsi="Arial" w:cs="Arial"/>
            <w:iCs/>
            <w:sz w:val="22"/>
            <w:szCs w:val="22"/>
          </w:rPr>
          <w:t>PBR</w:t>
        </w:r>
      </w:smartTag>
      <w:r w:rsidRPr="00F841BD">
        <w:rPr>
          <w:rFonts w:ascii="Arial" w:hAnsi="Arial" w:cs="Arial"/>
          <w:iCs/>
          <w:sz w:val="22"/>
          <w:szCs w:val="22"/>
        </w:rPr>
        <w:t xml:space="preserve">, </w:t>
      </w:r>
      <w:r w:rsidRPr="00F841BD">
        <w:rPr>
          <w:rFonts w:ascii="Arial" w:hAnsi="Arial" w:cs="Arial"/>
          <w:sz w:val="22"/>
          <w:szCs w:val="22"/>
        </w:rPr>
        <w:t xml:space="preserve">records of the hours of fuel oil firing and fuel oil purchases must be maintained on-site for at least two years and made immediately available upon request to the commission or any local air pollution control program having jurisdiction. </w:t>
      </w:r>
      <w:r w:rsidRPr="00F841BD">
        <w:rPr>
          <w:rFonts w:ascii="Arial" w:hAnsi="Arial" w:cs="Arial"/>
          <w:iCs/>
          <w:sz w:val="22"/>
          <w:szCs w:val="22"/>
        </w:rPr>
        <w:t xml:space="preserve">The registrant should also become familiar with the additional record keeping requirements in </w:t>
      </w:r>
      <w:hyperlink r:id="rId24" w:history="1">
        <w:r w:rsidRPr="00F841BD">
          <w:rPr>
            <w:rStyle w:val="Hyperlink"/>
            <w:rFonts w:ascii="Arial" w:hAnsi="Arial" w:cs="Arial"/>
            <w:iCs/>
            <w:sz w:val="22"/>
            <w:szCs w:val="22"/>
            <w:u w:val="none"/>
          </w:rPr>
          <w:t>30 TAC §</w:t>
        </w:r>
        <w:r w:rsidR="0030440A" w:rsidRPr="00F841BD">
          <w:rPr>
            <w:rStyle w:val="Hyperlink"/>
            <w:rFonts w:ascii="Arial" w:hAnsi="Arial" w:cs="Arial"/>
            <w:iCs/>
            <w:sz w:val="22"/>
            <w:szCs w:val="22"/>
            <w:u w:val="none"/>
          </w:rPr>
          <w:t xml:space="preserve"> </w:t>
        </w:r>
        <w:r w:rsidRPr="00F841BD">
          <w:rPr>
            <w:rStyle w:val="Hyperlink"/>
            <w:rFonts w:ascii="Arial" w:hAnsi="Arial" w:cs="Arial"/>
            <w:iCs/>
            <w:sz w:val="22"/>
            <w:szCs w:val="22"/>
            <w:u w:val="none"/>
          </w:rPr>
          <w:t>106.8</w:t>
        </w:r>
      </w:hyperlink>
      <w:r w:rsidRPr="00F841BD">
        <w:rPr>
          <w:rFonts w:ascii="Arial" w:hAnsi="Arial" w:cs="Arial"/>
          <w:iCs/>
          <w:sz w:val="22"/>
          <w:szCs w:val="22"/>
        </w:rPr>
        <w:t xml:space="preserve">. </w:t>
      </w:r>
      <w:r w:rsidRPr="00F841BD">
        <w:rPr>
          <w:rFonts w:ascii="Arial" w:hAnsi="Arial" w:cs="Arial"/>
          <w:sz w:val="22"/>
          <w:szCs w:val="22"/>
        </w:rPr>
        <w:t xml:space="preserve">The records must be made available immediately upon request to the commission or any air pollution control program having jurisdiction. </w:t>
      </w:r>
      <w:r w:rsidRPr="00F841BD">
        <w:rPr>
          <w:rFonts w:ascii="Arial" w:hAnsi="Arial" w:cs="Arial"/>
          <w:iCs/>
          <w:sz w:val="22"/>
          <w:szCs w:val="22"/>
        </w:rPr>
        <w:t xml:space="preserve">If you have any question about the type of records that </w:t>
      </w:r>
      <w:proofErr w:type="gramStart"/>
      <w:r w:rsidRPr="00F841BD">
        <w:rPr>
          <w:rFonts w:ascii="Arial" w:hAnsi="Arial" w:cs="Arial"/>
          <w:iCs/>
          <w:sz w:val="22"/>
          <w:szCs w:val="22"/>
        </w:rPr>
        <w:t>should be maintained</w:t>
      </w:r>
      <w:proofErr w:type="gramEnd"/>
      <w:r w:rsidRPr="00F841BD">
        <w:rPr>
          <w:rFonts w:ascii="Arial" w:hAnsi="Arial" w:cs="Arial"/>
          <w:iCs/>
          <w:sz w:val="22"/>
          <w:szCs w:val="22"/>
        </w:rPr>
        <w:t xml:space="preserve">, contact the Air Program in the </w:t>
      </w:r>
      <w:hyperlink r:id="rId25" w:history="1">
        <w:r w:rsidR="00E17496" w:rsidRPr="00F841BD">
          <w:rPr>
            <w:rStyle w:val="Hyperlink"/>
            <w:rFonts w:ascii="Arial" w:hAnsi="Arial" w:cs="Arial"/>
            <w:iCs/>
            <w:sz w:val="22"/>
            <w:szCs w:val="22"/>
            <w:u w:val="none"/>
          </w:rPr>
          <w:t>TCEQ</w:t>
        </w:r>
        <w:r w:rsidR="007565F5" w:rsidRPr="00F841BD">
          <w:rPr>
            <w:rStyle w:val="Hyperlink"/>
            <w:rFonts w:ascii="Arial" w:hAnsi="Arial" w:cs="Arial"/>
            <w:iCs/>
            <w:sz w:val="22"/>
            <w:szCs w:val="22"/>
            <w:u w:val="none"/>
          </w:rPr>
          <w:t xml:space="preserve"> </w:t>
        </w:r>
        <w:r w:rsidRPr="00F841BD">
          <w:rPr>
            <w:rStyle w:val="Hyperlink"/>
            <w:rFonts w:ascii="Arial" w:hAnsi="Arial" w:cs="Arial"/>
            <w:iCs/>
            <w:sz w:val="22"/>
            <w:szCs w:val="22"/>
            <w:u w:val="none"/>
          </w:rPr>
          <w:t>Regional Office</w:t>
        </w:r>
      </w:hyperlink>
      <w:r w:rsidRPr="00F841BD">
        <w:rPr>
          <w:rFonts w:ascii="Arial" w:hAnsi="Arial" w:cs="Arial"/>
          <w:iCs/>
          <w:sz w:val="22"/>
          <w:szCs w:val="22"/>
        </w:rPr>
        <w:t xml:space="preserve"> </w:t>
      </w:r>
      <w:r w:rsidR="00604133" w:rsidRPr="00F841BD">
        <w:rPr>
          <w:rFonts w:ascii="Arial" w:hAnsi="Arial" w:cs="Arial"/>
          <w:iCs/>
          <w:sz w:val="22"/>
          <w:szCs w:val="22"/>
        </w:rPr>
        <w:t xml:space="preserve">for the region </w:t>
      </w:r>
      <w:r w:rsidRPr="00F841BD">
        <w:rPr>
          <w:rFonts w:ascii="Arial" w:hAnsi="Arial" w:cs="Arial"/>
          <w:iCs/>
          <w:sz w:val="22"/>
          <w:szCs w:val="22"/>
        </w:rPr>
        <w:t>in which the site is located.</w:t>
      </w:r>
    </w:p>
    <w:p w:rsidR="002C2684" w:rsidRDefault="00F7344C" w:rsidP="00E17496">
      <w:pPr>
        <w:rPr>
          <w:rFonts w:ascii="Arial" w:hAnsi="Arial" w:cs="Arial"/>
          <w:iCs/>
          <w:sz w:val="22"/>
          <w:szCs w:val="22"/>
        </w:rPr>
      </w:pPr>
      <w:r w:rsidRPr="00F841BD">
        <w:rPr>
          <w:rFonts w:ascii="Arial" w:hAnsi="Arial" w:cs="Arial"/>
          <w:b/>
          <w:iCs/>
          <w:sz w:val="22"/>
          <w:szCs w:val="22"/>
        </w:rPr>
        <w:t>Recommended Calculation Method:</w:t>
      </w:r>
      <w:r w:rsidRPr="00F841BD">
        <w:rPr>
          <w:rFonts w:ascii="Arial" w:hAnsi="Arial" w:cs="Arial"/>
          <w:iCs/>
          <w:sz w:val="22"/>
          <w:szCs w:val="22"/>
        </w:rPr>
        <w:t xml:space="preserve"> </w:t>
      </w:r>
      <w:r w:rsidR="008516E0" w:rsidRPr="00F841BD">
        <w:rPr>
          <w:rFonts w:ascii="Arial" w:hAnsi="Arial" w:cs="Arial"/>
          <w:iCs/>
          <w:sz w:val="22"/>
          <w:szCs w:val="22"/>
        </w:rPr>
        <w:t xml:space="preserve"> </w:t>
      </w:r>
      <w:r w:rsidRPr="00F841BD">
        <w:rPr>
          <w:rFonts w:ascii="Arial" w:hAnsi="Arial" w:cs="Arial"/>
          <w:iCs/>
          <w:sz w:val="22"/>
          <w:szCs w:val="22"/>
        </w:rPr>
        <w:t xml:space="preserve">Emission estimates may be made using the calculation method described in the TCEQ Guidance for Boilers and Heaters at: </w:t>
      </w:r>
      <w:r w:rsidR="008F2A95" w:rsidRPr="00F841BD">
        <w:rPr>
          <w:rFonts w:ascii="Arial" w:hAnsi="Arial" w:cs="Arial"/>
          <w:iCs/>
          <w:sz w:val="22"/>
          <w:szCs w:val="22"/>
        </w:rPr>
        <w:t xml:space="preserve"> </w:t>
      </w:r>
      <w:hyperlink r:id="rId26" w:history="1">
        <w:r w:rsidR="00731F43">
          <w:rPr>
            <w:rStyle w:val="Hyperlink"/>
            <w:rFonts w:ascii="Arial" w:hAnsi="Arial" w:cs="Arial"/>
            <w:sz w:val="22"/>
            <w:szCs w:val="22"/>
            <w:u w:val="none"/>
          </w:rPr>
          <w:t>www.tceq.texas.gov/permitting/air/guid</w:t>
        </w:r>
        <w:r w:rsidR="00731F43">
          <w:rPr>
            <w:rStyle w:val="Hyperlink"/>
            <w:rFonts w:ascii="Arial" w:hAnsi="Arial" w:cs="Arial"/>
            <w:sz w:val="22"/>
            <w:szCs w:val="22"/>
            <w:u w:val="none"/>
          </w:rPr>
          <w:t>a</w:t>
        </w:r>
        <w:r w:rsidR="00731F43">
          <w:rPr>
            <w:rStyle w:val="Hyperlink"/>
            <w:rFonts w:ascii="Arial" w:hAnsi="Arial" w:cs="Arial"/>
            <w:sz w:val="22"/>
            <w:szCs w:val="22"/>
            <w:u w:val="none"/>
          </w:rPr>
          <w:t>nce/newsourcereview/nsr_fac_index.html</w:t>
        </w:r>
      </w:hyperlink>
      <w:r w:rsidRPr="00F841BD">
        <w:rPr>
          <w:rFonts w:ascii="Arial" w:hAnsi="Arial" w:cs="Arial"/>
          <w:iCs/>
          <w:sz w:val="22"/>
          <w:szCs w:val="22"/>
        </w:rPr>
        <w:t xml:space="preserve"> and/or </w:t>
      </w:r>
      <w:r w:rsidRPr="00F841BD">
        <w:rPr>
          <w:rFonts w:ascii="Arial" w:hAnsi="Arial" w:cs="Arial"/>
          <w:color w:val="000000"/>
          <w:sz w:val="22"/>
          <w:szCs w:val="22"/>
        </w:rPr>
        <w:t xml:space="preserve">use the </w:t>
      </w:r>
      <w:r w:rsidRPr="00F841BD">
        <w:rPr>
          <w:rFonts w:ascii="Arial" w:hAnsi="Arial" w:cs="Arial"/>
          <w:iCs/>
          <w:sz w:val="22"/>
          <w:szCs w:val="22"/>
        </w:rPr>
        <w:t xml:space="preserve">emission factors for each air contaminant from the EPA Compilation of Air Pollutant Emission Factors (AP-42), Fifth Edition, Volume 1, Chapter 11: </w:t>
      </w:r>
      <w:r w:rsidR="009574BC" w:rsidRPr="00F841BD">
        <w:rPr>
          <w:rFonts w:ascii="Arial" w:hAnsi="Arial" w:cs="Arial"/>
          <w:iCs/>
          <w:sz w:val="22"/>
          <w:szCs w:val="22"/>
        </w:rPr>
        <w:t xml:space="preserve"> </w:t>
      </w:r>
      <w:r w:rsidRPr="00F841BD">
        <w:rPr>
          <w:rFonts w:ascii="Arial" w:hAnsi="Arial" w:cs="Arial"/>
          <w:iCs/>
          <w:sz w:val="22"/>
          <w:szCs w:val="22"/>
        </w:rPr>
        <w:t xml:space="preserve">External Combustion Sources at: </w:t>
      </w:r>
    </w:p>
    <w:p w:rsidR="00F7344C" w:rsidRPr="00F841BD" w:rsidRDefault="00FC67E0" w:rsidP="00E17496">
      <w:pPr>
        <w:rPr>
          <w:rFonts w:ascii="Arial" w:hAnsi="Arial" w:cs="Arial"/>
          <w:sz w:val="22"/>
          <w:szCs w:val="22"/>
        </w:rPr>
      </w:pPr>
      <w:hyperlink r:id="rId27" w:history="1">
        <w:r w:rsidR="002C2684">
          <w:rPr>
            <w:rStyle w:val="Hyperlink"/>
            <w:rFonts w:ascii="Arial" w:hAnsi="Arial" w:cs="Arial"/>
            <w:iCs/>
            <w:sz w:val="22"/>
            <w:szCs w:val="22"/>
            <w:u w:val="none"/>
          </w:rPr>
          <w:t>www.epa.gov/air-emissions-factors-and-quantification/ap-42-compilation-air-emission-factors</w:t>
        </w:r>
      </w:hyperlink>
      <w:r w:rsidR="00F7344C" w:rsidRPr="00F841BD">
        <w:rPr>
          <w:rFonts w:ascii="Arial" w:hAnsi="Arial" w:cs="Arial"/>
          <w:iCs/>
          <w:sz w:val="22"/>
          <w:szCs w:val="22"/>
        </w:rPr>
        <w:t>.</w:t>
      </w:r>
      <w:r w:rsidR="003176F1" w:rsidRPr="00F841BD">
        <w:rPr>
          <w:rFonts w:ascii="Arial" w:hAnsi="Arial" w:cs="Arial"/>
          <w:iCs/>
          <w:sz w:val="22"/>
          <w:szCs w:val="22"/>
        </w:rPr>
        <w:t xml:space="preserve"> </w:t>
      </w:r>
      <w:r w:rsidR="00F7344C" w:rsidRPr="00F841BD">
        <w:rPr>
          <w:rFonts w:ascii="Arial" w:hAnsi="Arial" w:cs="Arial"/>
          <w:iCs/>
          <w:sz w:val="22"/>
          <w:szCs w:val="22"/>
        </w:rPr>
        <w:t>If sufficient records are maintained on-site and all requirements are being met, the registrant and the TCEQ will be able to establish these emission rates if needed.</w:t>
      </w:r>
    </w:p>
    <w:sectPr w:rsidR="00F7344C" w:rsidRPr="00F841BD" w:rsidSect="007518B6">
      <w:footerReference w:type="default" r:id="rId28"/>
      <w:headerReference w:type="first" r:id="rId29"/>
      <w:footerReference w:type="first" r:id="rId30"/>
      <w:pgSz w:w="12240" w:h="15840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385E" w:rsidRDefault="003F385E">
      <w:r>
        <w:separator/>
      </w:r>
    </w:p>
  </w:endnote>
  <w:endnote w:type="continuationSeparator" w:id="0">
    <w:p w:rsidR="003F385E" w:rsidRDefault="003F3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4287D" w:rsidRPr="008E3ADB" w:rsidRDefault="00E4287D" w:rsidP="00E4287D">
    <w:pPr>
      <w:pStyle w:val="Footer"/>
      <w:rPr>
        <w:rFonts w:ascii="Arial" w:hAnsi="Arial" w:cs="Arial"/>
        <w:b/>
        <w:sz w:val="16"/>
        <w:szCs w:val="16"/>
      </w:rPr>
    </w:pPr>
    <w:r w:rsidRPr="008E3ADB">
      <w:rPr>
        <w:rFonts w:ascii="Arial" w:hAnsi="Arial" w:cs="Arial"/>
        <w:b/>
        <w:sz w:val="16"/>
        <w:szCs w:val="16"/>
      </w:rPr>
      <w:t xml:space="preserve">TCEQ 10114 (APDG 5013v8, Revised </w:t>
    </w:r>
    <w:r w:rsidR="008E3ADB" w:rsidRPr="008E3ADB">
      <w:rPr>
        <w:rFonts w:ascii="Arial" w:hAnsi="Arial" w:cs="Arial"/>
        <w:b/>
        <w:sz w:val="16"/>
        <w:szCs w:val="16"/>
      </w:rPr>
      <w:t>01/18</w:t>
    </w:r>
    <w:r w:rsidRPr="008E3ADB">
      <w:rPr>
        <w:rFonts w:ascii="Arial" w:hAnsi="Arial" w:cs="Arial"/>
        <w:b/>
        <w:sz w:val="16"/>
        <w:szCs w:val="16"/>
      </w:rPr>
      <w:t>) PBR Checklist 106.183 – Boilers, Heaters, and Other Combustion Devices</w:t>
    </w:r>
  </w:p>
  <w:p w:rsidR="00E4287D" w:rsidRPr="008E3ADB" w:rsidRDefault="00E4287D" w:rsidP="00E4287D">
    <w:pPr>
      <w:pStyle w:val="Footer"/>
      <w:tabs>
        <w:tab w:val="right" w:pos="10620"/>
      </w:tabs>
      <w:rPr>
        <w:rFonts w:ascii="Arial" w:hAnsi="Arial" w:cs="Arial"/>
        <w:b/>
        <w:sz w:val="16"/>
        <w:szCs w:val="16"/>
      </w:rPr>
    </w:pPr>
    <w:r w:rsidRPr="008E3ADB">
      <w:rPr>
        <w:rFonts w:ascii="Arial" w:hAnsi="Arial" w:cs="Arial"/>
        <w:b/>
        <w:sz w:val="16"/>
        <w:szCs w:val="16"/>
      </w:rPr>
      <w:t xml:space="preserve">This form is used by </w:t>
    </w:r>
    <w:r w:rsidR="00C21E3C" w:rsidRPr="008E3ADB">
      <w:rPr>
        <w:rFonts w:ascii="Arial" w:hAnsi="Arial" w:cs="Arial"/>
        <w:b/>
        <w:sz w:val="16"/>
        <w:szCs w:val="16"/>
      </w:rPr>
      <w:t xml:space="preserve">facilities </w:t>
    </w:r>
    <w:r w:rsidRPr="008E3ADB">
      <w:rPr>
        <w:rFonts w:ascii="Arial" w:hAnsi="Arial" w:cs="Arial"/>
        <w:b/>
        <w:sz w:val="16"/>
        <w:szCs w:val="16"/>
      </w:rPr>
      <w:t>subject to air quality permit standards and</w:t>
    </w:r>
  </w:p>
  <w:p w:rsidR="00E4287D" w:rsidRPr="008E3ADB" w:rsidRDefault="00E4287D" w:rsidP="00E4287D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proofErr w:type="gramStart"/>
    <w:r w:rsidRPr="008E3ADB">
      <w:rPr>
        <w:rFonts w:ascii="Arial" w:hAnsi="Arial" w:cs="Arial"/>
        <w:b/>
        <w:sz w:val="16"/>
        <w:szCs w:val="16"/>
      </w:rPr>
      <w:t>may</w:t>
    </w:r>
    <w:proofErr w:type="gramEnd"/>
    <w:r w:rsidRPr="008E3ADB">
      <w:rPr>
        <w:rFonts w:ascii="Arial" w:hAnsi="Arial" w:cs="Arial"/>
        <w:b/>
        <w:sz w:val="16"/>
        <w:szCs w:val="16"/>
      </w:rPr>
      <w:t xml:space="preserve"> be revised periodically</w:t>
    </w:r>
    <w:r w:rsidR="00CF7B24" w:rsidRPr="008E3ADB">
      <w:rPr>
        <w:rFonts w:ascii="Arial" w:hAnsi="Arial" w:cs="Arial"/>
        <w:b/>
        <w:sz w:val="16"/>
        <w:szCs w:val="16"/>
      </w:rPr>
      <w:t>.</w:t>
    </w:r>
    <w:r w:rsidRPr="008E3ADB">
      <w:rPr>
        <w:rFonts w:ascii="Arial" w:hAnsi="Arial" w:cs="Arial"/>
        <w:b/>
        <w:sz w:val="16"/>
        <w:szCs w:val="16"/>
      </w:rPr>
      <w:tab/>
      <w:t xml:space="preserve">Page </w:t>
    </w:r>
    <w:r w:rsidRPr="008E3ADB">
      <w:rPr>
        <w:rFonts w:ascii="Arial" w:hAnsi="Arial" w:cs="Arial"/>
        <w:b/>
        <w:sz w:val="16"/>
        <w:szCs w:val="16"/>
      </w:rPr>
      <w:fldChar w:fldCharType="begin"/>
    </w:r>
    <w:r w:rsidRPr="008E3ADB">
      <w:rPr>
        <w:rFonts w:ascii="Arial" w:hAnsi="Arial" w:cs="Arial"/>
        <w:b/>
        <w:sz w:val="16"/>
        <w:szCs w:val="16"/>
      </w:rPr>
      <w:instrText xml:space="preserve"> PAGE </w:instrText>
    </w:r>
    <w:r w:rsidRPr="008E3ADB">
      <w:rPr>
        <w:rFonts w:ascii="Arial" w:hAnsi="Arial" w:cs="Arial"/>
        <w:b/>
        <w:sz w:val="16"/>
        <w:szCs w:val="16"/>
      </w:rPr>
      <w:fldChar w:fldCharType="separate"/>
    </w:r>
    <w:r w:rsidR="00FC67E0">
      <w:rPr>
        <w:rFonts w:ascii="Arial" w:hAnsi="Arial" w:cs="Arial"/>
        <w:b/>
        <w:noProof/>
        <w:sz w:val="16"/>
        <w:szCs w:val="16"/>
      </w:rPr>
      <w:t>2</w:t>
    </w:r>
    <w:r w:rsidRPr="008E3ADB">
      <w:rPr>
        <w:rFonts w:ascii="Arial" w:hAnsi="Arial" w:cs="Arial"/>
        <w:b/>
        <w:sz w:val="16"/>
        <w:szCs w:val="16"/>
      </w:rPr>
      <w:fldChar w:fldCharType="end"/>
    </w:r>
    <w:r w:rsidRPr="008E3ADB">
      <w:rPr>
        <w:rFonts w:ascii="Arial" w:hAnsi="Arial" w:cs="Arial"/>
        <w:b/>
        <w:sz w:val="16"/>
        <w:szCs w:val="16"/>
      </w:rPr>
      <w:t xml:space="preserve"> of </w:t>
    </w:r>
    <w:r w:rsidRPr="008E3ADB">
      <w:rPr>
        <w:rFonts w:ascii="Arial" w:hAnsi="Arial" w:cs="Arial"/>
        <w:b/>
        <w:sz w:val="16"/>
        <w:szCs w:val="16"/>
      </w:rPr>
      <w:fldChar w:fldCharType="begin"/>
    </w:r>
    <w:r w:rsidRPr="008E3ADB">
      <w:rPr>
        <w:rFonts w:ascii="Arial" w:hAnsi="Arial" w:cs="Arial"/>
        <w:b/>
        <w:sz w:val="16"/>
        <w:szCs w:val="16"/>
      </w:rPr>
      <w:instrText xml:space="preserve"> NUMPAGES </w:instrText>
    </w:r>
    <w:r w:rsidRPr="008E3ADB">
      <w:rPr>
        <w:rFonts w:ascii="Arial" w:hAnsi="Arial" w:cs="Arial"/>
        <w:b/>
        <w:sz w:val="16"/>
        <w:szCs w:val="16"/>
      </w:rPr>
      <w:fldChar w:fldCharType="separate"/>
    </w:r>
    <w:r w:rsidR="00FC67E0">
      <w:rPr>
        <w:rFonts w:ascii="Arial" w:hAnsi="Arial" w:cs="Arial"/>
        <w:b/>
        <w:noProof/>
        <w:sz w:val="16"/>
        <w:szCs w:val="16"/>
      </w:rPr>
      <w:t>3</w:t>
    </w:r>
    <w:r w:rsidRPr="008E3ADB">
      <w:rPr>
        <w:rFonts w:ascii="Arial" w:hAnsi="Arial" w:cs="Arial"/>
        <w:b/>
        <w:sz w:val="16"/>
        <w:szCs w:val="16"/>
      </w:rPr>
      <w:fldChar w:fldCharType="end"/>
    </w:r>
  </w:p>
  <w:p w:rsidR="0027403E" w:rsidRPr="008E3ADB" w:rsidRDefault="0027403E">
    <w:pPr>
      <w:pStyle w:val="Footer"/>
      <w:rPr>
        <w:rFonts w:ascii="Arial" w:hAnsi="Arial" w:cs="Arial"/>
        <w:b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3E" w:rsidRPr="008E3ADB" w:rsidRDefault="0027403E" w:rsidP="00AA5866">
    <w:pPr>
      <w:pStyle w:val="Footer"/>
      <w:tabs>
        <w:tab w:val="clear" w:pos="4320"/>
        <w:tab w:val="clear" w:pos="8640"/>
        <w:tab w:val="right" w:pos="10710"/>
      </w:tabs>
      <w:rPr>
        <w:rFonts w:ascii="Arial" w:hAnsi="Arial" w:cs="Arial"/>
        <w:b/>
        <w:sz w:val="16"/>
        <w:szCs w:val="16"/>
      </w:rPr>
    </w:pPr>
    <w:r w:rsidRPr="008E3ADB">
      <w:rPr>
        <w:rFonts w:ascii="Arial" w:hAnsi="Arial" w:cs="Arial"/>
        <w:b/>
        <w:sz w:val="16"/>
        <w:szCs w:val="16"/>
      </w:rPr>
      <w:t>TCEQ 10114 (</w:t>
    </w:r>
    <w:r w:rsidR="00EB0C9F" w:rsidRPr="008E3ADB">
      <w:rPr>
        <w:rFonts w:ascii="Arial" w:hAnsi="Arial" w:cs="Arial"/>
        <w:b/>
        <w:sz w:val="16"/>
        <w:szCs w:val="16"/>
      </w:rPr>
      <w:t xml:space="preserve">APDG 5013v8, </w:t>
    </w:r>
    <w:r w:rsidRPr="008E3ADB">
      <w:rPr>
        <w:rFonts w:ascii="Arial" w:hAnsi="Arial" w:cs="Arial"/>
        <w:b/>
        <w:sz w:val="16"/>
        <w:szCs w:val="16"/>
      </w:rPr>
      <w:t xml:space="preserve">Revised </w:t>
    </w:r>
    <w:r w:rsidR="008E3ADB" w:rsidRPr="008E3ADB">
      <w:rPr>
        <w:rFonts w:ascii="Arial" w:hAnsi="Arial" w:cs="Arial"/>
        <w:b/>
        <w:sz w:val="16"/>
        <w:szCs w:val="16"/>
      </w:rPr>
      <w:t>01/18</w:t>
    </w:r>
    <w:r w:rsidRPr="008E3ADB">
      <w:rPr>
        <w:rFonts w:ascii="Arial" w:hAnsi="Arial" w:cs="Arial"/>
        <w:b/>
        <w:sz w:val="16"/>
        <w:szCs w:val="16"/>
      </w:rPr>
      <w:t>) PBR Checklist 106.183 – Boilers, Heaters, and Other Combustion Devices</w:t>
    </w:r>
  </w:p>
  <w:p w:rsidR="0027403E" w:rsidRPr="008E3ADB" w:rsidRDefault="0027403E" w:rsidP="007518B6">
    <w:pPr>
      <w:pStyle w:val="Footer"/>
      <w:tabs>
        <w:tab w:val="right" w:pos="10620"/>
      </w:tabs>
      <w:rPr>
        <w:rFonts w:ascii="Arial" w:hAnsi="Arial" w:cs="Arial"/>
        <w:b/>
        <w:sz w:val="16"/>
        <w:szCs w:val="16"/>
      </w:rPr>
    </w:pPr>
    <w:r w:rsidRPr="008E3ADB">
      <w:rPr>
        <w:rFonts w:ascii="Arial" w:hAnsi="Arial" w:cs="Arial"/>
        <w:b/>
        <w:sz w:val="16"/>
        <w:szCs w:val="16"/>
      </w:rPr>
      <w:t xml:space="preserve">This form is used by </w:t>
    </w:r>
    <w:r w:rsidR="00C21E3C" w:rsidRPr="008E3ADB">
      <w:rPr>
        <w:rFonts w:ascii="Arial" w:hAnsi="Arial" w:cs="Arial"/>
        <w:b/>
        <w:sz w:val="16"/>
        <w:szCs w:val="16"/>
      </w:rPr>
      <w:t xml:space="preserve">facilities </w:t>
    </w:r>
    <w:r w:rsidRPr="008E3ADB">
      <w:rPr>
        <w:rFonts w:ascii="Arial" w:hAnsi="Arial" w:cs="Arial"/>
        <w:b/>
        <w:sz w:val="16"/>
        <w:szCs w:val="16"/>
      </w:rPr>
      <w:t>subject to air quality permit standards and</w:t>
    </w:r>
  </w:p>
  <w:p w:rsidR="0027403E" w:rsidRPr="008E3ADB" w:rsidRDefault="0027403E" w:rsidP="007518B6">
    <w:pPr>
      <w:pStyle w:val="Footer"/>
      <w:tabs>
        <w:tab w:val="clear" w:pos="4320"/>
        <w:tab w:val="clear" w:pos="8640"/>
        <w:tab w:val="right" w:pos="10620"/>
      </w:tabs>
      <w:rPr>
        <w:rFonts w:ascii="Arial" w:hAnsi="Arial" w:cs="Arial"/>
        <w:b/>
        <w:sz w:val="16"/>
        <w:szCs w:val="16"/>
      </w:rPr>
    </w:pPr>
    <w:proofErr w:type="gramStart"/>
    <w:r w:rsidRPr="008E3ADB">
      <w:rPr>
        <w:rFonts w:ascii="Arial" w:hAnsi="Arial" w:cs="Arial"/>
        <w:b/>
        <w:sz w:val="16"/>
        <w:szCs w:val="16"/>
      </w:rPr>
      <w:t>may</w:t>
    </w:r>
    <w:proofErr w:type="gramEnd"/>
    <w:r w:rsidRPr="008E3ADB">
      <w:rPr>
        <w:rFonts w:ascii="Arial" w:hAnsi="Arial" w:cs="Arial"/>
        <w:b/>
        <w:sz w:val="16"/>
        <w:szCs w:val="16"/>
      </w:rPr>
      <w:t xml:space="preserve"> be revised periodically</w:t>
    </w:r>
    <w:r w:rsidR="00CD13D7" w:rsidRPr="008E3ADB">
      <w:rPr>
        <w:rFonts w:ascii="Arial" w:hAnsi="Arial" w:cs="Arial"/>
        <w:b/>
        <w:sz w:val="16"/>
        <w:szCs w:val="16"/>
      </w:rPr>
      <w:t>.</w:t>
    </w:r>
    <w:r w:rsidRPr="008E3ADB">
      <w:rPr>
        <w:rFonts w:ascii="Arial" w:hAnsi="Arial" w:cs="Arial"/>
        <w:b/>
        <w:sz w:val="16"/>
        <w:szCs w:val="16"/>
      </w:rPr>
      <w:tab/>
      <w:t xml:space="preserve">Page </w:t>
    </w:r>
    <w:r w:rsidRPr="008E3ADB">
      <w:rPr>
        <w:rFonts w:ascii="Arial" w:hAnsi="Arial" w:cs="Arial"/>
        <w:b/>
        <w:sz w:val="16"/>
        <w:szCs w:val="16"/>
      </w:rPr>
      <w:fldChar w:fldCharType="begin"/>
    </w:r>
    <w:r w:rsidRPr="008E3ADB">
      <w:rPr>
        <w:rFonts w:ascii="Arial" w:hAnsi="Arial" w:cs="Arial"/>
        <w:b/>
        <w:sz w:val="16"/>
        <w:szCs w:val="16"/>
      </w:rPr>
      <w:instrText xml:space="preserve"> PAGE </w:instrText>
    </w:r>
    <w:r w:rsidRPr="008E3ADB">
      <w:rPr>
        <w:rFonts w:ascii="Arial" w:hAnsi="Arial" w:cs="Arial"/>
        <w:b/>
        <w:sz w:val="16"/>
        <w:szCs w:val="16"/>
      </w:rPr>
      <w:fldChar w:fldCharType="separate"/>
    </w:r>
    <w:r w:rsidR="00FC67E0">
      <w:rPr>
        <w:rFonts w:ascii="Arial" w:hAnsi="Arial" w:cs="Arial"/>
        <w:b/>
        <w:noProof/>
        <w:sz w:val="16"/>
        <w:szCs w:val="16"/>
      </w:rPr>
      <w:t>1</w:t>
    </w:r>
    <w:r w:rsidRPr="008E3ADB">
      <w:rPr>
        <w:rFonts w:ascii="Arial" w:hAnsi="Arial" w:cs="Arial"/>
        <w:b/>
        <w:sz w:val="16"/>
        <w:szCs w:val="16"/>
      </w:rPr>
      <w:fldChar w:fldCharType="end"/>
    </w:r>
    <w:r w:rsidRPr="008E3ADB">
      <w:rPr>
        <w:rFonts w:ascii="Arial" w:hAnsi="Arial" w:cs="Arial"/>
        <w:b/>
        <w:sz w:val="16"/>
        <w:szCs w:val="16"/>
      </w:rPr>
      <w:t xml:space="preserve"> of </w:t>
    </w:r>
    <w:r w:rsidRPr="008E3ADB">
      <w:rPr>
        <w:rFonts w:ascii="Arial" w:hAnsi="Arial" w:cs="Arial"/>
        <w:b/>
        <w:sz w:val="16"/>
        <w:szCs w:val="16"/>
      </w:rPr>
      <w:fldChar w:fldCharType="begin"/>
    </w:r>
    <w:r w:rsidRPr="008E3ADB">
      <w:rPr>
        <w:rFonts w:ascii="Arial" w:hAnsi="Arial" w:cs="Arial"/>
        <w:b/>
        <w:sz w:val="16"/>
        <w:szCs w:val="16"/>
      </w:rPr>
      <w:instrText xml:space="preserve"> NUMPAGES </w:instrText>
    </w:r>
    <w:r w:rsidRPr="008E3ADB">
      <w:rPr>
        <w:rFonts w:ascii="Arial" w:hAnsi="Arial" w:cs="Arial"/>
        <w:b/>
        <w:sz w:val="16"/>
        <w:szCs w:val="16"/>
      </w:rPr>
      <w:fldChar w:fldCharType="separate"/>
    </w:r>
    <w:r w:rsidR="00FC67E0">
      <w:rPr>
        <w:rFonts w:ascii="Arial" w:hAnsi="Arial" w:cs="Arial"/>
        <w:b/>
        <w:noProof/>
        <w:sz w:val="16"/>
        <w:szCs w:val="16"/>
      </w:rPr>
      <w:t>3</w:t>
    </w:r>
    <w:r w:rsidRPr="008E3ADB">
      <w:rPr>
        <w:rFonts w:ascii="Arial" w:hAnsi="Arial" w:cs="Arial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385E" w:rsidRDefault="003F385E">
      <w:r>
        <w:separator/>
      </w:r>
    </w:p>
  </w:footnote>
  <w:footnote w:type="continuationSeparator" w:id="0">
    <w:p w:rsidR="003F385E" w:rsidRDefault="003F38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403E" w:rsidRPr="003B3FBA" w:rsidRDefault="0027403E" w:rsidP="003B3FBA">
    <w:pPr>
      <w:pStyle w:val="Header"/>
      <w:tabs>
        <w:tab w:val="clear" w:pos="4320"/>
        <w:tab w:val="clear" w:pos="8640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773912"/>
    <w:multiLevelType w:val="hybridMultilevel"/>
    <w:tmpl w:val="5642B2D8"/>
    <w:lvl w:ilvl="0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230A6608"/>
    <w:multiLevelType w:val="hybridMultilevel"/>
    <w:tmpl w:val="280008A4"/>
    <w:lvl w:ilvl="0" w:tplc="FED00224">
      <w:start w:val="1"/>
      <w:numFmt w:val="bullet"/>
      <w:lvlText w:val=""/>
      <w:lvlJc w:val="left"/>
      <w:pPr>
        <w:tabs>
          <w:tab w:val="num" w:pos="288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49F7493"/>
    <w:multiLevelType w:val="hybridMultilevel"/>
    <w:tmpl w:val="1DBAAE3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D3C5F50"/>
    <w:multiLevelType w:val="hybridMultilevel"/>
    <w:tmpl w:val="B50AB110"/>
    <w:lvl w:ilvl="0" w:tplc="0FBAC8E4">
      <w:start w:val="1"/>
      <w:numFmt w:val="bullet"/>
      <w:lvlText w:val=""/>
      <w:lvlJc w:val="left"/>
      <w:pPr>
        <w:tabs>
          <w:tab w:val="num" w:pos="288"/>
        </w:tabs>
        <w:ind w:left="288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47"/>
  <w:doNotShadeFormData/>
  <w:noPunctuationKerning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5D5"/>
    <w:rsid w:val="0000311A"/>
    <w:rsid w:val="0000541E"/>
    <w:rsid w:val="00031F1A"/>
    <w:rsid w:val="00040616"/>
    <w:rsid w:val="00047EE2"/>
    <w:rsid w:val="000516F5"/>
    <w:rsid w:val="000618CB"/>
    <w:rsid w:val="00075D1B"/>
    <w:rsid w:val="000B1D91"/>
    <w:rsid w:val="000C2C37"/>
    <w:rsid w:val="000C6284"/>
    <w:rsid w:val="000D356B"/>
    <w:rsid w:val="000D6628"/>
    <w:rsid w:val="000D6D6B"/>
    <w:rsid w:val="000D6E29"/>
    <w:rsid w:val="000E4C0E"/>
    <w:rsid w:val="000F1045"/>
    <w:rsid w:val="00100849"/>
    <w:rsid w:val="001103AD"/>
    <w:rsid w:val="00112393"/>
    <w:rsid w:val="00122C93"/>
    <w:rsid w:val="00160651"/>
    <w:rsid w:val="00165592"/>
    <w:rsid w:val="001736DD"/>
    <w:rsid w:val="00182320"/>
    <w:rsid w:val="0018462D"/>
    <w:rsid w:val="00195D41"/>
    <w:rsid w:val="001B26E6"/>
    <w:rsid w:val="001C34AC"/>
    <w:rsid w:val="001D1814"/>
    <w:rsid w:val="001E066D"/>
    <w:rsid w:val="00207174"/>
    <w:rsid w:val="00207CC2"/>
    <w:rsid w:val="00224BC6"/>
    <w:rsid w:val="002354C4"/>
    <w:rsid w:val="002423D0"/>
    <w:rsid w:val="00251167"/>
    <w:rsid w:val="0025341A"/>
    <w:rsid w:val="0027403E"/>
    <w:rsid w:val="00275AA8"/>
    <w:rsid w:val="002760DE"/>
    <w:rsid w:val="00297163"/>
    <w:rsid w:val="002A0DAC"/>
    <w:rsid w:val="002B65C8"/>
    <w:rsid w:val="002B7D5C"/>
    <w:rsid w:val="002C2684"/>
    <w:rsid w:val="002D4C28"/>
    <w:rsid w:val="0030440A"/>
    <w:rsid w:val="00316371"/>
    <w:rsid w:val="003176F1"/>
    <w:rsid w:val="00321525"/>
    <w:rsid w:val="003266A4"/>
    <w:rsid w:val="00331778"/>
    <w:rsid w:val="00355A57"/>
    <w:rsid w:val="003740CA"/>
    <w:rsid w:val="003775D5"/>
    <w:rsid w:val="00390542"/>
    <w:rsid w:val="003954E2"/>
    <w:rsid w:val="003B3FBA"/>
    <w:rsid w:val="003D06A2"/>
    <w:rsid w:val="003E2397"/>
    <w:rsid w:val="003F385E"/>
    <w:rsid w:val="003F60C5"/>
    <w:rsid w:val="00401915"/>
    <w:rsid w:val="00442710"/>
    <w:rsid w:val="00450E1D"/>
    <w:rsid w:val="0045533D"/>
    <w:rsid w:val="00473921"/>
    <w:rsid w:val="00481F24"/>
    <w:rsid w:val="00492D57"/>
    <w:rsid w:val="00497823"/>
    <w:rsid w:val="004B1028"/>
    <w:rsid w:val="004B2788"/>
    <w:rsid w:val="004C205C"/>
    <w:rsid w:val="004C531C"/>
    <w:rsid w:val="004E4ACA"/>
    <w:rsid w:val="004F5D80"/>
    <w:rsid w:val="004F6483"/>
    <w:rsid w:val="004F6C0B"/>
    <w:rsid w:val="00500E0B"/>
    <w:rsid w:val="005262B4"/>
    <w:rsid w:val="0054050B"/>
    <w:rsid w:val="00544F39"/>
    <w:rsid w:val="00550C6B"/>
    <w:rsid w:val="005528B2"/>
    <w:rsid w:val="00555DB4"/>
    <w:rsid w:val="00556843"/>
    <w:rsid w:val="0057015B"/>
    <w:rsid w:val="0057260B"/>
    <w:rsid w:val="005778A4"/>
    <w:rsid w:val="00580663"/>
    <w:rsid w:val="005B69A7"/>
    <w:rsid w:val="005C1577"/>
    <w:rsid w:val="005D6B5D"/>
    <w:rsid w:val="00602982"/>
    <w:rsid w:val="00604133"/>
    <w:rsid w:val="006060E0"/>
    <w:rsid w:val="006067B2"/>
    <w:rsid w:val="00607B65"/>
    <w:rsid w:val="006239C5"/>
    <w:rsid w:val="00642081"/>
    <w:rsid w:val="006470C8"/>
    <w:rsid w:val="006503DF"/>
    <w:rsid w:val="00653604"/>
    <w:rsid w:val="00666913"/>
    <w:rsid w:val="00667E38"/>
    <w:rsid w:val="0067508F"/>
    <w:rsid w:val="00683E3A"/>
    <w:rsid w:val="00687C76"/>
    <w:rsid w:val="006A19F7"/>
    <w:rsid w:val="006C5209"/>
    <w:rsid w:val="006D0D16"/>
    <w:rsid w:val="006D6D03"/>
    <w:rsid w:val="006E0CD7"/>
    <w:rsid w:val="006F5EC9"/>
    <w:rsid w:val="00731F43"/>
    <w:rsid w:val="00744468"/>
    <w:rsid w:val="0074672C"/>
    <w:rsid w:val="007518B6"/>
    <w:rsid w:val="0075592A"/>
    <w:rsid w:val="007565F5"/>
    <w:rsid w:val="00760EF4"/>
    <w:rsid w:val="00762BE9"/>
    <w:rsid w:val="007735F9"/>
    <w:rsid w:val="007875E2"/>
    <w:rsid w:val="007926ED"/>
    <w:rsid w:val="007A5BE1"/>
    <w:rsid w:val="007A6BC6"/>
    <w:rsid w:val="007C291D"/>
    <w:rsid w:val="007E53F5"/>
    <w:rsid w:val="007F0580"/>
    <w:rsid w:val="007F3630"/>
    <w:rsid w:val="007F57D8"/>
    <w:rsid w:val="00812129"/>
    <w:rsid w:val="00821847"/>
    <w:rsid w:val="00822312"/>
    <w:rsid w:val="0082309A"/>
    <w:rsid w:val="00830D49"/>
    <w:rsid w:val="008516E0"/>
    <w:rsid w:val="00861642"/>
    <w:rsid w:val="00883837"/>
    <w:rsid w:val="008B5AA5"/>
    <w:rsid w:val="008D62DF"/>
    <w:rsid w:val="008E3ADB"/>
    <w:rsid w:val="008F2A95"/>
    <w:rsid w:val="008F6B4B"/>
    <w:rsid w:val="00912815"/>
    <w:rsid w:val="00927D71"/>
    <w:rsid w:val="009574BC"/>
    <w:rsid w:val="00975DC5"/>
    <w:rsid w:val="0098427A"/>
    <w:rsid w:val="009A0FCE"/>
    <w:rsid w:val="009D223F"/>
    <w:rsid w:val="009D73D1"/>
    <w:rsid w:val="009E4250"/>
    <w:rsid w:val="009F1515"/>
    <w:rsid w:val="009F5E9E"/>
    <w:rsid w:val="00A025BB"/>
    <w:rsid w:val="00A13173"/>
    <w:rsid w:val="00A212DB"/>
    <w:rsid w:val="00A423E8"/>
    <w:rsid w:val="00A4637D"/>
    <w:rsid w:val="00A65329"/>
    <w:rsid w:val="00A7074E"/>
    <w:rsid w:val="00A75996"/>
    <w:rsid w:val="00AA358A"/>
    <w:rsid w:val="00AA45A3"/>
    <w:rsid w:val="00AA5866"/>
    <w:rsid w:val="00AC6449"/>
    <w:rsid w:val="00AD531D"/>
    <w:rsid w:val="00AF4F15"/>
    <w:rsid w:val="00B22795"/>
    <w:rsid w:val="00B32BF6"/>
    <w:rsid w:val="00B331E0"/>
    <w:rsid w:val="00B7427A"/>
    <w:rsid w:val="00B7505A"/>
    <w:rsid w:val="00B84142"/>
    <w:rsid w:val="00B901B0"/>
    <w:rsid w:val="00BA68D5"/>
    <w:rsid w:val="00BB63EF"/>
    <w:rsid w:val="00BC0AEC"/>
    <w:rsid w:val="00BE6FA7"/>
    <w:rsid w:val="00BF4464"/>
    <w:rsid w:val="00C21E3C"/>
    <w:rsid w:val="00C24413"/>
    <w:rsid w:val="00C32CFB"/>
    <w:rsid w:val="00C515D5"/>
    <w:rsid w:val="00C52AEC"/>
    <w:rsid w:val="00C6473D"/>
    <w:rsid w:val="00C81249"/>
    <w:rsid w:val="00CC4D93"/>
    <w:rsid w:val="00CD13D7"/>
    <w:rsid w:val="00CE6737"/>
    <w:rsid w:val="00CF7B24"/>
    <w:rsid w:val="00D07AF3"/>
    <w:rsid w:val="00D141EB"/>
    <w:rsid w:val="00D339E8"/>
    <w:rsid w:val="00D34318"/>
    <w:rsid w:val="00D420F6"/>
    <w:rsid w:val="00D90F5E"/>
    <w:rsid w:val="00D96EA7"/>
    <w:rsid w:val="00DA2653"/>
    <w:rsid w:val="00DA4A77"/>
    <w:rsid w:val="00DB170D"/>
    <w:rsid w:val="00DB46BE"/>
    <w:rsid w:val="00DB6E35"/>
    <w:rsid w:val="00DC59F0"/>
    <w:rsid w:val="00DD2961"/>
    <w:rsid w:val="00DE6AFD"/>
    <w:rsid w:val="00E03E5D"/>
    <w:rsid w:val="00E14589"/>
    <w:rsid w:val="00E17496"/>
    <w:rsid w:val="00E232FB"/>
    <w:rsid w:val="00E4287D"/>
    <w:rsid w:val="00E90BA6"/>
    <w:rsid w:val="00EB0C9F"/>
    <w:rsid w:val="00EB3B58"/>
    <w:rsid w:val="00EF0B02"/>
    <w:rsid w:val="00EF3118"/>
    <w:rsid w:val="00F056D8"/>
    <w:rsid w:val="00F06CF1"/>
    <w:rsid w:val="00F14C96"/>
    <w:rsid w:val="00F316C0"/>
    <w:rsid w:val="00F50936"/>
    <w:rsid w:val="00F538B6"/>
    <w:rsid w:val="00F57D11"/>
    <w:rsid w:val="00F61603"/>
    <w:rsid w:val="00F632C6"/>
    <w:rsid w:val="00F7344C"/>
    <w:rsid w:val="00F737D4"/>
    <w:rsid w:val="00F84105"/>
    <w:rsid w:val="00F841BD"/>
    <w:rsid w:val="00F9656C"/>
    <w:rsid w:val="00FA5081"/>
    <w:rsid w:val="00FC67E0"/>
    <w:rsid w:val="00FD6905"/>
    <w:rsid w:val="00FE7941"/>
    <w:rsid w:val="00FF7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hone"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6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0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841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4105"/>
    <w:pPr>
      <w:tabs>
        <w:tab w:val="center" w:pos="4320"/>
        <w:tab w:val="right" w:pos="8640"/>
      </w:tabs>
    </w:pPr>
  </w:style>
  <w:style w:type="character" w:styleId="Hyperlink">
    <w:name w:val="Hyperlink"/>
    <w:rsid w:val="004E4ACA"/>
    <w:rPr>
      <w:color w:val="0000FF"/>
      <w:u w:val="single"/>
    </w:rPr>
  </w:style>
  <w:style w:type="character" w:styleId="FollowedHyperlink">
    <w:name w:val="FollowedHyperlink"/>
    <w:rsid w:val="00207CC2"/>
    <w:rPr>
      <w:color w:val="606420"/>
      <w:u w:val="single"/>
    </w:rPr>
  </w:style>
  <w:style w:type="character" w:styleId="CommentReference">
    <w:name w:val="annotation reference"/>
    <w:basedOn w:val="DefaultParagraphFont"/>
    <w:rsid w:val="008218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847"/>
  </w:style>
  <w:style w:type="paragraph" w:styleId="CommentSubject">
    <w:name w:val="annotation subject"/>
    <w:basedOn w:val="CommentText"/>
    <w:next w:val="CommentText"/>
    <w:link w:val="CommentSubjectChar"/>
    <w:rsid w:val="0082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847"/>
    <w:rPr>
      <w:b/>
      <w:bCs/>
    </w:rPr>
  </w:style>
  <w:style w:type="paragraph" w:styleId="Revision">
    <w:name w:val="Revision"/>
    <w:hidden/>
    <w:uiPriority w:val="99"/>
    <w:semiHidden/>
    <w:rsid w:val="00F14C96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D662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4061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F841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84105"/>
    <w:pPr>
      <w:tabs>
        <w:tab w:val="center" w:pos="4320"/>
        <w:tab w:val="right" w:pos="8640"/>
      </w:tabs>
    </w:pPr>
  </w:style>
  <w:style w:type="character" w:styleId="Hyperlink">
    <w:name w:val="Hyperlink"/>
    <w:rsid w:val="004E4ACA"/>
    <w:rPr>
      <w:color w:val="0000FF"/>
      <w:u w:val="single"/>
    </w:rPr>
  </w:style>
  <w:style w:type="character" w:styleId="FollowedHyperlink">
    <w:name w:val="FollowedHyperlink"/>
    <w:rsid w:val="00207CC2"/>
    <w:rPr>
      <w:color w:val="606420"/>
      <w:u w:val="single"/>
    </w:rPr>
  </w:style>
  <w:style w:type="character" w:styleId="CommentReference">
    <w:name w:val="annotation reference"/>
    <w:basedOn w:val="DefaultParagraphFont"/>
    <w:rsid w:val="00821847"/>
    <w:rPr>
      <w:sz w:val="16"/>
      <w:szCs w:val="16"/>
    </w:rPr>
  </w:style>
  <w:style w:type="paragraph" w:styleId="CommentText">
    <w:name w:val="annotation text"/>
    <w:basedOn w:val="Normal"/>
    <w:link w:val="CommentTextChar"/>
    <w:rsid w:val="0082184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21847"/>
  </w:style>
  <w:style w:type="paragraph" w:styleId="CommentSubject">
    <w:name w:val="annotation subject"/>
    <w:basedOn w:val="CommentText"/>
    <w:next w:val="CommentText"/>
    <w:link w:val="CommentSubjectChar"/>
    <w:rsid w:val="008218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21847"/>
    <w:rPr>
      <w:b/>
      <w:bCs/>
    </w:rPr>
  </w:style>
  <w:style w:type="paragraph" w:styleId="Revision">
    <w:name w:val="Revision"/>
    <w:hidden/>
    <w:uiPriority w:val="99"/>
    <w:semiHidden/>
    <w:rsid w:val="00F14C9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644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ceq.texas.gov/permitting/air/nav/air_pbr.html" TargetMode="External"/><Relationship Id="rId13" Type="http://schemas.openxmlformats.org/officeDocument/2006/relationships/hyperlink" Target="http://texreg.sos.state.tx.us/public/readtac$ext.TacPage?sl=R&amp;app=9&amp;p_dir=&amp;p_rloc=&amp;p_tloc=&amp;p_ploc=&amp;pg=1&amp;p_tac=&amp;ti=30&amp;pt=1&amp;ch=106&amp;rl=512" TargetMode="External"/><Relationship Id="rId18" Type="http://schemas.openxmlformats.org/officeDocument/2006/relationships/hyperlink" Target="http://www.tceq.texas.gov/permitting/air/rules/state/117/r7hp.html" TargetMode="External"/><Relationship Id="rId26" Type="http://schemas.openxmlformats.org/officeDocument/2006/relationships/hyperlink" Target="https://www.tceq.texas.gov/permitting/air/guidance/newsourcereview/nsr_fac_index.html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tceq.texas.gov/permitting/air/rules/federal/60/dbhp.html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texasenvirohelp.org/" TargetMode="External"/><Relationship Id="rId17" Type="http://schemas.openxmlformats.org/officeDocument/2006/relationships/hyperlink" Target="http://www.tceq.texas.gov/permitting/air/rules/state/117/r7hp.html" TargetMode="External"/><Relationship Id="rId25" Type="http://schemas.openxmlformats.org/officeDocument/2006/relationships/hyperlink" Target="http://www.tceq.texas.gov/about/directory/region/reglist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tceq.texas.gov/assets/public/permitting/air/Forms/NewSourceReview/Tables/10163tbl.pdf" TargetMode="External"/><Relationship Id="rId20" Type="http://schemas.openxmlformats.org/officeDocument/2006/relationships/hyperlink" Target="http://www.tceq.texas.gov/permitting/air/rules/federal/60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tceq.texas.gov/permitting/air/forms/permitbyrule/pbr_pi7cert_forms.html" TargetMode="External"/><Relationship Id="rId24" Type="http://schemas.openxmlformats.org/officeDocument/2006/relationships/hyperlink" Target="http://texreg.sos.state.tx.us/public/readtac$ext.TacPage?sl=R&amp;app=9&amp;p_dir=&amp;p_rloc=&amp;p_tloc=&amp;p_ploc=&amp;pg=1&amp;p_tac=&amp;ti=30&amp;pt=1&amp;ch=106&amp;rl=8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ceq.texas.gov/assets/public/permitting/air/Forms/NewSourceReview/Tables/10159tbl.pdf" TargetMode="External"/><Relationship Id="rId23" Type="http://schemas.openxmlformats.org/officeDocument/2006/relationships/hyperlink" Target="https://www.tceq.texas.gov/permitting/air/rules/federal/60/uuuhp.html" TargetMode="External"/><Relationship Id="rId28" Type="http://schemas.openxmlformats.org/officeDocument/2006/relationships/footer" Target="footer1.xml"/><Relationship Id="rId10" Type="http://schemas.openxmlformats.org/officeDocument/2006/relationships/hyperlink" Target="http://www.tceq.texas.gov/permitting/air/forms/permitbyrule/pbr_PI7_forms.html" TargetMode="External"/><Relationship Id="rId19" Type="http://schemas.openxmlformats.org/officeDocument/2006/relationships/hyperlink" Target="https://www.tceq.texas.gov/permitting/air/rules/federal/60/dhp.html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tceq.texas.gov/permitting/air/permitbyrule/subchapter-g/big_boilers.html" TargetMode="External"/><Relationship Id="rId14" Type="http://schemas.openxmlformats.org/officeDocument/2006/relationships/hyperlink" Target="http://www.tceq.texas.gov/permitting/air/forms/permitbyrule/checklist/sub_w_checklists.html" TargetMode="External"/><Relationship Id="rId22" Type="http://schemas.openxmlformats.org/officeDocument/2006/relationships/hyperlink" Target="hhttps://www.tceq.texas.gov/permitting/air/rules/federal/60/dchp.html" TargetMode="External"/><Relationship Id="rId27" Type="http://schemas.openxmlformats.org/officeDocument/2006/relationships/hyperlink" Target="https://www.epa.gov/air-emissions-factors-and-quantification/ap-42-compilation-air-emission-factors" TargetMode="External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</Pages>
  <Words>879</Words>
  <Characters>7169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TCEQ - TAC 106.183 Checklist</vt:lpstr>
    </vt:vector>
  </TitlesOfParts>
  <Company>TCEQ</Company>
  <LinksUpToDate>false</LinksUpToDate>
  <CharactersWithSpaces>8032</CharactersWithSpaces>
  <SharedDoc>false</SharedDoc>
  <HLinks>
    <vt:vector size="102" baseType="variant">
      <vt:variant>
        <vt:i4>983045</vt:i4>
      </vt:variant>
      <vt:variant>
        <vt:i4>128</vt:i4>
      </vt:variant>
      <vt:variant>
        <vt:i4>0</vt:i4>
      </vt:variant>
      <vt:variant>
        <vt:i4>5</vt:i4>
      </vt:variant>
      <vt:variant>
        <vt:lpwstr>http://www.epa.gov/ttn/chief/ap42/index.html</vt:lpwstr>
      </vt:variant>
      <vt:variant>
        <vt:lpwstr/>
      </vt:variant>
      <vt:variant>
        <vt:i4>524297</vt:i4>
      </vt:variant>
      <vt:variant>
        <vt:i4>125</vt:i4>
      </vt:variant>
      <vt:variant>
        <vt:i4>0</vt:i4>
      </vt:variant>
      <vt:variant>
        <vt:i4>5</vt:i4>
      </vt:variant>
      <vt:variant>
        <vt:lpwstr>http://www.tceq.state.tx.us/permitting/air/nav/nsr_fac_index.html</vt:lpwstr>
      </vt:variant>
      <vt:variant>
        <vt:lpwstr/>
      </vt:variant>
      <vt:variant>
        <vt:i4>6946928</vt:i4>
      </vt:variant>
      <vt:variant>
        <vt:i4>122</vt:i4>
      </vt:variant>
      <vt:variant>
        <vt:i4>0</vt:i4>
      </vt:variant>
      <vt:variant>
        <vt:i4>5</vt:i4>
      </vt:variant>
      <vt:variant>
        <vt:lpwstr>http://www.tceq.state.tx.us/about/directory/region/reglist.html</vt:lpwstr>
      </vt:variant>
      <vt:variant>
        <vt:lpwstr/>
      </vt:variant>
      <vt:variant>
        <vt:i4>3604551</vt:i4>
      </vt:variant>
      <vt:variant>
        <vt:i4>119</vt:i4>
      </vt:variant>
      <vt:variant>
        <vt:i4>0</vt:i4>
      </vt:variant>
      <vt:variant>
        <vt:i4>5</vt:i4>
      </vt:variant>
      <vt:variant>
        <vt:lpwstr>http://info.sos.state.tx.us/pls/pub/readtac$ext.TacPage?sl=R&amp;app=9&amp;p_dir=&amp;p_rloc=&amp;p_tloc=&amp;p_ploc=&amp;pg=1&amp;p_tac=&amp;ti=30&amp;pt=1&amp;ch=106&amp;rl=8</vt:lpwstr>
      </vt:variant>
      <vt:variant>
        <vt:lpwstr/>
      </vt:variant>
      <vt:variant>
        <vt:i4>3014705</vt:i4>
      </vt:variant>
      <vt:variant>
        <vt:i4>112</vt:i4>
      </vt:variant>
      <vt:variant>
        <vt:i4>0</vt:i4>
      </vt:variant>
      <vt:variant>
        <vt:i4>5</vt:i4>
      </vt:variant>
      <vt:variant>
        <vt:lpwstr>http://www.tceq.state.tx.us/permitting/air/rules/federal/60/60hmpg.html</vt:lpwstr>
      </vt:variant>
      <vt:variant>
        <vt:lpwstr/>
      </vt:variant>
      <vt:variant>
        <vt:i4>3014705</vt:i4>
      </vt:variant>
      <vt:variant>
        <vt:i4>105</vt:i4>
      </vt:variant>
      <vt:variant>
        <vt:i4>0</vt:i4>
      </vt:variant>
      <vt:variant>
        <vt:i4>5</vt:i4>
      </vt:variant>
      <vt:variant>
        <vt:lpwstr>http://www.tceq.state.tx.us/permitting/air/rules/federal/60/60hmpg.html</vt:lpwstr>
      </vt:variant>
      <vt:variant>
        <vt:lpwstr/>
      </vt:variant>
      <vt:variant>
        <vt:i4>3014705</vt:i4>
      </vt:variant>
      <vt:variant>
        <vt:i4>98</vt:i4>
      </vt:variant>
      <vt:variant>
        <vt:i4>0</vt:i4>
      </vt:variant>
      <vt:variant>
        <vt:i4>5</vt:i4>
      </vt:variant>
      <vt:variant>
        <vt:lpwstr>http://www.tceq.state.tx.us/permitting/air/rules/federal/60/60hmpg.html</vt:lpwstr>
      </vt:variant>
      <vt:variant>
        <vt:lpwstr/>
      </vt:variant>
      <vt:variant>
        <vt:i4>3014705</vt:i4>
      </vt:variant>
      <vt:variant>
        <vt:i4>91</vt:i4>
      </vt:variant>
      <vt:variant>
        <vt:i4>0</vt:i4>
      </vt:variant>
      <vt:variant>
        <vt:i4>5</vt:i4>
      </vt:variant>
      <vt:variant>
        <vt:lpwstr>http://www.tceq.state.tx.us/permitting/air/rules/federal/60/60hmpg.html</vt:lpwstr>
      </vt:variant>
      <vt:variant>
        <vt:lpwstr/>
      </vt:variant>
      <vt:variant>
        <vt:i4>3014705</vt:i4>
      </vt:variant>
      <vt:variant>
        <vt:i4>84</vt:i4>
      </vt:variant>
      <vt:variant>
        <vt:i4>0</vt:i4>
      </vt:variant>
      <vt:variant>
        <vt:i4>5</vt:i4>
      </vt:variant>
      <vt:variant>
        <vt:lpwstr>http://www.tceq.state.tx.us/permitting/air/rules/federal/60/60hmpg.html</vt:lpwstr>
      </vt:variant>
      <vt:variant>
        <vt:lpwstr/>
      </vt:variant>
      <vt:variant>
        <vt:i4>6357041</vt:i4>
      </vt:variant>
      <vt:variant>
        <vt:i4>39</vt:i4>
      </vt:variant>
      <vt:variant>
        <vt:i4>0</vt:i4>
      </vt:variant>
      <vt:variant>
        <vt:i4>5</vt:i4>
      </vt:variant>
      <vt:variant>
        <vt:lpwstr>http://www.tceq.state.tx.us/assets/public/permitting/air/Forms/NewSourceReview/Tables/10163tbl.pdf</vt:lpwstr>
      </vt:variant>
      <vt:variant>
        <vt:lpwstr/>
      </vt:variant>
      <vt:variant>
        <vt:i4>6422587</vt:i4>
      </vt:variant>
      <vt:variant>
        <vt:i4>36</vt:i4>
      </vt:variant>
      <vt:variant>
        <vt:i4>0</vt:i4>
      </vt:variant>
      <vt:variant>
        <vt:i4>5</vt:i4>
      </vt:variant>
      <vt:variant>
        <vt:lpwstr>http://www.tceq.state.tx.us/assets/public/permitting/air/Forms/NewSourceReview/Tables/10159tbl.pdf</vt:lpwstr>
      </vt:variant>
      <vt:variant>
        <vt:lpwstr/>
      </vt:variant>
      <vt:variant>
        <vt:i4>655360</vt:i4>
      </vt:variant>
      <vt:variant>
        <vt:i4>19</vt:i4>
      </vt:variant>
      <vt:variant>
        <vt:i4>0</vt:i4>
      </vt:variant>
      <vt:variant>
        <vt:i4>5</vt:i4>
      </vt:variant>
      <vt:variant>
        <vt:lpwstr>http://www.tceq.state.tx.us/permitting/air/forms/permitbyrule/checklist/sub_w_checklists.html</vt:lpwstr>
      </vt:variant>
      <vt:variant>
        <vt:lpwstr/>
      </vt:variant>
      <vt:variant>
        <vt:i4>524406</vt:i4>
      </vt:variant>
      <vt:variant>
        <vt:i4>16</vt:i4>
      </vt:variant>
      <vt:variant>
        <vt:i4>0</vt:i4>
      </vt:variant>
      <vt:variant>
        <vt:i4>5</vt:i4>
      </vt:variant>
      <vt:variant>
        <vt:lpwstr>http://info.sos.state.tx.us/pls/pub/readtac$ext.TacPage?sl=R&amp;app=9&amp;p_dir=&amp;p_rloc=&amp;p_tloc=&amp;p_ploc=&amp;pg=1&amp;p_tac=&amp;ti=30&amp;pt=1&amp;ch=106&amp;rl=512</vt:lpwstr>
      </vt:variant>
      <vt:variant>
        <vt:lpwstr/>
      </vt:variant>
      <vt:variant>
        <vt:i4>524298</vt:i4>
      </vt:variant>
      <vt:variant>
        <vt:i4>11</vt:i4>
      </vt:variant>
      <vt:variant>
        <vt:i4>0</vt:i4>
      </vt:variant>
      <vt:variant>
        <vt:i4>5</vt:i4>
      </vt:variant>
      <vt:variant>
        <vt:lpwstr>http://www.tceq.state.tx.us/permitting/air/forms/permitbyrule/pbr_pi7cert_forms.html</vt:lpwstr>
      </vt:variant>
      <vt:variant>
        <vt:lpwstr/>
      </vt:variant>
      <vt:variant>
        <vt:i4>1638427</vt:i4>
      </vt:variant>
      <vt:variant>
        <vt:i4>8</vt:i4>
      </vt:variant>
      <vt:variant>
        <vt:i4>0</vt:i4>
      </vt:variant>
      <vt:variant>
        <vt:i4>5</vt:i4>
      </vt:variant>
      <vt:variant>
        <vt:lpwstr>http://www.tceq.state.tx.us/permitting/air/forms/permitbyrule/pbr_PI7_forms.html</vt:lpwstr>
      </vt:variant>
      <vt:variant>
        <vt:lpwstr/>
      </vt:variant>
      <vt:variant>
        <vt:i4>4849762</vt:i4>
      </vt:variant>
      <vt:variant>
        <vt:i4>5</vt:i4>
      </vt:variant>
      <vt:variant>
        <vt:i4>0</vt:i4>
      </vt:variant>
      <vt:variant>
        <vt:i4>5</vt:i4>
      </vt:variant>
      <vt:variant>
        <vt:lpwstr>http://www.tceq.state.tx.us/permitting/air/permitbyrule/subchapter-g/big_boilers.html</vt:lpwstr>
      </vt:variant>
      <vt:variant>
        <vt:lpwstr/>
      </vt:variant>
      <vt:variant>
        <vt:i4>7667780</vt:i4>
      </vt:variant>
      <vt:variant>
        <vt:i4>2</vt:i4>
      </vt:variant>
      <vt:variant>
        <vt:i4>0</vt:i4>
      </vt:variant>
      <vt:variant>
        <vt:i4>5</vt:i4>
      </vt:variant>
      <vt:variant>
        <vt:lpwstr>http://www.tceq.state.tx.us/permitting/air/nav/air_pbr.html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TCEQ - TAC 106.183 Checklist</dc:title>
  <dc:subject>TCEQ - TAC 106.183 Checklist</dc:subject>
  <dc:creator>TCEQ-Boilers, Heaters, and Other Combustion Devices Air Permits  PBR Checklist Title 30 Texas Administrative</dc:creator>
  <cp:keywords>boiler, heater, combustion, drying oven, curing oven,  and furnace</cp:keywords>
  <cp:lastModifiedBy>TCEQ</cp:lastModifiedBy>
  <cp:revision>8</cp:revision>
  <cp:lastPrinted>2018-01-10T17:55:00Z</cp:lastPrinted>
  <dcterms:created xsi:type="dcterms:W3CDTF">2018-01-10T17:53:00Z</dcterms:created>
  <dcterms:modified xsi:type="dcterms:W3CDTF">2018-01-10T18:32:00Z</dcterms:modified>
</cp:coreProperties>
</file>