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10DC" w14:textId="4DC5C89C" w:rsidR="00D75CF2" w:rsidRPr="00523CB4" w:rsidRDefault="00551787" w:rsidP="00FB441C">
      <w:pPr>
        <w:pStyle w:val="Heading1"/>
      </w:pPr>
      <w:bookmarkStart w:id="0" w:name="_Hlk126730437"/>
      <w:r w:rsidRPr="00523CB4">
        <w:t>Highly Reactive Volatile Organic Compound Emissions Cap and Trade (HECT) Annual Compliance Reports</w:t>
      </w:r>
    </w:p>
    <w:p w14:paraId="4AE33E87" w14:textId="4FDCE806" w:rsidR="00551787" w:rsidRPr="00523CB4" w:rsidRDefault="00551787" w:rsidP="00FB441C">
      <w:pPr>
        <w:pStyle w:val="Heading1"/>
      </w:pPr>
      <w:r w:rsidRPr="00523CB4">
        <w:t>Supporting Documentation Checklist for Vents</w:t>
      </w:r>
    </w:p>
    <w:p w14:paraId="5B599CC8" w14:textId="77777777" w:rsidR="00D75CF2" w:rsidRPr="00264DA6" w:rsidRDefault="00D75CF2" w:rsidP="00D75CF2">
      <w:pPr>
        <w:spacing w:before="600" w:line="240" w:lineRule="auto"/>
        <w:rPr>
          <w:rFonts w:ascii="Arial" w:hAnsi="Arial" w:cs="Arial"/>
          <w:sz w:val="22"/>
          <w:szCs w:val="22"/>
        </w:rPr>
      </w:pPr>
      <w:bookmarkStart w:id="1" w:name="_Hlk89084487"/>
      <w:bookmarkEnd w:id="0"/>
      <w:r w:rsidRPr="00264DA6">
        <w:rPr>
          <w:rFonts w:ascii="Arial" w:hAnsi="Arial" w:cs="Arial"/>
          <w:sz w:val="22"/>
          <w:szCs w:val="22"/>
        </w:rPr>
        <w:t>The following checklist was developed to help owners/</w:t>
      </w:r>
      <w:r w:rsidRPr="00C34E34">
        <w:rPr>
          <w:rFonts w:ascii="Arial" w:hAnsi="Arial" w:cs="Arial"/>
          <w:sz w:val="22"/>
          <w:szCs w:val="22"/>
        </w:rPr>
        <w:t>operator</w:t>
      </w:r>
      <w:r w:rsidRPr="00264DA6">
        <w:rPr>
          <w:rFonts w:ascii="Arial" w:hAnsi="Arial" w:cs="Arial"/>
          <w:sz w:val="22"/>
          <w:szCs w:val="22"/>
        </w:rPr>
        <w:t xml:space="preserve">s of sites that are subject to the </w:t>
      </w:r>
      <w:r>
        <w:rPr>
          <w:rFonts w:ascii="Arial" w:hAnsi="Arial" w:cs="Arial"/>
          <w:sz w:val="22"/>
          <w:szCs w:val="22"/>
        </w:rPr>
        <w:t>H</w:t>
      </w:r>
      <w:r w:rsidRPr="00264DA6">
        <w:rPr>
          <w:rFonts w:ascii="Arial" w:hAnsi="Arial" w:cs="Arial"/>
          <w:sz w:val="22"/>
          <w:szCs w:val="22"/>
        </w:rPr>
        <w:t xml:space="preserve">ECT Program to prepare and submit supporting documentation for Annual Compliance Reporting per </w:t>
      </w:r>
      <w:hyperlink r:id="rId8" w:history="1">
        <w:r w:rsidRPr="002E1F7A">
          <w:rPr>
            <w:rStyle w:val="Hyperlink"/>
            <w:rFonts w:ascii="Arial" w:hAnsi="Arial" w:cs="Arial"/>
            <w:sz w:val="22"/>
            <w:szCs w:val="22"/>
          </w:rPr>
          <w:t>30 Texas Administrative Code (TAC) §101.400.</w:t>
        </w:r>
      </w:hyperlink>
    </w:p>
    <w:p w14:paraId="17E09A99" w14:textId="77777777" w:rsidR="00D75CF2" w:rsidRPr="00264DA6" w:rsidRDefault="00D75CF2" w:rsidP="00D75CF2">
      <w:pPr>
        <w:spacing w:line="240" w:lineRule="auto"/>
        <w:rPr>
          <w:rFonts w:ascii="Arial" w:hAnsi="Arial" w:cs="Arial"/>
          <w:sz w:val="22"/>
          <w:szCs w:val="22"/>
        </w:rPr>
      </w:pPr>
      <w:r w:rsidRPr="00264DA6">
        <w:rPr>
          <w:rFonts w:ascii="Arial" w:hAnsi="Arial" w:cs="Arial"/>
          <w:sz w:val="22"/>
          <w:szCs w:val="22"/>
        </w:rPr>
        <w:t xml:space="preserve">Annual Reports must be submitted through the </w:t>
      </w:r>
      <w:hyperlink r:id="rId9" w:history="1">
        <w:r w:rsidRPr="00264DA6">
          <w:rPr>
            <w:rStyle w:val="Hyperlink"/>
            <w:rFonts w:ascii="Arial" w:hAnsi="Arial" w:cs="Arial"/>
            <w:sz w:val="22"/>
            <w:szCs w:val="22"/>
          </w:rPr>
          <w:t>State of Texas Environmental Electronic Reporting System (STEERS)</w:t>
        </w:r>
      </w:hyperlink>
      <w:r w:rsidRPr="00264DA6">
        <w:rPr>
          <w:rFonts w:ascii="Arial" w:hAnsi="Arial" w:cs="Arial"/>
          <w:sz w:val="22"/>
          <w:szCs w:val="22"/>
        </w:rPr>
        <w:t xml:space="preserve"> by March 31</w:t>
      </w:r>
      <w:r w:rsidRPr="00264DA6">
        <w:rPr>
          <w:rFonts w:ascii="Arial" w:hAnsi="Arial" w:cs="Arial"/>
          <w:sz w:val="22"/>
          <w:szCs w:val="22"/>
          <w:vertAlign w:val="superscript"/>
        </w:rPr>
        <w:t>st</w:t>
      </w:r>
      <w:r w:rsidRPr="00264DA6">
        <w:rPr>
          <w:rFonts w:ascii="Arial" w:hAnsi="Arial" w:cs="Arial"/>
          <w:sz w:val="22"/>
          <w:szCs w:val="22"/>
        </w:rPr>
        <w:t xml:space="preserve"> following each control period. Please attach a completed copy of this checklist, along with the appropriate supporting documentation, to your STEERS report submission. </w:t>
      </w:r>
      <w:r w:rsidRPr="00264DA6">
        <w:rPr>
          <w:rFonts w:ascii="Arial" w:hAnsi="Arial" w:cs="Arial"/>
          <w:b/>
          <w:bCs/>
          <w:sz w:val="22"/>
          <w:szCs w:val="22"/>
        </w:rPr>
        <w:t>Incomplete or missing documentation will delay processing of your report.</w:t>
      </w:r>
      <w:r w:rsidRPr="00264DA6">
        <w:rPr>
          <w:rFonts w:ascii="Arial" w:hAnsi="Arial" w:cs="Arial"/>
          <w:sz w:val="22"/>
          <w:szCs w:val="22"/>
        </w:rPr>
        <w:t xml:space="preserve"> </w:t>
      </w:r>
    </w:p>
    <w:p w14:paraId="3043D1E8" w14:textId="0EBE1A02" w:rsidR="00551787" w:rsidRPr="00A90F87" w:rsidRDefault="00D75CF2" w:rsidP="00551787">
      <w:pPr>
        <w:rPr>
          <w:rFonts w:ascii="Arial" w:hAnsi="Arial" w:cs="Arial"/>
          <w:sz w:val="20"/>
          <w:szCs w:val="20"/>
        </w:rPr>
      </w:pPr>
      <w:r w:rsidRPr="00264DA6">
        <w:rPr>
          <w:rFonts w:ascii="Arial" w:hAnsi="Arial" w:cs="Arial"/>
          <w:sz w:val="22"/>
          <w:szCs w:val="22"/>
        </w:rPr>
        <w:t>This checklist is not a compliance substitute for the rule requirements in 30 TAC Chapter 11</w:t>
      </w:r>
      <w:r>
        <w:rPr>
          <w:rFonts w:ascii="Arial" w:hAnsi="Arial" w:cs="Arial"/>
          <w:sz w:val="22"/>
          <w:szCs w:val="22"/>
        </w:rPr>
        <w:t>5</w:t>
      </w:r>
      <w:r w:rsidRPr="00264DA6">
        <w:rPr>
          <w:rFonts w:ascii="Arial" w:hAnsi="Arial" w:cs="Arial"/>
          <w:sz w:val="22"/>
          <w:szCs w:val="22"/>
        </w:rPr>
        <w:t xml:space="preserve"> and only reflects the documentation used by the Emission Banking and Trading Team to process annual compliance reports. The official version of the Chapter 11</w:t>
      </w:r>
      <w:r>
        <w:rPr>
          <w:rFonts w:ascii="Arial" w:hAnsi="Arial" w:cs="Arial"/>
          <w:sz w:val="22"/>
          <w:szCs w:val="22"/>
        </w:rPr>
        <w:t>5</w:t>
      </w:r>
      <w:r w:rsidRPr="00264DA6">
        <w:rPr>
          <w:rFonts w:ascii="Arial" w:hAnsi="Arial" w:cs="Arial"/>
          <w:sz w:val="22"/>
          <w:szCs w:val="22"/>
        </w:rPr>
        <w:t xml:space="preserve"> rules is available on the </w:t>
      </w:r>
      <w:hyperlink r:id="rId10" w:history="1">
        <w:r w:rsidRPr="00264DA6">
          <w:rPr>
            <w:rFonts w:ascii="Arial" w:hAnsi="Arial" w:cs="Arial"/>
            <w:color w:val="0000FF"/>
            <w:sz w:val="22"/>
            <w:szCs w:val="22"/>
            <w:u w:val="single"/>
          </w:rPr>
          <w:t>Secretary of State</w:t>
        </w:r>
      </w:hyperlink>
      <w:r w:rsidRPr="00264DA6">
        <w:rPr>
          <w:rFonts w:ascii="Arial" w:hAnsi="Arial" w:cs="Arial"/>
          <w:sz w:val="22"/>
          <w:szCs w:val="22"/>
        </w:rPr>
        <w:t xml:space="preserve"> website.</w:t>
      </w:r>
      <w:bookmarkEnd w:id="1"/>
    </w:p>
    <w:p w14:paraId="34D88B45" w14:textId="2DF8761A" w:rsidR="00551787" w:rsidRPr="00523CB4" w:rsidRDefault="00551787" w:rsidP="00FB441C">
      <w:pPr>
        <w:spacing w:before="120" w:line="240" w:lineRule="auto"/>
        <w:jc w:val="center"/>
        <w:outlineLvl w:val="1"/>
        <w:rPr>
          <w:rFonts w:asciiTheme="majorHAnsi" w:hAnsiTheme="majorHAnsi" w:cstheme="majorHAnsi"/>
          <w:b/>
          <w:bCs/>
          <w:sz w:val="24"/>
          <w:szCs w:val="24"/>
        </w:rPr>
      </w:pPr>
      <w:r w:rsidRPr="00523CB4">
        <w:rPr>
          <w:rFonts w:asciiTheme="majorHAnsi" w:hAnsiTheme="majorHAnsi" w:cstheme="majorHAnsi"/>
          <w:b/>
          <w:bCs/>
          <w:sz w:val="24"/>
          <w:szCs w:val="24"/>
        </w:rPr>
        <w:t>Notes</w:t>
      </w:r>
    </w:p>
    <w:p w14:paraId="7263B5AC" w14:textId="1F3D8F2F" w:rsidR="00551787" w:rsidRPr="00085775" w:rsidRDefault="00551787" w:rsidP="00FB441C">
      <w:pPr>
        <w:numPr>
          <w:ilvl w:val="0"/>
          <w:numId w:val="20"/>
        </w:numPr>
        <w:tabs>
          <w:tab w:val="left" w:pos="547"/>
          <w:tab w:val="left" w:pos="1094"/>
        </w:tabs>
        <w:autoSpaceDE w:val="0"/>
        <w:autoSpaceDN w:val="0"/>
        <w:adjustRightInd w:val="0"/>
        <w:spacing w:after="87"/>
        <w:ind w:left="1094" w:hanging="547"/>
        <w:rPr>
          <w:rFonts w:ascii="Arial" w:hAnsi="Arial" w:cs="Arial"/>
          <w:color w:val="000000"/>
          <w:sz w:val="22"/>
          <w:szCs w:val="22"/>
        </w:rPr>
      </w:pPr>
      <w:r w:rsidRPr="00085775">
        <w:rPr>
          <w:rFonts w:ascii="Arial" w:hAnsi="Arial" w:cs="Arial"/>
          <w:color w:val="000000"/>
          <w:sz w:val="22"/>
          <w:szCs w:val="22"/>
        </w:rPr>
        <w:t xml:space="preserve">Emissions for each HECT facility must be quantified using appropriate Chapter 115 monitoring and testing methods. If the required Chapter 115 data is missing or unavailable, you must provide an alternate method, in accordance with </w:t>
      </w:r>
      <w:hyperlink r:id="rId11" w:history="1">
        <w:r w:rsidRPr="00085775">
          <w:rPr>
            <w:rStyle w:val="Hyperlink"/>
            <w:rFonts w:ascii="Arial" w:hAnsi="Arial" w:cs="Arial"/>
            <w:sz w:val="22"/>
            <w:szCs w:val="22"/>
          </w:rPr>
          <w:t>30 TAC §101.396(</w:t>
        </w:r>
        <w:r w:rsidR="00E760D5" w:rsidRPr="00085775">
          <w:rPr>
            <w:rStyle w:val="Hyperlink"/>
            <w:rFonts w:ascii="Arial" w:hAnsi="Arial" w:cs="Arial"/>
            <w:sz w:val="22"/>
            <w:szCs w:val="22"/>
          </w:rPr>
          <w:t>c</w:t>
        </w:r>
        <w:r w:rsidRPr="00085775">
          <w:rPr>
            <w:rStyle w:val="Hyperlink"/>
            <w:rFonts w:ascii="Arial" w:hAnsi="Arial" w:cs="Arial"/>
            <w:sz w:val="22"/>
            <w:szCs w:val="22"/>
          </w:rPr>
          <w:t>)</w:t>
        </w:r>
      </w:hyperlink>
      <w:r w:rsidRPr="00085775">
        <w:rPr>
          <w:rFonts w:ascii="Arial" w:hAnsi="Arial" w:cs="Arial"/>
          <w:sz w:val="22"/>
          <w:szCs w:val="22"/>
        </w:rPr>
        <w:t xml:space="preserve"> </w:t>
      </w:r>
      <w:r w:rsidRPr="00085775">
        <w:rPr>
          <w:rFonts w:ascii="Arial" w:hAnsi="Arial" w:cs="Arial"/>
          <w:color w:val="000000"/>
          <w:sz w:val="22"/>
          <w:szCs w:val="22"/>
        </w:rPr>
        <w:t xml:space="preserve">as well as a detailed description of the reason the alternate data is being used. </w:t>
      </w:r>
    </w:p>
    <w:p w14:paraId="763D7EFE" w14:textId="77777777" w:rsidR="00551787" w:rsidRPr="00085775" w:rsidRDefault="00551787" w:rsidP="00FB441C">
      <w:pPr>
        <w:numPr>
          <w:ilvl w:val="0"/>
          <w:numId w:val="20"/>
        </w:numPr>
        <w:tabs>
          <w:tab w:val="left" w:pos="547"/>
          <w:tab w:val="left" w:pos="1094"/>
        </w:tabs>
        <w:autoSpaceDE w:val="0"/>
        <w:autoSpaceDN w:val="0"/>
        <w:adjustRightInd w:val="0"/>
        <w:spacing w:after="87"/>
        <w:ind w:left="1094" w:hanging="547"/>
        <w:rPr>
          <w:rFonts w:ascii="Arial" w:hAnsi="Arial" w:cs="Arial"/>
          <w:color w:val="000000"/>
          <w:sz w:val="22"/>
          <w:szCs w:val="22"/>
        </w:rPr>
      </w:pPr>
      <w:r w:rsidRPr="00085775">
        <w:rPr>
          <w:rFonts w:ascii="Arial" w:hAnsi="Arial" w:cs="Arial"/>
          <w:color w:val="000000"/>
          <w:sz w:val="22"/>
          <w:szCs w:val="22"/>
        </w:rPr>
        <w:t>Data substitution provided for continuous monitoring systems (CMS) downtime should be listed in accordance with Chapter 115 procedures and should not be listed as §101.396(c)</w:t>
      </w:r>
    </w:p>
    <w:p w14:paraId="303DCBB0" w14:textId="0BD9E8DC" w:rsidR="00551787" w:rsidRPr="00085775" w:rsidRDefault="00551787" w:rsidP="00FB441C">
      <w:pPr>
        <w:numPr>
          <w:ilvl w:val="0"/>
          <w:numId w:val="20"/>
        </w:numPr>
        <w:tabs>
          <w:tab w:val="left" w:pos="547"/>
          <w:tab w:val="left" w:pos="1094"/>
        </w:tabs>
        <w:autoSpaceDE w:val="0"/>
        <w:autoSpaceDN w:val="0"/>
        <w:adjustRightInd w:val="0"/>
        <w:ind w:left="1094" w:hanging="547"/>
        <w:rPr>
          <w:rFonts w:ascii="Arial" w:hAnsi="Arial" w:cs="Arial"/>
          <w:color w:val="000000"/>
          <w:sz w:val="22"/>
          <w:szCs w:val="22"/>
        </w:rPr>
      </w:pPr>
      <w:r w:rsidRPr="00085775">
        <w:rPr>
          <w:rFonts w:ascii="Arial" w:hAnsi="Arial" w:cs="Arial"/>
          <w:color w:val="000000"/>
          <w:sz w:val="22"/>
          <w:szCs w:val="22"/>
        </w:rPr>
        <w:t>If alternate data is used due to noncompliance with Chapter 115 protocols, an additional 10%</w:t>
      </w:r>
      <w:r w:rsidR="00523CB4">
        <w:rPr>
          <w:rFonts w:ascii="Arial" w:hAnsi="Arial" w:cs="Arial"/>
          <w:color w:val="000000"/>
          <w:sz w:val="22"/>
          <w:szCs w:val="22"/>
        </w:rPr>
        <w:t> </w:t>
      </w:r>
      <w:r w:rsidRPr="00085775">
        <w:rPr>
          <w:rFonts w:ascii="Arial" w:hAnsi="Arial" w:cs="Arial"/>
          <w:color w:val="000000"/>
          <w:sz w:val="22"/>
          <w:szCs w:val="22"/>
        </w:rPr>
        <w:t>quantification penalty will be applied in accordance with §101.396(</w:t>
      </w:r>
      <w:r w:rsidR="00CE5D0A" w:rsidRPr="00085775">
        <w:rPr>
          <w:rFonts w:ascii="Arial" w:hAnsi="Arial" w:cs="Arial"/>
          <w:color w:val="000000"/>
          <w:sz w:val="22"/>
          <w:szCs w:val="22"/>
        </w:rPr>
        <w:t>c</w:t>
      </w:r>
      <w:r w:rsidRPr="00085775">
        <w:rPr>
          <w:rFonts w:ascii="Arial" w:hAnsi="Arial" w:cs="Arial"/>
          <w:color w:val="000000"/>
          <w:sz w:val="22"/>
          <w:szCs w:val="22"/>
        </w:rPr>
        <w:t xml:space="preserve">)(2) for the period of noncompliance. </w:t>
      </w:r>
    </w:p>
    <w:p w14:paraId="2205FB3F" w14:textId="19835F33" w:rsidR="00551787" w:rsidRPr="00085775" w:rsidRDefault="00551787" w:rsidP="00FB441C">
      <w:pPr>
        <w:numPr>
          <w:ilvl w:val="0"/>
          <w:numId w:val="20"/>
        </w:numPr>
        <w:tabs>
          <w:tab w:val="left" w:pos="547"/>
          <w:tab w:val="left" w:pos="1094"/>
        </w:tabs>
        <w:autoSpaceDE w:val="0"/>
        <w:autoSpaceDN w:val="0"/>
        <w:adjustRightInd w:val="0"/>
        <w:ind w:left="1094" w:hanging="547"/>
        <w:rPr>
          <w:rFonts w:ascii="Arial" w:hAnsi="Arial" w:cs="Arial"/>
          <w:color w:val="000000"/>
          <w:sz w:val="22"/>
          <w:szCs w:val="22"/>
        </w:rPr>
      </w:pPr>
      <w:r w:rsidRPr="00085775">
        <w:rPr>
          <w:rFonts w:ascii="Arial" w:hAnsi="Arial" w:cs="Arial"/>
          <w:color w:val="000000"/>
          <w:sz w:val="22"/>
          <w:szCs w:val="22"/>
        </w:rPr>
        <w:t>HRVOC emissions from pressure relief valves (PRVs) are only included for time periods that the PRV is open. HRVOC emissions resulting from the PRV leaking while closed are classified as fugitive emissions subject to Chapter 115, Subchapter H, Division 3, and are excluded from §115.725 and HECT.</w:t>
      </w:r>
    </w:p>
    <w:p w14:paraId="4DBBEAB1" w14:textId="2FD77FD7" w:rsidR="00551787" w:rsidRPr="00FB441C" w:rsidRDefault="00551787" w:rsidP="00FB441C">
      <w:pPr>
        <w:spacing w:before="120" w:line="240" w:lineRule="auto"/>
        <w:jc w:val="center"/>
        <w:outlineLvl w:val="1"/>
        <w:rPr>
          <w:rFonts w:asciiTheme="majorHAnsi" w:hAnsiTheme="majorHAnsi" w:cstheme="majorHAnsi"/>
          <w:b/>
          <w:bCs/>
          <w:sz w:val="24"/>
          <w:szCs w:val="24"/>
        </w:rPr>
      </w:pPr>
      <w:r w:rsidRPr="00FB441C">
        <w:rPr>
          <w:rFonts w:asciiTheme="majorHAnsi" w:hAnsiTheme="majorHAnsi" w:cstheme="majorHAnsi"/>
          <w:b/>
          <w:bCs/>
          <w:sz w:val="24"/>
          <w:szCs w:val="24"/>
        </w:rPr>
        <w:t>Instructions</w:t>
      </w:r>
    </w:p>
    <w:p w14:paraId="47BDB506" w14:textId="77777777" w:rsidR="00D75CF2" w:rsidRPr="00264DA6" w:rsidRDefault="00D75CF2" w:rsidP="00D75CF2">
      <w:pPr>
        <w:numPr>
          <w:ilvl w:val="0"/>
          <w:numId w:val="21"/>
        </w:numPr>
        <w:tabs>
          <w:tab w:val="left" w:pos="547"/>
          <w:tab w:val="left" w:pos="1094"/>
        </w:tabs>
        <w:spacing w:line="240" w:lineRule="auto"/>
        <w:ind w:left="1094" w:hanging="547"/>
        <w:rPr>
          <w:rFonts w:ascii="Arial" w:hAnsi="Arial" w:cs="Arial"/>
          <w:sz w:val="22"/>
          <w:szCs w:val="22"/>
        </w:rPr>
      </w:pPr>
      <w:bookmarkStart w:id="2" w:name="_Hlk125381786"/>
      <w:r>
        <w:rPr>
          <w:rFonts w:ascii="Arial" w:hAnsi="Arial" w:cs="Arial"/>
          <w:sz w:val="22"/>
          <w:szCs w:val="22"/>
        </w:rPr>
        <w:t>This document contains multiple checklist tables. Each checklist is associated to a Chapter 115 monitoring or testing citation. Complete</w:t>
      </w:r>
      <w:r w:rsidRPr="00264DA6">
        <w:rPr>
          <w:rFonts w:ascii="Arial" w:hAnsi="Arial" w:cs="Arial"/>
          <w:sz w:val="22"/>
          <w:szCs w:val="22"/>
        </w:rPr>
        <w:t xml:space="preserve"> the appropriate </w:t>
      </w:r>
      <w:r>
        <w:rPr>
          <w:rFonts w:ascii="Arial" w:hAnsi="Arial" w:cs="Arial"/>
          <w:sz w:val="22"/>
          <w:szCs w:val="22"/>
        </w:rPr>
        <w:t>checklists for</w:t>
      </w:r>
      <w:r w:rsidRPr="00264DA6">
        <w:rPr>
          <w:rFonts w:ascii="Arial" w:hAnsi="Arial" w:cs="Arial"/>
          <w:sz w:val="22"/>
          <w:szCs w:val="22"/>
        </w:rPr>
        <w:t xml:space="preserve"> the units at your site. </w:t>
      </w:r>
      <w:r w:rsidRPr="00264DA6">
        <w:rPr>
          <w:rFonts w:ascii="Arial" w:hAnsi="Arial" w:cs="Arial"/>
          <w:b/>
          <w:bCs/>
          <w:sz w:val="22"/>
          <w:szCs w:val="22"/>
        </w:rPr>
        <w:t xml:space="preserve">Only fill out the </w:t>
      </w:r>
      <w:r>
        <w:rPr>
          <w:rFonts w:ascii="Arial" w:hAnsi="Arial" w:cs="Arial"/>
          <w:b/>
          <w:bCs/>
          <w:sz w:val="22"/>
          <w:szCs w:val="22"/>
        </w:rPr>
        <w:t>checklists</w:t>
      </w:r>
      <w:r w:rsidRPr="00264DA6">
        <w:rPr>
          <w:rFonts w:ascii="Arial" w:hAnsi="Arial" w:cs="Arial"/>
          <w:b/>
          <w:bCs/>
          <w:sz w:val="22"/>
          <w:szCs w:val="22"/>
        </w:rPr>
        <w:t xml:space="preserve"> for citations relevant to your report.</w:t>
      </w:r>
      <w:r w:rsidRPr="00264DA6">
        <w:rPr>
          <w:rFonts w:ascii="Arial" w:hAnsi="Arial" w:cs="Arial"/>
          <w:sz w:val="22"/>
          <w:szCs w:val="22"/>
        </w:rPr>
        <w:t xml:space="preserve"> </w:t>
      </w:r>
    </w:p>
    <w:p w14:paraId="53D690D4" w14:textId="77777777" w:rsidR="00D75CF2" w:rsidRPr="00264DA6" w:rsidRDefault="00D75CF2" w:rsidP="00D75CF2">
      <w:pPr>
        <w:numPr>
          <w:ilvl w:val="0"/>
          <w:numId w:val="21"/>
        </w:numPr>
        <w:tabs>
          <w:tab w:val="left" w:pos="547"/>
          <w:tab w:val="left" w:pos="1094"/>
        </w:tabs>
        <w:spacing w:line="240" w:lineRule="auto"/>
        <w:ind w:left="1094" w:hanging="547"/>
        <w:rPr>
          <w:rFonts w:ascii="Arial" w:hAnsi="Arial" w:cs="Arial"/>
          <w:sz w:val="22"/>
          <w:szCs w:val="22"/>
        </w:rPr>
      </w:pPr>
      <w:bookmarkStart w:id="3" w:name="_Hlk89085030"/>
      <w:r>
        <w:rPr>
          <w:rFonts w:ascii="Arial" w:hAnsi="Arial" w:cs="Arial"/>
          <w:sz w:val="22"/>
          <w:szCs w:val="22"/>
        </w:rPr>
        <w:t>In the first row of each applicable checklist, i</w:t>
      </w:r>
      <w:r w:rsidRPr="00264DA6">
        <w:rPr>
          <w:rFonts w:ascii="Arial" w:hAnsi="Arial" w:cs="Arial"/>
          <w:sz w:val="22"/>
          <w:szCs w:val="22"/>
        </w:rPr>
        <w:t>dentify which unit</w:t>
      </w:r>
      <w:r>
        <w:rPr>
          <w:rFonts w:ascii="Arial" w:hAnsi="Arial" w:cs="Arial"/>
          <w:sz w:val="22"/>
          <w:szCs w:val="22"/>
        </w:rPr>
        <w:t>(</w:t>
      </w:r>
      <w:r w:rsidRPr="00264DA6">
        <w:rPr>
          <w:rFonts w:ascii="Arial" w:hAnsi="Arial" w:cs="Arial"/>
          <w:sz w:val="22"/>
          <w:szCs w:val="22"/>
        </w:rPr>
        <w:t>s</w:t>
      </w:r>
      <w:r>
        <w:rPr>
          <w:rFonts w:ascii="Arial" w:hAnsi="Arial" w:cs="Arial"/>
          <w:sz w:val="22"/>
          <w:szCs w:val="22"/>
        </w:rPr>
        <w:t>)</w:t>
      </w:r>
      <w:r w:rsidRPr="00264DA6">
        <w:rPr>
          <w:rFonts w:ascii="Arial" w:hAnsi="Arial" w:cs="Arial"/>
          <w:sz w:val="22"/>
          <w:szCs w:val="22"/>
        </w:rPr>
        <w:t xml:space="preserve">, by </w:t>
      </w:r>
      <w:r>
        <w:rPr>
          <w:rFonts w:ascii="Arial" w:hAnsi="Arial" w:cs="Arial"/>
          <w:sz w:val="22"/>
          <w:szCs w:val="22"/>
        </w:rPr>
        <w:t>Emission Point Number</w:t>
      </w:r>
      <w:r w:rsidRPr="00264DA6">
        <w:rPr>
          <w:rFonts w:ascii="Arial" w:hAnsi="Arial" w:cs="Arial"/>
          <w:sz w:val="22"/>
          <w:szCs w:val="22"/>
        </w:rPr>
        <w:t xml:space="preserve"> (</w:t>
      </w:r>
      <w:r>
        <w:rPr>
          <w:rFonts w:ascii="Arial" w:hAnsi="Arial" w:cs="Arial"/>
          <w:sz w:val="22"/>
          <w:szCs w:val="22"/>
        </w:rPr>
        <w:t>EPN</w:t>
      </w:r>
      <w:r w:rsidRPr="00264DA6">
        <w:rPr>
          <w:rFonts w:ascii="Arial" w:hAnsi="Arial" w:cs="Arial"/>
          <w:sz w:val="22"/>
          <w:szCs w:val="22"/>
        </w:rPr>
        <w:t>) are reporting using that citation.</w:t>
      </w:r>
    </w:p>
    <w:p w14:paraId="697EF333" w14:textId="77777777" w:rsidR="00D75CF2" w:rsidRPr="00264DA6" w:rsidRDefault="00D75CF2" w:rsidP="00D75CF2">
      <w:pPr>
        <w:numPr>
          <w:ilvl w:val="0"/>
          <w:numId w:val="21"/>
        </w:numPr>
        <w:tabs>
          <w:tab w:val="left" w:pos="547"/>
          <w:tab w:val="left" w:pos="1094"/>
        </w:tabs>
        <w:spacing w:line="240" w:lineRule="auto"/>
        <w:ind w:left="1094" w:hanging="547"/>
        <w:rPr>
          <w:rFonts w:ascii="Arial" w:hAnsi="Arial" w:cs="Arial"/>
          <w:sz w:val="22"/>
          <w:szCs w:val="22"/>
        </w:rPr>
      </w:pPr>
      <w:bookmarkStart w:id="4" w:name="_Hlk125376831"/>
      <w:bookmarkEnd w:id="3"/>
      <w:r w:rsidRPr="00264DA6">
        <w:rPr>
          <w:rFonts w:ascii="Arial" w:hAnsi="Arial" w:cs="Arial"/>
          <w:sz w:val="22"/>
          <w:szCs w:val="22"/>
        </w:rPr>
        <w:t xml:space="preserve">Use the checklist to identify the supporting documentation </w:t>
      </w:r>
      <w:r>
        <w:rPr>
          <w:rFonts w:ascii="Arial" w:hAnsi="Arial" w:cs="Arial"/>
          <w:sz w:val="22"/>
          <w:szCs w:val="22"/>
        </w:rPr>
        <w:t>required</w:t>
      </w:r>
      <w:r w:rsidRPr="00264DA6">
        <w:rPr>
          <w:rFonts w:ascii="Arial" w:hAnsi="Arial" w:cs="Arial"/>
          <w:sz w:val="22"/>
          <w:szCs w:val="22"/>
        </w:rPr>
        <w:t xml:space="preserve"> with your Annual Compliance Report. </w:t>
      </w:r>
      <w:r>
        <w:rPr>
          <w:rFonts w:ascii="Arial" w:hAnsi="Arial" w:cs="Arial"/>
          <w:sz w:val="22"/>
          <w:szCs w:val="22"/>
        </w:rPr>
        <w:t>Check</w:t>
      </w:r>
      <w:r w:rsidRPr="00264DA6">
        <w:rPr>
          <w:rFonts w:ascii="Arial" w:hAnsi="Arial" w:cs="Arial"/>
          <w:sz w:val="22"/>
          <w:szCs w:val="22"/>
        </w:rPr>
        <w:t xml:space="preserve"> off each item </w:t>
      </w:r>
      <w:r>
        <w:rPr>
          <w:rFonts w:ascii="Arial" w:hAnsi="Arial" w:cs="Arial"/>
          <w:sz w:val="22"/>
          <w:szCs w:val="22"/>
        </w:rPr>
        <w:t xml:space="preserve">attached to your </w:t>
      </w:r>
      <w:r w:rsidRPr="00264DA6">
        <w:rPr>
          <w:rFonts w:ascii="Arial" w:hAnsi="Arial" w:cs="Arial"/>
          <w:sz w:val="22"/>
          <w:szCs w:val="22"/>
        </w:rPr>
        <w:t>report.</w:t>
      </w:r>
    </w:p>
    <w:bookmarkEnd w:id="2"/>
    <w:bookmarkEnd w:id="4"/>
    <w:p w14:paraId="4D26C78B" w14:textId="77777777" w:rsidR="00551787" w:rsidRDefault="00551787" w:rsidP="00FB441C">
      <w:pPr>
        <w:rPr>
          <w:b/>
        </w:rPr>
      </w:pPr>
      <w:r>
        <w:br w:type="page"/>
      </w:r>
    </w:p>
    <w:p w14:paraId="05368BAB" w14:textId="2D2059EE" w:rsidR="00F036FA" w:rsidRPr="00FB441C" w:rsidRDefault="00F036FA" w:rsidP="00FB441C">
      <w:pPr>
        <w:pStyle w:val="Heading1"/>
      </w:pPr>
      <w:r w:rsidRPr="00FB441C">
        <w:lastRenderedPageBreak/>
        <w:t>HECT Supporting Documentation Checklist</w:t>
      </w:r>
      <w:r w:rsidR="004333E5" w:rsidRPr="00FB441C">
        <w:t xml:space="preserve"> for Vents</w:t>
      </w:r>
    </w:p>
    <w:p w14:paraId="7BC6CE1A" w14:textId="77777777" w:rsidR="00D75CF2" w:rsidRPr="00FB441C" w:rsidRDefault="00D75CF2" w:rsidP="00FB441C">
      <w:pPr>
        <w:spacing w:before="600" w:line="240" w:lineRule="auto"/>
        <w:outlineLvl w:val="1"/>
        <w:rPr>
          <w:rFonts w:asciiTheme="majorHAnsi" w:hAnsiTheme="majorHAnsi" w:cstheme="majorHAnsi"/>
          <w:b/>
          <w:bCs/>
          <w:sz w:val="24"/>
          <w:szCs w:val="24"/>
        </w:rPr>
      </w:pPr>
      <w:bookmarkStart w:id="5" w:name="_Hlk89083717"/>
      <w:r w:rsidRPr="00FB441C">
        <w:rPr>
          <w:rFonts w:asciiTheme="majorHAnsi" w:hAnsiTheme="majorHAnsi" w:cstheme="majorHAnsi"/>
          <w:b/>
          <w:bCs/>
          <w:sz w:val="24"/>
          <w:szCs w:val="24"/>
        </w:rPr>
        <w:t>Complete the appropriate checklists:</w:t>
      </w:r>
    </w:p>
    <w:bookmarkEnd w:id="5"/>
    <w:p w14:paraId="7F2DF100" w14:textId="019D4EBF" w:rsidR="00F036FA" w:rsidRPr="00274CF1" w:rsidRDefault="00F036FA" w:rsidP="00274CF1">
      <w:pPr>
        <w:tabs>
          <w:tab w:val="left" w:pos="547"/>
        </w:tabs>
        <w:spacing w:line="240" w:lineRule="auto"/>
        <w:ind w:left="547" w:hanging="547"/>
        <w:outlineLvl w:val="1"/>
        <w:rPr>
          <w:rFonts w:asciiTheme="majorHAnsi" w:hAnsiTheme="majorHAnsi" w:cstheme="majorHAnsi"/>
          <w:b/>
          <w:bCs/>
          <w:sz w:val="22"/>
          <w:szCs w:val="22"/>
        </w:rPr>
      </w:pPr>
      <w:r w:rsidRPr="00F064B9">
        <w:rPr>
          <w:rFonts w:asciiTheme="majorHAnsi" w:hAnsiTheme="majorHAnsi" w:cstheme="majorHAnsi"/>
          <w:sz w:val="22"/>
          <w:szCs w:val="22"/>
        </w:rPr>
        <w:fldChar w:fldCharType="begin">
          <w:ffData>
            <w:name w:val=""/>
            <w:enabled/>
            <w:calcOnExit w:val="0"/>
            <w:checkBox>
              <w:sizeAuto/>
              <w:default w:val="0"/>
            </w:checkBox>
          </w:ffData>
        </w:fldChar>
      </w:r>
      <w:r w:rsidRPr="00F064B9">
        <w:rPr>
          <w:rFonts w:asciiTheme="majorHAnsi" w:hAnsiTheme="majorHAnsi" w:cstheme="majorHAnsi"/>
          <w:sz w:val="22"/>
          <w:szCs w:val="22"/>
        </w:rPr>
        <w:instrText xml:space="preserve"> FORMCHECKBOX </w:instrText>
      </w:r>
      <w:r w:rsidR="00BC5B49">
        <w:rPr>
          <w:rFonts w:asciiTheme="majorHAnsi" w:hAnsiTheme="majorHAnsi" w:cstheme="majorHAnsi"/>
          <w:sz w:val="22"/>
          <w:szCs w:val="22"/>
        </w:rPr>
      </w:r>
      <w:r w:rsidR="00BC5B49">
        <w:rPr>
          <w:rFonts w:asciiTheme="majorHAnsi" w:hAnsiTheme="majorHAnsi" w:cstheme="majorHAnsi"/>
          <w:sz w:val="22"/>
          <w:szCs w:val="22"/>
        </w:rPr>
        <w:fldChar w:fldCharType="separate"/>
      </w:r>
      <w:r w:rsidRPr="00F064B9">
        <w:rPr>
          <w:rFonts w:asciiTheme="majorHAnsi" w:hAnsiTheme="majorHAnsi" w:cstheme="majorHAnsi"/>
          <w:sz w:val="22"/>
          <w:szCs w:val="22"/>
        </w:rPr>
        <w:fldChar w:fldCharType="end"/>
      </w:r>
      <w:r w:rsidR="00274CF1">
        <w:rPr>
          <w:rFonts w:asciiTheme="majorHAnsi" w:hAnsiTheme="majorHAnsi" w:cstheme="majorHAnsi"/>
          <w:sz w:val="22"/>
          <w:szCs w:val="22"/>
        </w:rPr>
        <w:tab/>
      </w:r>
      <w:r w:rsidRPr="00274CF1">
        <w:rPr>
          <w:rFonts w:asciiTheme="majorHAnsi" w:hAnsiTheme="majorHAnsi" w:cstheme="majorHAnsi"/>
          <w:b/>
          <w:bCs/>
          <w:sz w:val="22"/>
          <w:szCs w:val="22"/>
        </w:rPr>
        <w:t xml:space="preserve">§115.725(a): Vent gas streams not controlled by a flare, other than </w:t>
      </w:r>
      <w:r w:rsidR="00551787" w:rsidRPr="00274CF1">
        <w:rPr>
          <w:rFonts w:asciiTheme="majorHAnsi" w:hAnsiTheme="majorHAnsi" w:cstheme="majorHAnsi"/>
          <w:b/>
          <w:bCs/>
          <w:sz w:val="22"/>
          <w:szCs w:val="22"/>
        </w:rPr>
        <w:t xml:space="preserve">PRVs </w:t>
      </w:r>
      <w:r w:rsidRPr="00274CF1">
        <w:rPr>
          <w:rFonts w:asciiTheme="majorHAnsi" w:hAnsiTheme="majorHAnsi" w:cstheme="majorHAnsi"/>
          <w:b/>
          <w:bCs/>
          <w:sz w:val="22"/>
          <w:szCs w:val="22"/>
        </w:rPr>
        <w:t>except those using an applicable option in §115.725(b)(1),(b)(2), or (m):</w:t>
      </w:r>
    </w:p>
    <w:tbl>
      <w:tblPr>
        <w:tblStyle w:val="TableGrid10"/>
        <w:tblW w:w="10795" w:type="dxa"/>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Description w:val="EPN: §115.725(a): Vent gas streams not controlled by a flare, other than PRVs except those using an applicable option in §115.725(b)(1),(b)(2), or (m):"/>
      </w:tblPr>
      <w:tblGrid>
        <w:gridCol w:w="1072"/>
        <w:gridCol w:w="9723"/>
      </w:tblGrid>
      <w:tr w:rsidR="00DE5E09" w:rsidRPr="00085775" w14:paraId="2338254A" w14:textId="77777777" w:rsidTr="00274CF1">
        <w:trPr>
          <w:cantSplit/>
          <w:tblHeader/>
        </w:trPr>
        <w:tc>
          <w:tcPr>
            <w:tcW w:w="1072" w:type="dxa"/>
            <w:shd w:val="clear" w:color="auto" w:fill="F2F2F2" w:themeFill="background1" w:themeFillShade="F2"/>
            <w:vAlign w:val="center"/>
          </w:tcPr>
          <w:p w14:paraId="208385DD" w14:textId="4D30E99F" w:rsidR="00DE5E09" w:rsidRPr="00085775" w:rsidRDefault="00956600" w:rsidP="00274CF1">
            <w:pPr>
              <w:spacing w:after="0" w:line="240" w:lineRule="auto"/>
              <w:jc w:val="center"/>
              <w:rPr>
                <w:rFonts w:cstheme="minorHAnsi"/>
                <w:b/>
                <w:bCs/>
                <w:sz w:val="22"/>
                <w:szCs w:val="22"/>
              </w:rPr>
            </w:pPr>
            <w:r w:rsidRPr="00085775">
              <w:rPr>
                <w:rFonts w:cstheme="minorHAnsi"/>
                <w:b/>
                <w:bCs/>
                <w:sz w:val="22"/>
                <w:szCs w:val="22"/>
              </w:rPr>
              <w:t>EPN</w:t>
            </w:r>
            <w:r w:rsidR="00DE5E09" w:rsidRPr="00085775">
              <w:rPr>
                <w:rFonts w:cstheme="minorHAnsi"/>
                <w:b/>
                <w:bCs/>
                <w:sz w:val="22"/>
                <w:szCs w:val="22"/>
              </w:rPr>
              <w:t>s:</w:t>
            </w:r>
          </w:p>
        </w:tc>
        <w:tc>
          <w:tcPr>
            <w:tcW w:w="9723" w:type="dxa"/>
            <w:shd w:val="clear" w:color="auto" w:fill="F2F2F2" w:themeFill="background1" w:themeFillShade="F2"/>
          </w:tcPr>
          <w:p w14:paraId="70B3224F" w14:textId="05F987A9" w:rsidR="00DE5E09" w:rsidRPr="00085775" w:rsidRDefault="00DE5E09" w:rsidP="00274CF1">
            <w:pPr>
              <w:spacing w:after="0" w:line="240" w:lineRule="auto"/>
              <w:rPr>
                <w:rFonts w:cstheme="minorHAnsi"/>
                <w:b/>
                <w:bCs/>
                <w:sz w:val="22"/>
                <w:szCs w:val="22"/>
              </w:rPr>
            </w:pPr>
          </w:p>
        </w:tc>
      </w:tr>
      <w:tr w:rsidR="00DE5E09" w:rsidRPr="00085775" w14:paraId="7BFB4D54" w14:textId="77777777" w:rsidTr="00274CF1">
        <w:trPr>
          <w:cantSplit/>
          <w:tblHeader/>
        </w:trPr>
        <w:tc>
          <w:tcPr>
            <w:tcW w:w="1072" w:type="dxa"/>
            <w:shd w:val="clear" w:color="auto" w:fill="BFBFBF" w:themeFill="background1" w:themeFillShade="BF"/>
            <w:vAlign w:val="center"/>
          </w:tcPr>
          <w:p w14:paraId="6AAD46BC" w14:textId="50D60C66" w:rsidR="00DE5E09" w:rsidRPr="00085775" w:rsidRDefault="00DE5E09" w:rsidP="00274CF1">
            <w:pPr>
              <w:spacing w:after="0" w:line="240" w:lineRule="auto"/>
              <w:jc w:val="center"/>
              <w:rPr>
                <w:rFonts w:eastAsia="MS Gothic" w:cstheme="minorHAnsi"/>
                <w:b/>
                <w:bCs/>
                <w:sz w:val="22"/>
                <w:szCs w:val="22"/>
              </w:rPr>
            </w:pPr>
            <w:r w:rsidRPr="00085775">
              <w:rPr>
                <w:rFonts w:eastAsia="MS Gothic" w:cstheme="minorHAnsi"/>
                <w:b/>
                <w:bCs/>
                <w:sz w:val="22"/>
                <w:szCs w:val="22"/>
              </w:rPr>
              <w:t>Attached</w:t>
            </w:r>
          </w:p>
        </w:tc>
        <w:tc>
          <w:tcPr>
            <w:tcW w:w="9723" w:type="dxa"/>
            <w:shd w:val="clear" w:color="auto" w:fill="BFBFBF" w:themeFill="background1" w:themeFillShade="BF"/>
          </w:tcPr>
          <w:p w14:paraId="147F8AC4" w14:textId="3EA69320" w:rsidR="00DE5E09" w:rsidRPr="00085775" w:rsidRDefault="00DE5E09" w:rsidP="00274CF1">
            <w:pPr>
              <w:spacing w:after="0" w:line="240" w:lineRule="auto"/>
              <w:rPr>
                <w:rFonts w:cstheme="minorHAnsi"/>
                <w:b/>
                <w:bCs/>
                <w:sz w:val="22"/>
                <w:szCs w:val="22"/>
              </w:rPr>
            </w:pPr>
            <w:r w:rsidRPr="00085775">
              <w:rPr>
                <w:rFonts w:cstheme="minorHAnsi"/>
                <w:b/>
                <w:bCs/>
                <w:sz w:val="22"/>
                <w:szCs w:val="22"/>
              </w:rPr>
              <w:t>Documentation Required</w:t>
            </w:r>
          </w:p>
        </w:tc>
      </w:tr>
      <w:tr w:rsidR="00DE5E09" w:rsidRPr="00085775" w14:paraId="0FAB18B0" w14:textId="77777777" w:rsidTr="00274CF1">
        <w:trPr>
          <w:cantSplit/>
          <w:tblHeader/>
        </w:trPr>
        <w:tc>
          <w:tcPr>
            <w:tcW w:w="1072" w:type="dxa"/>
            <w:vAlign w:val="center"/>
          </w:tcPr>
          <w:p w14:paraId="3BFB53A3"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723" w:type="dxa"/>
          </w:tcPr>
          <w:p w14:paraId="33C46031" w14:textId="3788D368" w:rsidR="00DE5E09" w:rsidRPr="00085775" w:rsidRDefault="00DE5E09" w:rsidP="00274CF1">
            <w:pPr>
              <w:spacing w:after="0" w:line="240" w:lineRule="auto"/>
              <w:rPr>
                <w:rFonts w:cstheme="minorHAnsi"/>
                <w:sz w:val="22"/>
                <w:szCs w:val="22"/>
              </w:rPr>
            </w:pPr>
            <w:r w:rsidRPr="00085775">
              <w:rPr>
                <w:rFonts w:cstheme="minorHAnsi"/>
                <w:sz w:val="22"/>
                <w:szCs w:val="22"/>
              </w:rPr>
              <w:t>Speciated HRVOC emissions (</w:t>
            </w:r>
            <w:r w:rsidR="00935226" w:rsidRPr="00085775">
              <w:rPr>
                <w:rFonts w:cstheme="minorHAnsi"/>
                <w:sz w:val="22"/>
                <w:szCs w:val="22"/>
              </w:rPr>
              <w:t xml:space="preserve">ton per year, </w:t>
            </w:r>
            <w:proofErr w:type="spellStart"/>
            <w:r w:rsidRPr="00085775">
              <w:rPr>
                <w:rFonts w:cstheme="minorHAnsi"/>
                <w:sz w:val="22"/>
                <w:szCs w:val="22"/>
              </w:rPr>
              <w:t>tpy</w:t>
            </w:r>
            <w:proofErr w:type="spellEnd"/>
            <w:r w:rsidRPr="00085775">
              <w:rPr>
                <w:rFonts w:cstheme="minorHAnsi"/>
                <w:sz w:val="22"/>
                <w:szCs w:val="22"/>
              </w:rPr>
              <w:t>) for each vent (isomers of butene may be reported collectively)</w:t>
            </w:r>
          </w:p>
        </w:tc>
      </w:tr>
      <w:tr w:rsidR="00DE5E09" w:rsidRPr="00085775" w14:paraId="3A7E26DD" w14:textId="77777777" w:rsidTr="00274CF1">
        <w:trPr>
          <w:cantSplit/>
          <w:tblHeader/>
        </w:trPr>
        <w:tc>
          <w:tcPr>
            <w:tcW w:w="1072" w:type="dxa"/>
            <w:vAlign w:val="center"/>
          </w:tcPr>
          <w:p w14:paraId="31DEC618"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723" w:type="dxa"/>
          </w:tcPr>
          <w:p w14:paraId="4A625C5D" w14:textId="77777777" w:rsidR="00DE5E09" w:rsidRPr="00085775" w:rsidRDefault="00DE5E09" w:rsidP="00274CF1">
            <w:pPr>
              <w:spacing w:after="0" w:line="240" w:lineRule="auto"/>
              <w:rPr>
                <w:rFonts w:cstheme="minorHAnsi"/>
                <w:sz w:val="22"/>
                <w:szCs w:val="22"/>
              </w:rPr>
            </w:pPr>
            <w:r w:rsidRPr="00085775">
              <w:rPr>
                <w:rFonts w:cstheme="minorHAnsi"/>
                <w:sz w:val="22"/>
                <w:szCs w:val="22"/>
              </w:rPr>
              <w:t>Brief written description of the methodology used to determine the reported HRVOC emissions for each EPN (including a description of the operational parameters that are continuously monitored)</w:t>
            </w:r>
          </w:p>
        </w:tc>
      </w:tr>
      <w:tr w:rsidR="00DE5E09" w:rsidRPr="00085775" w14:paraId="3DAF8FC8" w14:textId="77777777" w:rsidTr="00274CF1">
        <w:trPr>
          <w:cantSplit/>
          <w:tblHeader/>
        </w:trPr>
        <w:tc>
          <w:tcPr>
            <w:tcW w:w="1072" w:type="dxa"/>
            <w:vAlign w:val="center"/>
          </w:tcPr>
          <w:p w14:paraId="14A5C647"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bookmarkStart w:id="6" w:name="Check4"/>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bookmarkEnd w:id="6"/>
          </w:p>
        </w:tc>
        <w:tc>
          <w:tcPr>
            <w:tcW w:w="9723" w:type="dxa"/>
          </w:tcPr>
          <w:p w14:paraId="36B44B0A" w14:textId="77777777" w:rsidR="00DE5E09" w:rsidRPr="00085775" w:rsidRDefault="00DE5E09" w:rsidP="00274CF1">
            <w:pPr>
              <w:spacing w:after="0" w:line="240" w:lineRule="auto"/>
              <w:rPr>
                <w:rFonts w:cstheme="minorHAnsi"/>
                <w:sz w:val="22"/>
                <w:szCs w:val="22"/>
              </w:rPr>
            </w:pPr>
            <w:r w:rsidRPr="00085775">
              <w:rPr>
                <w:rFonts w:cstheme="minorHAnsi"/>
                <w:sz w:val="22"/>
                <w:szCs w:val="22"/>
              </w:rPr>
              <w:t>Stack test report summary (not full report) used to establish maximum potential HRVOC emission rate for the vent</w:t>
            </w:r>
          </w:p>
        </w:tc>
      </w:tr>
      <w:tr w:rsidR="00DE5E09" w:rsidRPr="00085775" w14:paraId="12E06672" w14:textId="77777777" w:rsidTr="00274CF1">
        <w:trPr>
          <w:cantSplit/>
          <w:tblHeader/>
        </w:trPr>
        <w:tc>
          <w:tcPr>
            <w:tcW w:w="1072" w:type="dxa"/>
            <w:vAlign w:val="center"/>
          </w:tcPr>
          <w:p w14:paraId="132BBAA2"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5"/>
                  <w:enabled/>
                  <w:calcOnExit w:val="0"/>
                  <w:checkBox>
                    <w:sizeAuto/>
                    <w:default w:val="0"/>
                  </w:checkBox>
                </w:ffData>
              </w:fldChar>
            </w:r>
            <w:bookmarkStart w:id="7" w:name="Check5"/>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bookmarkEnd w:id="7"/>
          </w:p>
        </w:tc>
        <w:tc>
          <w:tcPr>
            <w:tcW w:w="9723" w:type="dxa"/>
          </w:tcPr>
          <w:p w14:paraId="0FA39D90" w14:textId="428E650D" w:rsidR="00DE5E09" w:rsidRPr="00085775" w:rsidRDefault="00DE5E09" w:rsidP="00274CF1">
            <w:pPr>
              <w:spacing w:after="0" w:line="240" w:lineRule="auto"/>
              <w:rPr>
                <w:rFonts w:cstheme="minorHAnsi"/>
                <w:sz w:val="22"/>
                <w:szCs w:val="22"/>
              </w:rPr>
            </w:pPr>
            <w:r w:rsidRPr="00085775">
              <w:rPr>
                <w:rFonts w:cstheme="minorHAnsi"/>
                <w:sz w:val="22"/>
                <w:szCs w:val="22"/>
              </w:rPr>
              <w:t xml:space="preserve">Approved testing waiver for up to half of any group of vents that are identical in design and operation and that are expected to have identical emissions, if </w:t>
            </w:r>
            <w:r w:rsidR="008E37F3" w:rsidRPr="00085775">
              <w:rPr>
                <w:rFonts w:cstheme="minorHAnsi"/>
                <w:sz w:val="22"/>
                <w:szCs w:val="22"/>
              </w:rPr>
              <w:t>applicable</w:t>
            </w:r>
          </w:p>
        </w:tc>
      </w:tr>
      <w:tr w:rsidR="00DE5E09" w:rsidRPr="00085775" w14:paraId="3B512A25" w14:textId="77777777" w:rsidTr="00274CF1">
        <w:trPr>
          <w:cantSplit/>
          <w:tblHeader/>
        </w:trPr>
        <w:tc>
          <w:tcPr>
            <w:tcW w:w="1072" w:type="dxa"/>
            <w:vAlign w:val="center"/>
          </w:tcPr>
          <w:p w14:paraId="45C6E1AE"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6"/>
                  <w:enabled/>
                  <w:calcOnExit w:val="0"/>
                  <w:checkBox>
                    <w:sizeAuto/>
                    <w:default w:val="0"/>
                  </w:checkBox>
                </w:ffData>
              </w:fldChar>
            </w:r>
            <w:bookmarkStart w:id="8" w:name="Check6"/>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bookmarkEnd w:id="8"/>
          </w:p>
        </w:tc>
        <w:tc>
          <w:tcPr>
            <w:tcW w:w="9723" w:type="dxa"/>
          </w:tcPr>
          <w:p w14:paraId="79CCA7E0" w14:textId="48737CA4" w:rsidR="00DE5E09" w:rsidRPr="00085775" w:rsidRDefault="00BC5B49" w:rsidP="00274CF1">
            <w:pPr>
              <w:spacing w:after="0" w:line="240" w:lineRule="auto"/>
              <w:rPr>
                <w:rFonts w:cstheme="minorHAnsi"/>
                <w:sz w:val="22"/>
                <w:szCs w:val="22"/>
              </w:rPr>
            </w:pPr>
            <w:hyperlink r:id="rId12" w:history="1">
              <w:r w:rsidR="00DE5E09" w:rsidRPr="00085775">
                <w:rPr>
                  <w:rStyle w:val="Hyperlink"/>
                  <w:rFonts w:cstheme="minorHAnsi"/>
                  <w:sz w:val="22"/>
                  <w:szCs w:val="22"/>
                </w:rPr>
                <w:t>HECT Accredited laboratory Certification form</w:t>
              </w:r>
            </w:hyperlink>
            <w:r w:rsidR="00DE5E09" w:rsidRPr="00085775">
              <w:rPr>
                <w:rFonts w:cstheme="minorHAnsi"/>
                <w:sz w:val="22"/>
                <w:szCs w:val="22"/>
              </w:rPr>
              <w:t xml:space="preserve"> for laboratory analyses of testing samples occurring after July 1, 2008</w:t>
            </w:r>
          </w:p>
        </w:tc>
      </w:tr>
    </w:tbl>
    <w:p w14:paraId="17046281" w14:textId="65793236" w:rsidR="00F036FA" w:rsidRPr="00274CF1" w:rsidRDefault="00F036FA" w:rsidP="00274CF1">
      <w:pPr>
        <w:tabs>
          <w:tab w:val="left" w:pos="547"/>
        </w:tabs>
        <w:spacing w:before="120" w:line="240" w:lineRule="auto"/>
        <w:ind w:left="547" w:hanging="547"/>
        <w:outlineLvl w:val="1"/>
        <w:rPr>
          <w:b/>
          <w:bCs/>
          <w:sz w:val="22"/>
          <w:szCs w:val="22"/>
        </w:rPr>
      </w:pPr>
      <w:r w:rsidRPr="00274CF1">
        <w:rPr>
          <w:sz w:val="22"/>
          <w:szCs w:val="22"/>
        </w:rPr>
        <w:fldChar w:fldCharType="begin">
          <w:ffData>
            <w:name w:val=""/>
            <w:enabled/>
            <w:calcOnExit w:val="0"/>
            <w:checkBox>
              <w:sizeAuto/>
              <w:default w:val="0"/>
            </w:checkBox>
          </w:ffData>
        </w:fldChar>
      </w:r>
      <w:r w:rsidRPr="00274CF1">
        <w:rPr>
          <w:sz w:val="22"/>
          <w:szCs w:val="22"/>
        </w:rPr>
        <w:instrText xml:space="preserve"> FORMCHECKBOX </w:instrText>
      </w:r>
      <w:r w:rsidR="00BC5B49">
        <w:rPr>
          <w:sz w:val="22"/>
          <w:szCs w:val="22"/>
        </w:rPr>
      </w:r>
      <w:r w:rsidR="00BC5B49">
        <w:rPr>
          <w:sz w:val="22"/>
          <w:szCs w:val="22"/>
        </w:rPr>
        <w:fldChar w:fldCharType="separate"/>
      </w:r>
      <w:r w:rsidRPr="00274CF1">
        <w:rPr>
          <w:sz w:val="22"/>
          <w:szCs w:val="22"/>
        </w:rPr>
        <w:fldChar w:fldCharType="end"/>
      </w:r>
      <w:r w:rsidR="00274CF1">
        <w:rPr>
          <w:b/>
          <w:bCs/>
          <w:sz w:val="22"/>
          <w:szCs w:val="22"/>
        </w:rPr>
        <w:tab/>
      </w:r>
      <w:r w:rsidRPr="00274CF1">
        <w:rPr>
          <w:b/>
          <w:bCs/>
          <w:sz w:val="22"/>
          <w:szCs w:val="22"/>
        </w:rPr>
        <w:t>§115.725(b)(1): Vent gas streams that are not controlled by a flare, other than PRVs, monitored with a</w:t>
      </w:r>
      <w:r w:rsidR="00551787" w:rsidRPr="00274CF1">
        <w:rPr>
          <w:b/>
          <w:bCs/>
          <w:sz w:val="22"/>
          <w:szCs w:val="22"/>
        </w:rPr>
        <w:t xml:space="preserve"> continuous emissions monitoring system</w:t>
      </w:r>
      <w:r w:rsidRPr="00274CF1">
        <w:rPr>
          <w:b/>
          <w:bCs/>
          <w:sz w:val="22"/>
          <w:szCs w:val="22"/>
        </w:rPr>
        <w:t xml:space="preserve"> </w:t>
      </w:r>
      <w:r w:rsidR="00551787" w:rsidRPr="00274CF1">
        <w:rPr>
          <w:b/>
          <w:bCs/>
          <w:sz w:val="22"/>
          <w:szCs w:val="22"/>
        </w:rPr>
        <w:t>(</w:t>
      </w:r>
      <w:r w:rsidRPr="00274CF1">
        <w:rPr>
          <w:b/>
          <w:bCs/>
          <w:sz w:val="22"/>
          <w:szCs w:val="22"/>
        </w:rPr>
        <w:t>CEMS</w:t>
      </w:r>
      <w:r w:rsidR="00551787" w:rsidRPr="00274CF1">
        <w:rPr>
          <w:b/>
          <w:bCs/>
          <w:sz w:val="22"/>
          <w:szCs w:val="22"/>
        </w:rPr>
        <w:t>)</w:t>
      </w:r>
      <w:r w:rsidRPr="00274CF1">
        <w:rPr>
          <w:b/>
          <w:bCs/>
          <w:sz w:val="22"/>
          <w:szCs w:val="22"/>
        </w:rPr>
        <w:t>:</w:t>
      </w:r>
    </w:p>
    <w:tbl>
      <w:tblPr>
        <w:tblStyle w:val="TableGrid10"/>
        <w:tblW w:w="10795" w:type="dxa"/>
        <w:tblBorders>
          <w:top w:val="double" w:sz="4" w:space="0" w:color="auto"/>
          <w:left w:val="double" w:sz="4" w:space="0" w:color="auto"/>
          <w:bottom w:val="double" w:sz="4" w:space="0" w:color="auto"/>
          <w:right w:val="double" w:sz="4" w:space="0" w:color="auto"/>
        </w:tblBorders>
        <w:tblLayout w:type="fixed"/>
        <w:tblCellMar>
          <w:top w:w="58" w:type="dxa"/>
          <w:left w:w="58" w:type="dxa"/>
          <w:bottom w:w="58" w:type="dxa"/>
          <w:right w:w="58" w:type="dxa"/>
        </w:tblCellMar>
        <w:tblLook w:val="04A0" w:firstRow="1" w:lastRow="0" w:firstColumn="1" w:lastColumn="0" w:noHBand="0" w:noVBand="1"/>
        <w:tblDescription w:val="EPN: §115.725(b)(1): Vent gas streams that are not controlled by a flare, other than PRVs, monitored with a continuous emissions monitoring system (CEMS):"/>
      </w:tblPr>
      <w:tblGrid>
        <w:gridCol w:w="1072"/>
        <w:gridCol w:w="9723"/>
      </w:tblGrid>
      <w:tr w:rsidR="00DE5E09" w:rsidRPr="00085775" w14:paraId="650D0BC1" w14:textId="77777777" w:rsidTr="00274CF1">
        <w:trPr>
          <w:cantSplit/>
          <w:tblHeader/>
        </w:trPr>
        <w:tc>
          <w:tcPr>
            <w:tcW w:w="1072" w:type="dxa"/>
            <w:shd w:val="clear" w:color="auto" w:fill="F2F2F2" w:themeFill="background1" w:themeFillShade="F2"/>
            <w:vAlign w:val="center"/>
          </w:tcPr>
          <w:p w14:paraId="1E43AAF6" w14:textId="75882232" w:rsidR="00DE5E09" w:rsidRPr="00085775" w:rsidRDefault="005B209C" w:rsidP="00274CF1">
            <w:pPr>
              <w:spacing w:after="0" w:line="240" w:lineRule="auto"/>
              <w:jc w:val="center"/>
              <w:rPr>
                <w:rFonts w:cstheme="minorHAnsi"/>
                <w:b/>
                <w:bCs/>
                <w:sz w:val="22"/>
                <w:szCs w:val="22"/>
              </w:rPr>
            </w:pPr>
            <w:r w:rsidRPr="00085775">
              <w:rPr>
                <w:rFonts w:cstheme="minorHAnsi"/>
                <w:b/>
                <w:bCs/>
                <w:sz w:val="22"/>
                <w:szCs w:val="22"/>
              </w:rPr>
              <w:t>EPNs</w:t>
            </w:r>
            <w:r w:rsidR="00DE5E09" w:rsidRPr="00085775">
              <w:rPr>
                <w:rFonts w:cstheme="minorHAnsi"/>
                <w:b/>
                <w:bCs/>
                <w:sz w:val="22"/>
                <w:szCs w:val="22"/>
              </w:rPr>
              <w:t>:</w:t>
            </w:r>
          </w:p>
        </w:tc>
        <w:tc>
          <w:tcPr>
            <w:tcW w:w="9723" w:type="dxa"/>
            <w:shd w:val="clear" w:color="auto" w:fill="F2F2F2" w:themeFill="background1" w:themeFillShade="F2"/>
          </w:tcPr>
          <w:p w14:paraId="250251E9" w14:textId="67064FDE" w:rsidR="00DE5E09" w:rsidRPr="00085775" w:rsidRDefault="00DE5E09" w:rsidP="00274CF1">
            <w:pPr>
              <w:spacing w:after="0" w:line="240" w:lineRule="auto"/>
              <w:rPr>
                <w:rFonts w:cstheme="minorHAnsi"/>
                <w:b/>
                <w:bCs/>
                <w:sz w:val="22"/>
                <w:szCs w:val="22"/>
              </w:rPr>
            </w:pPr>
          </w:p>
        </w:tc>
      </w:tr>
      <w:tr w:rsidR="00DE5E09" w:rsidRPr="00085775" w14:paraId="63302BD2" w14:textId="77777777" w:rsidTr="00274CF1">
        <w:trPr>
          <w:cantSplit/>
          <w:tblHeader/>
        </w:trPr>
        <w:tc>
          <w:tcPr>
            <w:tcW w:w="1072" w:type="dxa"/>
            <w:shd w:val="clear" w:color="auto" w:fill="BFBFBF" w:themeFill="background1" w:themeFillShade="BF"/>
            <w:vAlign w:val="center"/>
          </w:tcPr>
          <w:p w14:paraId="6FCC34D1" w14:textId="7832F380" w:rsidR="00DE5E09" w:rsidRPr="00085775" w:rsidRDefault="00DE5E09" w:rsidP="00274CF1">
            <w:pPr>
              <w:spacing w:after="0" w:line="240" w:lineRule="auto"/>
              <w:jc w:val="center"/>
              <w:rPr>
                <w:rFonts w:eastAsia="MS Gothic" w:cstheme="minorHAnsi"/>
                <w:b/>
                <w:bCs/>
                <w:sz w:val="22"/>
                <w:szCs w:val="22"/>
              </w:rPr>
            </w:pPr>
            <w:r w:rsidRPr="00085775">
              <w:rPr>
                <w:rFonts w:eastAsia="MS Gothic" w:cstheme="minorHAnsi"/>
                <w:b/>
                <w:bCs/>
                <w:sz w:val="22"/>
                <w:szCs w:val="22"/>
              </w:rPr>
              <w:t>Attached</w:t>
            </w:r>
          </w:p>
        </w:tc>
        <w:tc>
          <w:tcPr>
            <w:tcW w:w="9723" w:type="dxa"/>
            <w:shd w:val="clear" w:color="auto" w:fill="BFBFBF" w:themeFill="background1" w:themeFillShade="BF"/>
          </w:tcPr>
          <w:p w14:paraId="0813304A" w14:textId="55B47F5E" w:rsidR="00DE5E09" w:rsidRPr="00085775" w:rsidRDefault="00DE5E09" w:rsidP="00274CF1">
            <w:pPr>
              <w:spacing w:after="0" w:line="240" w:lineRule="auto"/>
              <w:rPr>
                <w:rFonts w:cstheme="minorHAnsi"/>
                <w:b/>
                <w:bCs/>
                <w:sz w:val="22"/>
                <w:szCs w:val="22"/>
              </w:rPr>
            </w:pPr>
            <w:r w:rsidRPr="00085775">
              <w:rPr>
                <w:rFonts w:cstheme="minorHAnsi"/>
                <w:b/>
                <w:bCs/>
                <w:sz w:val="22"/>
                <w:szCs w:val="22"/>
              </w:rPr>
              <w:t>Documentation Required</w:t>
            </w:r>
          </w:p>
        </w:tc>
      </w:tr>
      <w:tr w:rsidR="00DE5E09" w:rsidRPr="00085775" w14:paraId="7AB5C4DC" w14:textId="77777777" w:rsidTr="00274CF1">
        <w:trPr>
          <w:cantSplit/>
          <w:tblHeader/>
        </w:trPr>
        <w:tc>
          <w:tcPr>
            <w:tcW w:w="1072" w:type="dxa"/>
            <w:vAlign w:val="center"/>
          </w:tcPr>
          <w:p w14:paraId="4088E4D6"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723" w:type="dxa"/>
          </w:tcPr>
          <w:p w14:paraId="5EBFAF52" w14:textId="77777777" w:rsidR="00DE5E09" w:rsidRPr="00085775" w:rsidRDefault="00DE5E09" w:rsidP="00274CF1">
            <w:pPr>
              <w:spacing w:after="0" w:line="240" w:lineRule="auto"/>
              <w:rPr>
                <w:rFonts w:cstheme="minorHAnsi"/>
                <w:sz w:val="22"/>
                <w:szCs w:val="22"/>
              </w:rPr>
            </w:pPr>
            <w:r w:rsidRPr="00085775">
              <w:rPr>
                <w:rFonts w:cstheme="minorHAnsi"/>
                <w:sz w:val="22"/>
                <w:szCs w:val="22"/>
              </w:rPr>
              <w:t>Speciated HRVOC emissions (</w:t>
            </w:r>
            <w:proofErr w:type="spellStart"/>
            <w:r w:rsidRPr="00085775">
              <w:rPr>
                <w:rFonts w:cstheme="minorHAnsi"/>
                <w:sz w:val="22"/>
                <w:szCs w:val="22"/>
              </w:rPr>
              <w:t>tpy</w:t>
            </w:r>
            <w:proofErr w:type="spellEnd"/>
            <w:r w:rsidRPr="00085775">
              <w:rPr>
                <w:rFonts w:cstheme="minorHAnsi"/>
                <w:sz w:val="22"/>
                <w:szCs w:val="22"/>
              </w:rPr>
              <w:t>) for each vent (isomers of butene may be reported collectively)</w:t>
            </w:r>
          </w:p>
        </w:tc>
      </w:tr>
      <w:tr w:rsidR="00DE5E09" w:rsidRPr="00085775" w14:paraId="37BE1B45" w14:textId="77777777" w:rsidTr="00274CF1">
        <w:trPr>
          <w:cantSplit/>
          <w:tblHeader/>
        </w:trPr>
        <w:tc>
          <w:tcPr>
            <w:tcW w:w="1072" w:type="dxa"/>
            <w:vAlign w:val="center"/>
          </w:tcPr>
          <w:p w14:paraId="2A4E3797"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723" w:type="dxa"/>
          </w:tcPr>
          <w:p w14:paraId="15B76583" w14:textId="77777777" w:rsidR="00DE5E09" w:rsidRPr="00085775" w:rsidRDefault="00DE5E09" w:rsidP="00274CF1">
            <w:pPr>
              <w:spacing w:after="0" w:line="240" w:lineRule="auto"/>
              <w:rPr>
                <w:rFonts w:cstheme="minorHAnsi"/>
                <w:sz w:val="22"/>
                <w:szCs w:val="22"/>
              </w:rPr>
            </w:pPr>
            <w:r w:rsidRPr="00085775">
              <w:rPr>
                <w:rFonts w:cstheme="minorHAnsi"/>
                <w:sz w:val="22"/>
                <w:szCs w:val="22"/>
              </w:rPr>
              <w:t xml:space="preserve">Brief written description of the methodology used to determine the reported HRVOC emissions for each EPN </w:t>
            </w:r>
          </w:p>
        </w:tc>
      </w:tr>
      <w:tr w:rsidR="00DE5E09" w:rsidRPr="00085775" w14:paraId="4514DB9E" w14:textId="77777777" w:rsidTr="00274CF1">
        <w:trPr>
          <w:cantSplit/>
          <w:tblHeader/>
        </w:trPr>
        <w:tc>
          <w:tcPr>
            <w:tcW w:w="1072" w:type="dxa"/>
            <w:vAlign w:val="center"/>
          </w:tcPr>
          <w:p w14:paraId="13290740"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723" w:type="dxa"/>
          </w:tcPr>
          <w:p w14:paraId="2807EC48" w14:textId="1D42EC23" w:rsidR="00DE5E09" w:rsidRPr="00085775" w:rsidRDefault="00DE5E09" w:rsidP="00274CF1">
            <w:pPr>
              <w:spacing w:after="0" w:line="240" w:lineRule="auto"/>
              <w:rPr>
                <w:rFonts w:cstheme="minorHAnsi"/>
                <w:sz w:val="22"/>
                <w:szCs w:val="22"/>
              </w:rPr>
            </w:pPr>
            <w:r w:rsidRPr="00085775">
              <w:rPr>
                <w:rFonts w:cstheme="minorHAnsi"/>
                <w:sz w:val="22"/>
                <w:szCs w:val="22"/>
              </w:rPr>
              <w:t>Brief written description of the calculation methodology should include a statement of which method was used to determine flow ra</w:t>
            </w:r>
            <w:r w:rsidR="00EC4A25" w:rsidRPr="00085775">
              <w:rPr>
                <w:rFonts w:cstheme="minorHAnsi"/>
                <w:sz w:val="22"/>
                <w:szCs w:val="22"/>
              </w:rPr>
              <w:t>t</w:t>
            </w:r>
            <w:r w:rsidRPr="00085775">
              <w:rPr>
                <w:rFonts w:cstheme="minorHAnsi"/>
                <w:sz w:val="22"/>
                <w:szCs w:val="22"/>
              </w:rPr>
              <w:t>e:</w:t>
            </w:r>
          </w:p>
          <w:p w14:paraId="53004B50" w14:textId="77777777" w:rsidR="00DE5E09" w:rsidRPr="00085775" w:rsidRDefault="00DE5E09" w:rsidP="00274CF1">
            <w:pPr>
              <w:numPr>
                <w:ilvl w:val="0"/>
                <w:numId w:val="17"/>
              </w:numPr>
              <w:spacing w:after="0" w:line="240" w:lineRule="auto"/>
              <w:rPr>
                <w:rFonts w:cstheme="minorHAnsi"/>
                <w:sz w:val="22"/>
                <w:szCs w:val="22"/>
              </w:rPr>
            </w:pPr>
            <w:r w:rsidRPr="00085775">
              <w:rPr>
                <w:rFonts w:cstheme="minorHAnsi"/>
                <w:sz w:val="22"/>
                <w:szCs w:val="22"/>
              </w:rPr>
              <w:t>Continuous monitoring of volumetric flow rate, or</w:t>
            </w:r>
          </w:p>
          <w:p w14:paraId="7E560543" w14:textId="5FF531DF" w:rsidR="00DE5E09" w:rsidRPr="00085775" w:rsidRDefault="00DE5E09" w:rsidP="00274CF1">
            <w:pPr>
              <w:numPr>
                <w:ilvl w:val="0"/>
                <w:numId w:val="17"/>
              </w:numPr>
              <w:spacing w:after="0" w:line="240" w:lineRule="auto"/>
              <w:rPr>
                <w:rFonts w:cstheme="minorHAnsi"/>
                <w:sz w:val="22"/>
                <w:szCs w:val="22"/>
              </w:rPr>
            </w:pPr>
            <w:r w:rsidRPr="00085775">
              <w:rPr>
                <w:rFonts w:cstheme="minorHAnsi"/>
                <w:sz w:val="22"/>
                <w:szCs w:val="22"/>
              </w:rPr>
              <w:t>Continuous parameter monitoring and the use of engineering calculations, manufacturer’s data, or testing to correlate the monitored parameter and the volumetric flow rate</w:t>
            </w:r>
          </w:p>
        </w:tc>
      </w:tr>
      <w:tr w:rsidR="00EC4A25" w:rsidRPr="00085775" w14:paraId="709BDF03" w14:textId="77777777" w:rsidTr="00274CF1">
        <w:trPr>
          <w:cantSplit/>
          <w:tblHeader/>
        </w:trPr>
        <w:tc>
          <w:tcPr>
            <w:tcW w:w="1072" w:type="dxa"/>
            <w:vAlign w:val="center"/>
          </w:tcPr>
          <w:p w14:paraId="35DDFBB9" w14:textId="25C97706" w:rsidR="00EC4A25" w:rsidRPr="00085775" w:rsidRDefault="00EC4A25" w:rsidP="00274CF1">
            <w:pPr>
              <w:spacing w:after="0" w:line="240" w:lineRule="auto"/>
              <w:jc w:val="center"/>
              <w:rPr>
                <w:rFonts w:cstheme="minorHAnsi"/>
                <w:sz w:val="22"/>
                <w:szCs w:val="22"/>
              </w:rPr>
            </w:pPr>
            <w:r w:rsidRPr="00085775">
              <w:rPr>
                <w:rFonts w:cstheme="minorHAnsi"/>
                <w:sz w:val="22"/>
                <w:szCs w:val="22"/>
              </w:rPr>
              <w:fldChar w:fldCharType="begin">
                <w:ffData>
                  <w:name w:val="Check55"/>
                  <w:enabled/>
                  <w:calcOnExit w:val="0"/>
                  <w:checkBox>
                    <w:sizeAuto/>
                    <w:default w:val="0"/>
                  </w:checkBox>
                </w:ffData>
              </w:fldChar>
            </w:r>
            <w:bookmarkStart w:id="9" w:name="Check55"/>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bookmarkEnd w:id="9"/>
          </w:p>
        </w:tc>
        <w:tc>
          <w:tcPr>
            <w:tcW w:w="9723" w:type="dxa"/>
          </w:tcPr>
          <w:p w14:paraId="200EBE01" w14:textId="3E81AFA9" w:rsidR="00EC4A25" w:rsidRPr="00085775" w:rsidRDefault="00BC5B49" w:rsidP="00274CF1">
            <w:pPr>
              <w:spacing w:after="0" w:line="240" w:lineRule="auto"/>
              <w:rPr>
                <w:rFonts w:cstheme="minorHAnsi"/>
                <w:sz w:val="22"/>
                <w:szCs w:val="22"/>
              </w:rPr>
            </w:pPr>
            <w:hyperlink r:id="rId13" w:history="1">
              <w:r w:rsidR="00EC4A25" w:rsidRPr="00085775">
                <w:rPr>
                  <w:rStyle w:val="Hyperlink"/>
                  <w:rFonts w:cstheme="minorHAnsi"/>
                  <w:sz w:val="22"/>
                  <w:szCs w:val="22"/>
                </w:rPr>
                <w:t>HECT CMS Certification form</w:t>
              </w:r>
            </w:hyperlink>
            <w:r w:rsidR="00EC4A25" w:rsidRPr="00085775">
              <w:rPr>
                <w:rFonts w:cstheme="minorHAnsi"/>
                <w:sz w:val="22"/>
                <w:szCs w:val="22"/>
              </w:rPr>
              <w:t xml:space="preserve"> for HRVOC concentration </w:t>
            </w:r>
          </w:p>
        </w:tc>
      </w:tr>
    </w:tbl>
    <w:p w14:paraId="641298C2" w14:textId="77777777" w:rsidR="00D75CF2" w:rsidRPr="00146941" w:rsidRDefault="00D75CF2" w:rsidP="00146941"/>
    <w:p w14:paraId="6724697C" w14:textId="77777777" w:rsidR="00D75CF2" w:rsidRDefault="00D75CF2">
      <w:pPr>
        <w:rPr>
          <w:rFonts w:eastAsiaTheme="majorEastAsia" w:cstheme="minorHAnsi"/>
          <w:sz w:val="22"/>
          <w:szCs w:val="22"/>
        </w:rPr>
      </w:pPr>
      <w:r>
        <w:rPr>
          <w:rFonts w:cstheme="minorHAnsi"/>
          <w:sz w:val="22"/>
          <w:szCs w:val="22"/>
        </w:rPr>
        <w:br w:type="page"/>
      </w:r>
    </w:p>
    <w:p w14:paraId="264E5B28" w14:textId="77777777" w:rsidR="00274CF1" w:rsidRPr="00FB441C" w:rsidRDefault="00274CF1" w:rsidP="00274CF1">
      <w:pPr>
        <w:pStyle w:val="Heading1"/>
      </w:pPr>
      <w:r w:rsidRPr="00FB441C">
        <w:lastRenderedPageBreak/>
        <w:t>HECT Supporting Documentation Checklist for Vents</w:t>
      </w:r>
    </w:p>
    <w:p w14:paraId="75F76D84" w14:textId="77E3C5F8" w:rsidR="00F036FA" w:rsidRPr="00274CF1" w:rsidRDefault="00F036FA" w:rsidP="00274CF1">
      <w:pPr>
        <w:spacing w:before="600" w:line="240" w:lineRule="auto"/>
        <w:ind w:left="547" w:hanging="547"/>
        <w:outlineLvl w:val="1"/>
        <w:rPr>
          <w:sz w:val="22"/>
          <w:szCs w:val="22"/>
        </w:rPr>
      </w:pPr>
      <w:r w:rsidRPr="00274CF1">
        <w:rPr>
          <w:sz w:val="22"/>
          <w:szCs w:val="22"/>
        </w:rPr>
        <w:fldChar w:fldCharType="begin">
          <w:ffData>
            <w:name w:val=""/>
            <w:enabled/>
            <w:calcOnExit w:val="0"/>
            <w:checkBox>
              <w:sizeAuto/>
              <w:default w:val="0"/>
            </w:checkBox>
          </w:ffData>
        </w:fldChar>
      </w:r>
      <w:r w:rsidRPr="00274CF1">
        <w:rPr>
          <w:sz w:val="22"/>
          <w:szCs w:val="22"/>
        </w:rPr>
        <w:instrText xml:space="preserve"> FORMCHECKBOX </w:instrText>
      </w:r>
      <w:r w:rsidR="00BC5B49">
        <w:rPr>
          <w:sz w:val="22"/>
          <w:szCs w:val="22"/>
        </w:rPr>
      </w:r>
      <w:r w:rsidR="00BC5B49">
        <w:rPr>
          <w:sz w:val="22"/>
          <w:szCs w:val="22"/>
        </w:rPr>
        <w:fldChar w:fldCharType="separate"/>
      </w:r>
      <w:r w:rsidRPr="00274CF1">
        <w:rPr>
          <w:sz w:val="22"/>
          <w:szCs w:val="22"/>
        </w:rPr>
        <w:fldChar w:fldCharType="end"/>
      </w:r>
      <w:r w:rsidR="00274CF1">
        <w:rPr>
          <w:sz w:val="22"/>
          <w:szCs w:val="22"/>
        </w:rPr>
        <w:tab/>
      </w:r>
      <w:r w:rsidRPr="00274CF1">
        <w:rPr>
          <w:b/>
          <w:bCs/>
          <w:sz w:val="22"/>
          <w:szCs w:val="22"/>
        </w:rPr>
        <w:t>§115.725(b)(2): Analyzer vents, steam system vents, vent gas streams where there is no HRVOC present except during emissions events, or degassing safety devices:</w:t>
      </w:r>
    </w:p>
    <w:tbl>
      <w:tblPr>
        <w:tblStyle w:val="TableGrid10"/>
        <w:tblW w:w="10795" w:type="dxa"/>
        <w:tblBorders>
          <w:top w:val="double" w:sz="4" w:space="0" w:color="auto"/>
          <w:left w:val="double" w:sz="4" w:space="0" w:color="auto"/>
          <w:bottom w:val="double" w:sz="4" w:space="0" w:color="auto"/>
          <w:right w:val="double" w:sz="4" w:space="0" w:color="auto"/>
        </w:tblBorders>
        <w:tblLayout w:type="fixed"/>
        <w:tblCellMar>
          <w:top w:w="58" w:type="dxa"/>
          <w:left w:w="58" w:type="dxa"/>
          <w:bottom w:w="58" w:type="dxa"/>
          <w:right w:w="58" w:type="dxa"/>
        </w:tblCellMar>
        <w:tblLook w:val="04A0" w:firstRow="1" w:lastRow="0" w:firstColumn="1" w:lastColumn="0" w:noHBand="0" w:noVBand="1"/>
        <w:tblDescription w:val="EPN: §115.725(b)(2): Analyzer vents, steam system vents, vent gas streams where there is no HRVOC present except during emissions events, or degassing safety devices:"/>
      </w:tblPr>
      <w:tblGrid>
        <w:gridCol w:w="1072"/>
        <w:gridCol w:w="9723"/>
      </w:tblGrid>
      <w:tr w:rsidR="00DE5E09" w:rsidRPr="00085775" w14:paraId="19D272BD" w14:textId="77777777" w:rsidTr="00274CF1">
        <w:trPr>
          <w:cantSplit/>
          <w:tblHeader/>
        </w:trPr>
        <w:tc>
          <w:tcPr>
            <w:tcW w:w="1072" w:type="dxa"/>
            <w:shd w:val="clear" w:color="auto" w:fill="F2F2F2" w:themeFill="background1" w:themeFillShade="F2"/>
            <w:vAlign w:val="center"/>
          </w:tcPr>
          <w:p w14:paraId="30314FA0" w14:textId="782EA63D" w:rsidR="00DE5E09" w:rsidRPr="00085775" w:rsidRDefault="005B209C" w:rsidP="00274CF1">
            <w:pPr>
              <w:spacing w:after="0" w:line="240" w:lineRule="auto"/>
              <w:jc w:val="center"/>
              <w:rPr>
                <w:rFonts w:cstheme="minorHAnsi"/>
                <w:b/>
                <w:bCs/>
                <w:sz w:val="22"/>
                <w:szCs w:val="22"/>
              </w:rPr>
            </w:pPr>
            <w:r w:rsidRPr="00085775">
              <w:rPr>
                <w:rFonts w:cstheme="minorHAnsi"/>
                <w:b/>
                <w:bCs/>
                <w:sz w:val="22"/>
                <w:szCs w:val="22"/>
              </w:rPr>
              <w:t>EPNs</w:t>
            </w:r>
            <w:r w:rsidR="00DE5E09" w:rsidRPr="00085775">
              <w:rPr>
                <w:rFonts w:cstheme="minorHAnsi"/>
                <w:b/>
                <w:bCs/>
                <w:sz w:val="22"/>
                <w:szCs w:val="22"/>
              </w:rPr>
              <w:t>:</w:t>
            </w:r>
          </w:p>
        </w:tc>
        <w:tc>
          <w:tcPr>
            <w:tcW w:w="9723" w:type="dxa"/>
            <w:shd w:val="clear" w:color="auto" w:fill="F2F2F2" w:themeFill="background1" w:themeFillShade="F2"/>
          </w:tcPr>
          <w:p w14:paraId="6EC86B8A" w14:textId="368E1F83" w:rsidR="00DE5E09" w:rsidRPr="00085775" w:rsidRDefault="00DE5E09" w:rsidP="00274CF1">
            <w:pPr>
              <w:spacing w:after="0" w:line="240" w:lineRule="auto"/>
              <w:rPr>
                <w:rFonts w:cstheme="minorHAnsi"/>
                <w:b/>
                <w:bCs/>
                <w:sz w:val="22"/>
                <w:szCs w:val="22"/>
              </w:rPr>
            </w:pPr>
          </w:p>
        </w:tc>
      </w:tr>
      <w:tr w:rsidR="00DE5E09" w:rsidRPr="00085775" w14:paraId="6BBCD393" w14:textId="77777777" w:rsidTr="00274CF1">
        <w:trPr>
          <w:cantSplit/>
          <w:tblHeader/>
        </w:trPr>
        <w:tc>
          <w:tcPr>
            <w:tcW w:w="1072" w:type="dxa"/>
            <w:shd w:val="clear" w:color="auto" w:fill="BFBFBF" w:themeFill="background1" w:themeFillShade="BF"/>
            <w:vAlign w:val="center"/>
          </w:tcPr>
          <w:p w14:paraId="1B789246" w14:textId="055BC194" w:rsidR="00DE5E09" w:rsidRPr="00085775" w:rsidRDefault="00DE5E09" w:rsidP="00274CF1">
            <w:pPr>
              <w:spacing w:after="0" w:line="240" w:lineRule="auto"/>
              <w:jc w:val="center"/>
              <w:rPr>
                <w:rFonts w:eastAsia="MS Gothic" w:cstheme="minorHAnsi"/>
                <w:b/>
                <w:bCs/>
                <w:sz w:val="22"/>
                <w:szCs w:val="22"/>
              </w:rPr>
            </w:pPr>
            <w:r w:rsidRPr="00085775">
              <w:rPr>
                <w:rFonts w:eastAsia="MS Gothic" w:cstheme="minorHAnsi"/>
                <w:b/>
                <w:bCs/>
                <w:sz w:val="22"/>
                <w:szCs w:val="22"/>
              </w:rPr>
              <w:t>Attached</w:t>
            </w:r>
          </w:p>
        </w:tc>
        <w:tc>
          <w:tcPr>
            <w:tcW w:w="9723" w:type="dxa"/>
            <w:shd w:val="clear" w:color="auto" w:fill="BFBFBF" w:themeFill="background1" w:themeFillShade="BF"/>
          </w:tcPr>
          <w:p w14:paraId="7B905940" w14:textId="2C1E0E34" w:rsidR="00DE5E09" w:rsidRPr="00085775" w:rsidRDefault="00DE5E09" w:rsidP="00274CF1">
            <w:pPr>
              <w:spacing w:after="0" w:line="240" w:lineRule="auto"/>
              <w:rPr>
                <w:rFonts w:cstheme="minorHAnsi"/>
                <w:b/>
                <w:bCs/>
                <w:sz w:val="22"/>
                <w:szCs w:val="22"/>
              </w:rPr>
            </w:pPr>
            <w:r w:rsidRPr="00085775">
              <w:rPr>
                <w:rFonts w:cstheme="minorHAnsi"/>
                <w:b/>
                <w:bCs/>
                <w:sz w:val="22"/>
                <w:szCs w:val="22"/>
              </w:rPr>
              <w:t>Documentation Required</w:t>
            </w:r>
          </w:p>
        </w:tc>
      </w:tr>
      <w:tr w:rsidR="00DE5E09" w:rsidRPr="00085775" w14:paraId="48C3F64C" w14:textId="77777777" w:rsidTr="00274CF1">
        <w:trPr>
          <w:cantSplit/>
          <w:tblHeader/>
        </w:trPr>
        <w:tc>
          <w:tcPr>
            <w:tcW w:w="1072" w:type="dxa"/>
            <w:vAlign w:val="center"/>
          </w:tcPr>
          <w:p w14:paraId="39887BD3"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723" w:type="dxa"/>
          </w:tcPr>
          <w:p w14:paraId="44032C36" w14:textId="77777777" w:rsidR="00DE5E09" w:rsidRPr="00085775" w:rsidRDefault="00DE5E09" w:rsidP="00274CF1">
            <w:pPr>
              <w:spacing w:after="0" w:line="240" w:lineRule="auto"/>
              <w:rPr>
                <w:rFonts w:cstheme="minorHAnsi"/>
                <w:sz w:val="22"/>
                <w:szCs w:val="22"/>
              </w:rPr>
            </w:pPr>
            <w:r w:rsidRPr="00085775">
              <w:rPr>
                <w:rFonts w:cstheme="minorHAnsi"/>
                <w:sz w:val="22"/>
                <w:szCs w:val="22"/>
              </w:rPr>
              <w:t>Speciated HRVOC emissions (</w:t>
            </w:r>
            <w:proofErr w:type="spellStart"/>
            <w:r w:rsidRPr="00085775">
              <w:rPr>
                <w:rFonts w:cstheme="minorHAnsi"/>
                <w:sz w:val="22"/>
                <w:szCs w:val="22"/>
              </w:rPr>
              <w:t>tpy</w:t>
            </w:r>
            <w:proofErr w:type="spellEnd"/>
            <w:r w:rsidRPr="00085775">
              <w:rPr>
                <w:rFonts w:cstheme="minorHAnsi"/>
                <w:sz w:val="22"/>
                <w:szCs w:val="22"/>
              </w:rPr>
              <w:t>) for each vent (isomers of butene may be reported collectively)</w:t>
            </w:r>
          </w:p>
        </w:tc>
      </w:tr>
      <w:tr w:rsidR="00DE5E09" w:rsidRPr="00085775" w14:paraId="0C203ED1" w14:textId="77777777" w:rsidTr="00274CF1">
        <w:trPr>
          <w:cantSplit/>
          <w:tblHeader/>
        </w:trPr>
        <w:tc>
          <w:tcPr>
            <w:tcW w:w="1072" w:type="dxa"/>
            <w:vAlign w:val="center"/>
          </w:tcPr>
          <w:p w14:paraId="20CCA3EB"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723" w:type="dxa"/>
          </w:tcPr>
          <w:p w14:paraId="65B92DD5" w14:textId="77777777" w:rsidR="00DE5E09" w:rsidRPr="00085775" w:rsidRDefault="00DE5E09" w:rsidP="00274CF1">
            <w:pPr>
              <w:spacing w:after="0" w:line="240" w:lineRule="auto"/>
              <w:rPr>
                <w:rFonts w:cstheme="minorHAnsi"/>
                <w:sz w:val="22"/>
                <w:szCs w:val="22"/>
              </w:rPr>
            </w:pPr>
            <w:r w:rsidRPr="00085775">
              <w:rPr>
                <w:rFonts w:cstheme="minorHAnsi"/>
                <w:sz w:val="22"/>
                <w:szCs w:val="22"/>
              </w:rPr>
              <w:t xml:space="preserve">Brief written description of the methodology used to determine the reported HRVOC emissions for each EPN </w:t>
            </w:r>
          </w:p>
        </w:tc>
      </w:tr>
    </w:tbl>
    <w:p w14:paraId="590377EE" w14:textId="1F23D2AD" w:rsidR="00F036FA" w:rsidRPr="00274CF1" w:rsidRDefault="00F036FA" w:rsidP="00274CF1">
      <w:pPr>
        <w:tabs>
          <w:tab w:val="left" w:pos="547"/>
        </w:tabs>
        <w:spacing w:before="120" w:line="240" w:lineRule="auto"/>
        <w:ind w:left="547" w:hanging="547"/>
        <w:outlineLvl w:val="1"/>
        <w:rPr>
          <w:b/>
          <w:bCs/>
          <w:sz w:val="22"/>
          <w:szCs w:val="22"/>
        </w:rPr>
      </w:pPr>
      <w:r w:rsidRPr="00274CF1">
        <w:rPr>
          <w:sz w:val="22"/>
          <w:szCs w:val="22"/>
        </w:rPr>
        <w:fldChar w:fldCharType="begin">
          <w:ffData>
            <w:name w:val=""/>
            <w:enabled/>
            <w:calcOnExit w:val="0"/>
            <w:checkBox>
              <w:sizeAuto/>
              <w:default w:val="0"/>
            </w:checkBox>
          </w:ffData>
        </w:fldChar>
      </w:r>
      <w:r w:rsidRPr="00274CF1">
        <w:rPr>
          <w:sz w:val="22"/>
          <w:szCs w:val="22"/>
        </w:rPr>
        <w:instrText xml:space="preserve"> FORMCHECKBOX </w:instrText>
      </w:r>
      <w:r w:rsidR="00BC5B49">
        <w:rPr>
          <w:sz w:val="22"/>
          <w:szCs w:val="22"/>
        </w:rPr>
      </w:r>
      <w:r w:rsidR="00BC5B49">
        <w:rPr>
          <w:sz w:val="22"/>
          <w:szCs w:val="22"/>
        </w:rPr>
        <w:fldChar w:fldCharType="separate"/>
      </w:r>
      <w:r w:rsidRPr="00274CF1">
        <w:rPr>
          <w:sz w:val="22"/>
          <w:szCs w:val="22"/>
        </w:rPr>
        <w:fldChar w:fldCharType="end"/>
      </w:r>
      <w:r w:rsidR="00274CF1">
        <w:rPr>
          <w:b/>
          <w:bCs/>
          <w:sz w:val="22"/>
          <w:szCs w:val="22"/>
        </w:rPr>
        <w:tab/>
      </w:r>
      <w:r w:rsidRPr="00274CF1">
        <w:rPr>
          <w:b/>
          <w:bCs/>
          <w:sz w:val="22"/>
          <w:szCs w:val="22"/>
        </w:rPr>
        <w:t>§115.725(c): PRVs not controlled by a flare:</w:t>
      </w:r>
    </w:p>
    <w:tbl>
      <w:tblPr>
        <w:tblStyle w:val="TableGrid10"/>
        <w:tblW w:w="10795" w:type="dxa"/>
        <w:tblBorders>
          <w:top w:val="double" w:sz="4" w:space="0" w:color="auto"/>
          <w:left w:val="double" w:sz="4" w:space="0" w:color="auto"/>
          <w:bottom w:val="double" w:sz="4" w:space="0" w:color="auto"/>
          <w:right w:val="double" w:sz="4" w:space="0" w:color="auto"/>
        </w:tblBorders>
        <w:tblLayout w:type="fixed"/>
        <w:tblCellMar>
          <w:top w:w="58" w:type="dxa"/>
          <w:left w:w="58" w:type="dxa"/>
          <w:bottom w:w="58" w:type="dxa"/>
          <w:right w:w="58" w:type="dxa"/>
        </w:tblCellMar>
        <w:tblLook w:val="04A0" w:firstRow="1" w:lastRow="0" w:firstColumn="1" w:lastColumn="0" w:noHBand="0" w:noVBand="1"/>
        <w:tblDescription w:val="EPN: §115.725(c): PRVs not controlled by a flare: "/>
      </w:tblPr>
      <w:tblGrid>
        <w:gridCol w:w="1072"/>
        <w:gridCol w:w="9723"/>
      </w:tblGrid>
      <w:tr w:rsidR="00DE5E09" w:rsidRPr="00085775" w14:paraId="6188C58C" w14:textId="77777777" w:rsidTr="00274CF1">
        <w:trPr>
          <w:cantSplit/>
          <w:tblHeader/>
        </w:trPr>
        <w:tc>
          <w:tcPr>
            <w:tcW w:w="1072" w:type="dxa"/>
            <w:shd w:val="clear" w:color="auto" w:fill="F2F2F2" w:themeFill="background1" w:themeFillShade="F2"/>
            <w:vAlign w:val="center"/>
          </w:tcPr>
          <w:p w14:paraId="751CBF26" w14:textId="3C560A51" w:rsidR="00DE5E09" w:rsidRPr="00085775" w:rsidRDefault="005B209C" w:rsidP="00274CF1">
            <w:pPr>
              <w:spacing w:after="0" w:line="240" w:lineRule="auto"/>
              <w:jc w:val="center"/>
              <w:rPr>
                <w:rFonts w:cstheme="minorHAnsi"/>
                <w:b/>
                <w:bCs/>
                <w:sz w:val="22"/>
                <w:szCs w:val="22"/>
              </w:rPr>
            </w:pPr>
            <w:r w:rsidRPr="00085775">
              <w:rPr>
                <w:rFonts w:cstheme="minorHAnsi"/>
                <w:b/>
                <w:bCs/>
                <w:sz w:val="22"/>
                <w:szCs w:val="22"/>
              </w:rPr>
              <w:t>EPNs</w:t>
            </w:r>
            <w:r w:rsidR="00DE5E09" w:rsidRPr="00085775">
              <w:rPr>
                <w:rFonts w:cstheme="minorHAnsi"/>
                <w:b/>
                <w:bCs/>
                <w:sz w:val="22"/>
                <w:szCs w:val="22"/>
              </w:rPr>
              <w:t>:</w:t>
            </w:r>
          </w:p>
        </w:tc>
        <w:tc>
          <w:tcPr>
            <w:tcW w:w="9723" w:type="dxa"/>
            <w:shd w:val="clear" w:color="auto" w:fill="F2F2F2" w:themeFill="background1" w:themeFillShade="F2"/>
          </w:tcPr>
          <w:p w14:paraId="6ADDFEE7" w14:textId="50ABA081" w:rsidR="00DE5E09" w:rsidRPr="00085775" w:rsidRDefault="00DE5E09" w:rsidP="00274CF1">
            <w:pPr>
              <w:spacing w:after="0" w:line="240" w:lineRule="auto"/>
              <w:rPr>
                <w:rFonts w:cstheme="minorHAnsi"/>
                <w:b/>
                <w:bCs/>
                <w:sz w:val="22"/>
                <w:szCs w:val="22"/>
              </w:rPr>
            </w:pPr>
          </w:p>
        </w:tc>
      </w:tr>
      <w:tr w:rsidR="00DE5E09" w:rsidRPr="00085775" w14:paraId="050F877B" w14:textId="77777777" w:rsidTr="00274CF1">
        <w:trPr>
          <w:cantSplit/>
          <w:tblHeader/>
        </w:trPr>
        <w:tc>
          <w:tcPr>
            <w:tcW w:w="1072" w:type="dxa"/>
            <w:shd w:val="clear" w:color="auto" w:fill="BFBFBF" w:themeFill="background1" w:themeFillShade="BF"/>
            <w:vAlign w:val="center"/>
          </w:tcPr>
          <w:p w14:paraId="54FC5E00" w14:textId="63395512" w:rsidR="00DE5E09" w:rsidRPr="00085775" w:rsidRDefault="00DE5E09" w:rsidP="00274CF1">
            <w:pPr>
              <w:spacing w:after="0" w:line="240" w:lineRule="auto"/>
              <w:jc w:val="center"/>
              <w:rPr>
                <w:rFonts w:eastAsia="MS Gothic" w:cstheme="minorHAnsi"/>
                <w:b/>
                <w:bCs/>
                <w:sz w:val="22"/>
                <w:szCs w:val="22"/>
              </w:rPr>
            </w:pPr>
            <w:r w:rsidRPr="00085775">
              <w:rPr>
                <w:rFonts w:eastAsia="MS Gothic" w:cstheme="minorHAnsi"/>
                <w:b/>
                <w:bCs/>
                <w:sz w:val="22"/>
                <w:szCs w:val="22"/>
              </w:rPr>
              <w:t>Attached</w:t>
            </w:r>
          </w:p>
        </w:tc>
        <w:tc>
          <w:tcPr>
            <w:tcW w:w="9723" w:type="dxa"/>
            <w:shd w:val="clear" w:color="auto" w:fill="BFBFBF" w:themeFill="background1" w:themeFillShade="BF"/>
          </w:tcPr>
          <w:p w14:paraId="70AF02E9" w14:textId="29817612" w:rsidR="00DE5E09" w:rsidRPr="00085775" w:rsidRDefault="00DE5E09" w:rsidP="00274CF1">
            <w:pPr>
              <w:spacing w:after="0" w:line="240" w:lineRule="auto"/>
              <w:rPr>
                <w:rFonts w:cstheme="minorHAnsi"/>
                <w:b/>
                <w:bCs/>
                <w:sz w:val="22"/>
                <w:szCs w:val="22"/>
              </w:rPr>
            </w:pPr>
            <w:r w:rsidRPr="00085775">
              <w:rPr>
                <w:rFonts w:cstheme="minorHAnsi"/>
                <w:b/>
                <w:bCs/>
                <w:sz w:val="22"/>
                <w:szCs w:val="22"/>
              </w:rPr>
              <w:t>Documentation Required</w:t>
            </w:r>
          </w:p>
        </w:tc>
      </w:tr>
      <w:tr w:rsidR="00DE5E09" w:rsidRPr="00085775" w14:paraId="56457F5E" w14:textId="77777777" w:rsidTr="00274CF1">
        <w:trPr>
          <w:cantSplit/>
          <w:tblHeader/>
        </w:trPr>
        <w:tc>
          <w:tcPr>
            <w:tcW w:w="1072" w:type="dxa"/>
            <w:vAlign w:val="center"/>
          </w:tcPr>
          <w:p w14:paraId="570F7FC6"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723" w:type="dxa"/>
          </w:tcPr>
          <w:p w14:paraId="08A5A8B3" w14:textId="77777777" w:rsidR="00DE5E09" w:rsidRPr="00085775" w:rsidRDefault="00DE5E09" w:rsidP="00274CF1">
            <w:pPr>
              <w:spacing w:after="0" w:line="240" w:lineRule="auto"/>
              <w:rPr>
                <w:rFonts w:cstheme="minorHAnsi"/>
                <w:sz w:val="22"/>
                <w:szCs w:val="22"/>
              </w:rPr>
            </w:pPr>
            <w:r w:rsidRPr="00085775">
              <w:rPr>
                <w:rFonts w:cstheme="minorHAnsi"/>
                <w:sz w:val="22"/>
                <w:szCs w:val="22"/>
              </w:rPr>
              <w:t>Speciated HRVOC emissions (</w:t>
            </w:r>
            <w:proofErr w:type="spellStart"/>
            <w:r w:rsidRPr="00085775">
              <w:rPr>
                <w:rFonts w:cstheme="minorHAnsi"/>
                <w:sz w:val="22"/>
                <w:szCs w:val="22"/>
              </w:rPr>
              <w:t>tpy</w:t>
            </w:r>
            <w:proofErr w:type="spellEnd"/>
            <w:r w:rsidRPr="00085775">
              <w:rPr>
                <w:rFonts w:cstheme="minorHAnsi"/>
                <w:sz w:val="22"/>
                <w:szCs w:val="22"/>
              </w:rPr>
              <w:t>) for each vent (isomers of butene may be reported collectively)</w:t>
            </w:r>
          </w:p>
        </w:tc>
      </w:tr>
      <w:tr w:rsidR="00DE5E09" w:rsidRPr="00085775" w14:paraId="42F98329" w14:textId="77777777" w:rsidTr="00274CF1">
        <w:trPr>
          <w:cantSplit/>
          <w:tblHeader/>
        </w:trPr>
        <w:tc>
          <w:tcPr>
            <w:tcW w:w="1072" w:type="dxa"/>
            <w:vAlign w:val="center"/>
          </w:tcPr>
          <w:p w14:paraId="433416A9"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723" w:type="dxa"/>
          </w:tcPr>
          <w:p w14:paraId="40561F3F" w14:textId="77777777" w:rsidR="00DE5E09" w:rsidRPr="00085775" w:rsidRDefault="00DE5E09" w:rsidP="00274CF1">
            <w:pPr>
              <w:spacing w:after="0" w:line="240" w:lineRule="auto"/>
              <w:rPr>
                <w:rFonts w:cstheme="minorHAnsi"/>
                <w:sz w:val="22"/>
                <w:szCs w:val="22"/>
              </w:rPr>
            </w:pPr>
            <w:r w:rsidRPr="00085775">
              <w:rPr>
                <w:rFonts w:cstheme="minorHAnsi"/>
                <w:sz w:val="22"/>
                <w:szCs w:val="22"/>
              </w:rPr>
              <w:t xml:space="preserve">Brief written description of the methodology used to determine the reported HRVOC emissions for each EPN </w:t>
            </w:r>
          </w:p>
        </w:tc>
      </w:tr>
      <w:tr w:rsidR="00DE5E09" w:rsidRPr="00085775" w14:paraId="088D29A3" w14:textId="77777777" w:rsidTr="00274CF1">
        <w:trPr>
          <w:cantSplit/>
          <w:tblHeader/>
        </w:trPr>
        <w:tc>
          <w:tcPr>
            <w:tcW w:w="1072" w:type="dxa"/>
            <w:vAlign w:val="center"/>
          </w:tcPr>
          <w:p w14:paraId="79299C79" w14:textId="77777777" w:rsidR="00DE5E09" w:rsidRPr="00085775" w:rsidRDefault="00DE5E09" w:rsidP="00274CF1">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723" w:type="dxa"/>
          </w:tcPr>
          <w:p w14:paraId="4C64D354" w14:textId="77777777" w:rsidR="00DE5E09" w:rsidRPr="00085775" w:rsidRDefault="00DE5E09" w:rsidP="00274CF1">
            <w:pPr>
              <w:spacing w:after="0" w:line="240" w:lineRule="auto"/>
              <w:rPr>
                <w:rFonts w:cstheme="minorHAnsi"/>
                <w:sz w:val="22"/>
                <w:szCs w:val="22"/>
              </w:rPr>
            </w:pPr>
            <w:r w:rsidRPr="00085775">
              <w:rPr>
                <w:rFonts w:cstheme="minorHAnsi"/>
                <w:sz w:val="22"/>
                <w:szCs w:val="22"/>
              </w:rPr>
              <w:t>Brief written description of the calculation methodology should include a statement of which method was used to determine flow rage:</w:t>
            </w:r>
          </w:p>
          <w:p w14:paraId="530C23A4" w14:textId="77777777" w:rsidR="00DE5E09" w:rsidRPr="00085775" w:rsidRDefault="00DE5E09" w:rsidP="00274CF1">
            <w:pPr>
              <w:numPr>
                <w:ilvl w:val="0"/>
                <w:numId w:val="17"/>
              </w:numPr>
              <w:spacing w:after="0" w:line="240" w:lineRule="auto"/>
              <w:rPr>
                <w:rFonts w:cstheme="minorHAnsi"/>
                <w:sz w:val="22"/>
                <w:szCs w:val="22"/>
              </w:rPr>
            </w:pPr>
            <w:r w:rsidRPr="00085775">
              <w:rPr>
                <w:rFonts w:cstheme="minorHAnsi"/>
                <w:sz w:val="22"/>
                <w:szCs w:val="22"/>
              </w:rPr>
              <w:t>Continuous monitoring of volumetric flow rate, or</w:t>
            </w:r>
          </w:p>
          <w:p w14:paraId="5091E864" w14:textId="4F4C93CA" w:rsidR="00DE5E09" w:rsidRPr="00085775" w:rsidRDefault="00DE5E09" w:rsidP="00274CF1">
            <w:pPr>
              <w:numPr>
                <w:ilvl w:val="0"/>
                <w:numId w:val="17"/>
              </w:numPr>
              <w:spacing w:after="0" w:line="240" w:lineRule="auto"/>
              <w:rPr>
                <w:rFonts w:cstheme="minorHAnsi"/>
                <w:sz w:val="22"/>
                <w:szCs w:val="22"/>
              </w:rPr>
            </w:pPr>
            <w:r w:rsidRPr="00085775">
              <w:rPr>
                <w:rFonts w:cstheme="minorHAnsi"/>
                <w:sz w:val="22"/>
                <w:szCs w:val="22"/>
              </w:rPr>
              <w:t>Continuous parameter monitoring and the use of engineering calculations, manufacturer’s data, or testing to correlate the monitored parameter and the volumetric flow rate</w:t>
            </w:r>
          </w:p>
        </w:tc>
      </w:tr>
      <w:tr w:rsidR="00285425" w:rsidRPr="00085775" w14:paraId="596C8010" w14:textId="77777777" w:rsidTr="00274CF1">
        <w:trPr>
          <w:cantSplit/>
          <w:tblHeader/>
        </w:trPr>
        <w:tc>
          <w:tcPr>
            <w:tcW w:w="1072" w:type="dxa"/>
            <w:vAlign w:val="center"/>
          </w:tcPr>
          <w:p w14:paraId="7BFE2233" w14:textId="5DCC757F" w:rsidR="00285425" w:rsidRPr="00085775" w:rsidRDefault="00285425" w:rsidP="00274CF1">
            <w:pPr>
              <w:spacing w:after="0" w:line="240" w:lineRule="auto"/>
              <w:jc w:val="center"/>
              <w:rPr>
                <w:rFonts w:cstheme="minorHAnsi"/>
                <w:sz w:val="22"/>
                <w:szCs w:val="22"/>
              </w:rPr>
            </w:pPr>
            <w:r w:rsidRPr="00085775">
              <w:rPr>
                <w:rFonts w:cstheme="minorHAnsi"/>
                <w:sz w:val="22"/>
                <w:szCs w:val="22"/>
              </w:rPr>
              <w:fldChar w:fldCharType="begin">
                <w:ffData>
                  <w:name w:val="Check56"/>
                  <w:enabled/>
                  <w:calcOnExit w:val="0"/>
                  <w:checkBox>
                    <w:sizeAuto/>
                    <w:default w:val="0"/>
                  </w:checkBox>
                </w:ffData>
              </w:fldChar>
            </w:r>
            <w:bookmarkStart w:id="10" w:name="Check56"/>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bookmarkEnd w:id="10"/>
          </w:p>
        </w:tc>
        <w:tc>
          <w:tcPr>
            <w:tcW w:w="9723" w:type="dxa"/>
          </w:tcPr>
          <w:p w14:paraId="5F72FD4E" w14:textId="103CCB54" w:rsidR="00285425" w:rsidRPr="00085775" w:rsidRDefault="00BC5B49" w:rsidP="00274CF1">
            <w:pPr>
              <w:spacing w:after="0" w:line="240" w:lineRule="auto"/>
              <w:rPr>
                <w:rFonts w:cstheme="minorHAnsi"/>
                <w:sz w:val="22"/>
                <w:szCs w:val="22"/>
              </w:rPr>
            </w:pPr>
            <w:hyperlink r:id="rId14" w:history="1">
              <w:r w:rsidR="00285425" w:rsidRPr="00085775">
                <w:rPr>
                  <w:rStyle w:val="Hyperlink"/>
                  <w:rFonts w:cstheme="minorHAnsi"/>
                  <w:sz w:val="22"/>
                  <w:szCs w:val="22"/>
                </w:rPr>
                <w:t>HECT CMS Certification form</w:t>
              </w:r>
            </w:hyperlink>
            <w:r w:rsidR="00285425" w:rsidRPr="00085775">
              <w:rPr>
                <w:rFonts w:cstheme="minorHAnsi"/>
                <w:sz w:val="22"/>
                <w:szCs w:val="22"/>
              </w:rPr>
              <w:t xml:space="preserve"> for HRVOC concentration</w:t>
            </w:r>
          </w:p>
        </w:tc>
      </w:tr>
    </w:tbl>
    <w:p w14:paraId="2A82F582" w14:textId="127D5AC0" w:rsidR="00F036FA" w:rsidRPr="004F590D" w:rsidRDefault="00F036FA" w:rsidP="00274CF1">
      <w:pPr>
        <w:tabs>
          <w:tab w:val="left" w:pos="547"/>
        </w:tabs>
        <w:spacing w:before="120" w:line="240" w:lineRule="auto"/>
        <w:ind w:left="547" w:hanging="547"/>
        <w:outlineLvl w:val="1"/>
        <w:rPr>
          <w:b/>
          <w:bCs/>
          <w:sz w:val="22"/>
          <w:szCs w:val="22"/>
        </w:rPr>
      </w:pPr>
      <w:r w:rsidRPr="004F590D">
        <w:rPr>
          <w:sz w:val="22"/>
          <w:szCs w:val="22"/>
        </w:rPr>
        <w:fldChar w:fldCharType="begin">
          <w:ffData>
            <w:name w:val=""/>
            <w:enabled/>
            <w:calcOnExit w:val="0"/>
            <w:checkBox>
              <w:sizeAuto/>
              <w:default w:val="0"/>
            </w:checkBox>
          </w:ffData>
        </w:fldChar>
      </w:r>
      <w:r w:rsidRPr="004F590D">
        <w:rPr>
          <w:sz w:val="22"/>
          <w:szCs w:val="22"/>
        </w:rPr>
        <w:instrText xml:space="preserve"> FORMCHECKBOX </w:instrText>
      </w:r>
      <w:r w:rsidR="00BC5B49">
        <w:rPr>
          <w:sz w:val="22"/>
          <w:szCs w:val="22"/>
        </w:rPr>
      </w:r>
      <w:r w:rsidR="00BC5B49">
        <w:rPr>
          <w:sz w:val="22"/>
          <w:szCs w:val="22"/>
        </w:rPr>
        <w:fldChar w:fldCharType="separate"/>
      </w:r>
      <w:r w:rsidRPr="004F590D">
        <w:rPr>
          <w:sz w:val="22"/>
          <w:szCs w:val="22"/>
        </w:rPr>
        <w:fldChar w:fldCharType="end"/>
      </w:r>
      <w:r w:rsidR="00274CF1" w:rsidRPr="004F590D">
        <w:rPr>
          <w:sz w:val="22"/>
          <w:szCs w:val="22"/>
        </w:rPr>
        <w:tab/>
      </w:r>
      <w:r w:rsidRPr="004F590D">
        <w:rPr>
          <w:b/>
          <w:bCs/>
          <w:sz w:val="22"/>
          <w:szCs w:val="22"/>
        </w:rPr>
        <w:t>§115.725(m): Alternative monitoring or testing methods approved by the executive director for a vent gas stream not controlled by a flare:</w:t>
      </w:r>
    </w:p>
    <w:tbl>
      <w:tblPr>
        <w:tblStyle w:val="TableGrid10"/>
        <w:tblW w:w="10795" w:type="dxa"/>
        <w:tblBorders>
          <w:top w:val="double" w:sz="4" w:space="0" w:color="auto"/>
          <w:left w:val="double" w:sz="4" w:space="0" w:color="auto"/>
          <w:bottom w:val="double" w:sz="4" w:space="0" w:color="auto"/>
          <w:right w:val="double" w:sz="4" w:space="0" w:color="auto"/>
        </w:tblBorders>
        <w:tblLayout w:type="fixed"/>
        <w:tblCellMar>
          <w:top w:w="58" w:type="dxa"/>
          <w:left w:w="58" w:type="dxa"/>
          <w:bottom w:w="58" w:type="dxa"/>
          <w:right w:w="58" w:type="dxa"/>
        </w:tblCellMar>
        <w:tblLook w:val="04A0" w:firstRow="1" w:lastRow="0" w:firstColumn="1" w:lastColumn="0" w:noHBand="0" w:noVBand="1"/>
        <w:tblDescription w:val="EPN: §115.725(m): Alternative monitoring or testing methods approved by the executive director for a vent gas stream not controlled by a flare:"/>
      </w:tblPr>
      <w:tblGrid>
        <w:gridCol w:w="1127"/>
        <w:gridCol w:w="9668"/>
      </w:tblGrid>
      <w:tr w:rsidR="00DE5E09" w:rsidRPr="00085775" w14:paraId="3BADF456" w14:textId="77777777" w:rsidTr="004F590D">
        <w:trPr>
          <w:cantSplit/>
          <w:tblHeader/>
        </w:trPr>
        <w:tc>
          <w:tcPr>
            <w:tcW w:w="1127" w:type="dxa"/>
            <w:shd w:val="clear" w:color="auto" w:fill="F2F2F2" w:themeFill="background1" w:themeFillShade="F2"/>
            <w:vAlign w:val="center"/>
          </w:tcPr>
          <w:p w14:paraId="7D1144E7" w14:textId="178897C4" w:rsidR="00DE5E09" w:rsidRPr="00085775" w:rsidRDefault="005B209C" w:rsidP="004F590D">
            <w:pPr>
              <w:spacing w:after="0" w:line="240" w:lineRule="auto"/>
              <w:jc w:val="center"/>
              <w:rPr>
                <w:rFonts w:cstheme="minorHAnsi"/>
                <w:b/>
                <w:bCs/>
                <w:sz w:val="22"/>
                <w:szCs w:val="22"/>
              </w:rPr>
            </w:pPr>
            <w:r w:rsidRPr="00085775">
              <w:rPr>
                <w:rFonts w:cstheme="minorHAnsi"/>
                <w:b/>
                <w:bCs/>
                <w:sz w:val="22"/>
                <w:szCs w:val="22"/>
              </w:rPr>
              <w:t>EPNs</w:t>
            </w:r>
            <w:r w:rsidR="00DE5E09" w:rsidRPr="00085775">
              <w:rPr>
                <w:rFonts w:cstheme="minorHAnsi"/>
                <w:b/>
                <w:bCs/>
                <w:sz w:val="22"/>
                <w:szCs w:val="22"/>
              </w:rPr>
              <w:t>:</w:t>
            </w:r>
          </w:p>
        </w:tc>
        <w:tc>
          <w:tcPr>
            <w:tcW w:w="9668" w:type="dxa"/>
            <w:shd w:val="clear" w:color="auto" w:fill="F2F2F2" w:themeFill="background1" w:themeFillShade="F2"/>
          </w:tcPr>
          <w:p w14:paraId="1A8D5977" w14:textId="13839323" w:rsidR="00DE5E09" w:rsidRPr="00085775" w:rsidRDefault="00DE5E09" w:rsidP="004F590D">
            <w:pPr>
              <w:spacing w:after="0" w:line="240" w:lineRule="auto"/>
              <w:rPr>
                <w:rFonts w:cstheme="minorHAnsi"/>
                <w:b/>
                <w:bCs/>
                <w:sz w:val="22"/>
                <w:szCs w:val="22"/>
              </w:rPr>
            </w:pPr>
          </w:p>
        </w:tc>
      </w:tr>
      <w:tr w:rsidR="00DE5E09" w:rsidRPr="00085775" w14:paraId="1DC5C508" w14:textId="77777777" w:rsidTr="004F590D">
        <w:trPr>
          <w:cantSplit/>
          <w:tblHeader/>
        </w:trPr>
        <w:tc>
          <w:tcPr>
            <w:tcW w:w="1127" w:type="dxa"/>
            <w:shd w:val="clear" w:color="auto" w:fill="BFBFBF" w:themeFill="background1" w:themeFillShade="BF"/>
            <w:vAlign w:val="center"/>
          </w:tcPr>
          <w:p w14:paraId="74AF7E03" w14:textId="39B0584B" w:rsidR="00DE5E09" w:rsidRPr="00085775" w:rsidRDefault="00DE5E09" w:rsidP="004F590D">
            <w:pPr>
              <w:spacing w:after="0" w:line="240" w:lineRule="auto"/>
              <w:jc w:val="center"/>
              <w:rPr>
                <w:rFonts w:eastAsia="MS Gothic" w:cstheme="minorHAnsi"/>
                <w:b/>
                <w:bCs/>
                <w:sz w:val="22"/>
                <w:szCs w:val="22"/>
              </w:rPr>
            </w:pPr>
            <w:r w:rsidRPr="00085775">
              <w:rPr>
                <w:rFonts w:eastAsia="MS Gothic" w:cstheme="minorHAnsi"/>
                <w:b/>
                <w:bCs/>
                <w:sz w:val="22"/>
                <w:szCs w:val="22"/>
              </w:rPr>
              <w:t>Attached</w:t>
            </w:r>
          </w:p>
        </w:tc>
        <w:tc>
          <w:tcPr>
            <w:tcW w:w="9668" w:type="dxa"/>
            <w:shd w:val="clear" w:color="auto" w:fill="BFBFBF" w:themeFill="background1" w:themeFillShade="BF"/>
          </w:tcPr>
          <w:p w14:paraId="0B8238B2" w14:textId="3D380006" w:rsidR="00DE5E09" w:rsidRPr="00085775" w:rsidRDefault="00DE5E09" w:rsidP="004F590D">
            <w:pPr>
              <w:spacing w:after="0" w:line="240" w:lineRule="auto"/>
              <w:rPr>
                <w:rFonts w:cstheme="minorHAnsi"/>
                <w:b/>
                <w:bCs/>
                <w:sz w:val="22"/>
                <w:szCs w:val="22"/>
              </w:rPr>
            </w:pPr>
            <w:r w:rsidRPr="00085775">
              <w:rPr>
                <w:rFonts w:cstheme="minorHAnsi"/>
                <w:b/>
                <w:bCs/>
                <w:sz w:val="22"/>
                <w:szCs w:val="22"/>
              </w:rPr>
              <w:t>Documentation Required</w:t>
            </w:r>
          </w:p>
        </w:tc>
      </w:tr>
      <w:tr w:rsidR="00DE5E09" w:rsidRPr="00085775" w14:paraId="71FD955E" w14:textId="77777777" w:rsidTr="004F590D">
        <w:trPr>
          <w:cantSplit/>
          <w:tblHeader/>
        </w:trPr>
        <w:tc>
          <w:tcPr>
            <w:tcW w:w="1127" w:type="dxa"/>
            <w:vAlign w:val="center"/>
          </w:tcPr>
          <w:p w14:paraId="1B83535F" w14:textId="77777777" w:rsidR="00DE5E09" w:rsidRPr="00085775" w:rsidRDefault="00DE5E09" w:rsidP="004F590D">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668" w:type="dxa"/>
          </w:tcPr>
          <w:p w14:paraId="18222BF8" w14:textId="77777777" w:rsidR="00DE5E09" w:rsidRPr="00085775" w:rsidRDefault="00DE5E09" w:rsidP="004F590D">
            <w:pPr>
              <w:spacing w:after="0" w:line="240" w:lineRule="auto"/>
              <w:rPr>
                <w:rFonts w:cstheme="minorHAnsi"/>
                <w:sz w:val="22"/>
                <w:szCs w:val="22"/>
              </w:rPr>
            </w:pPr>
            <w:r w:rsidRPr="00085775">
              <w:rPr>
                <w:rFonts w:cstheme="minorHAnsi"/>
                <w:sz w:val="22"/>
                <w:szCs w:val="22"/>
              </w:rPr>
              <w:t>Speciated HRVOC emissions (</w:t>
            </w:r>
            <w:proofErr w:type="spellStart"/>
            <w:r w:rsidRPr="00085775">
              <w:rPr>
                <w:rFonts w:cstheme="minorHAnsi"/>
                <w:sz w:val="22"/>
                <w:szCs w:val="22"/>
              </w:rPr>
              <w:t>tpy</w:t>
            </w:r>
            <w:proofErr w:type="spellEnd"/>
            <w:r w:rsidRPr="00085775">
              <w:rPr>
                <w:rFonts w:cstheme="minorHAnsi"/>
                <w:sz w:val="22"/>
                <w:szCs w:val="22"/>
              </w:rPr>
              <w:t>) for each vent (isomers of butene may be reported collectively)</w:t>
            </w:r>
          </w:p>
        </w:tc>
      </w:tr>
      <w:tr w:rsidR="00DE5E09" w:rsidRPr="00085775" w14:paraId="61774D70" w14:textId="77777777" w:rsidTr="004F590D">
        <w:trPr>
          <w:cantSplit/>
          <w:tblHeader/>
        </w:trPr>
        <w:tc>
          <w:tcPr>
            <w:tcW w:w="1127" w:type="dxa"/>
            <w:vAlign w:val="center"/>
          </w:tcPr>
          <w:p w14:paraId="285833E8" w14:textId="77777777" w:rsidR="00DE5E09" w:rsidRPr="00085775" w:rsidRDefault="00DE5E09" w:rsidP="004F590D">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668" w:type="dxa"/>
          </w:tcPr>
          <w:p w14:paraId="5ACC0F64" w14:textId="77777777" w:rsidR="00DE5E09" w:rsidRPr="00085775" w:rsidRDefault="00DE5E09" w:rsidP="004F590D">
            <w:pPr>
              <w:spacing w:after="0" w:line="240" w:lineRule="auto"/>
              <w:rPr>
                <w:rFonts w:cstheme="minorHAnsi"/>
                <w:sz w:val="22"/>
                <w:szCs w:val="22"/>
              </w:rPr>
            </w:pPr>
            <w:r w:rsidRPr="00085775">
              <w:rPr>
                <w:rFonts w:cstheme="minorHAnsi"/>
                <w:sz w:val="22"/>
                <w:szCs w:val="22"/>
              </w:rPr>
              <w:t xml:space="preserve">Brief written description of the methodology used to determine the reported HRVOC emissions for each EPN </w:t>
            </w:r>
          </w:p>
        </w:tc>
      </w:tr>
      <w:tr w:rsidR="00DE5E09" w:rsidRPr="00085775" w14:paraId="7D1A1CFF" w14:textId="77777777" w:rsidTr="004F590D">
        <w:trPr>
          <w:cantSplit/>
          <w:tblHeader/>
        </w:trPr>
        <w:tc>
          <w:tcPr>
            <w:tcW w:w="1127" w:type="dxa"/>
            <w:vAlign w:val="center"/>
          </w:tcPr>
          <w:p w14:paraId="38E2A0EC" w14:textId="77777777" w:rsidR="00DE5E09" w:rsidRPr="00085775" w:rsidRDefault="00DE5E09" w:rsidP="004F590D">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668" w:type="dxa"/>
          </w:tcPr>
          <w:p w14:paraId="69445267" w14:textId="77777777" w:rsidR="00DE5E09" w:rsidRPr="00085775" w:rsidRDefault="00DE5E09" w:rsidP="004F590D">
            <w:pPr>
              <w:spacing w:after="0" w:line="240" w:lineRule="auto"/>
              <w:rPr>
                <w:rFonts w:cstheme="minorHAnsi"/>
                <w:sz w:val="22"/>
                <w:szCs w:val="22"/>
              </w:rPr>
            </w:pPr>
            <w:r w:rsidRPr="00085775">
              <w:rPr>
                <w:rFonts w:cstheme="minorHAnsi"/>
                <w:sz w:val="22"/>
                <w:szCs w:val="22"/>
              </w:rPr>
              <w:t>Summary of the alternative monitoring or testing procedure</w:t>
            </w:r>
          </w:p>
        </w:tc>
      </w:tr>
      <w:tr w:rsidR="00DE5E09" w:rsidRPr="00085775" w14:paraId="4AE1E653" w14:textId="77777777" w:rsidTr="004F590D">
        <w:trPr>
          <w:cantSplit/>
          <w:tblHeader/>
        </w:trPr>
        <w:tc>
          <w:tcPr>
            <w:tcW w:w="1127" w:type="dxa"/>
            <w:vAlign w:val="center"/>
          </w:tcPr>
          <w:p w14:paraId="6DD74BD5" w14:textId="77777777" w:rsidR="00DE5E09" w:rsidRPr="00085775" w:rsidRDefault="00DE5E09" w:rsidP="004F590D">
            <w:pPr>
              <w:spacing w:after="0" w:line="240" w:lineRule="auto"/>
              <w:jc w:val="center"/>
              <w:rPr>
                <w:rFonts w:cstheme="minorHAnsi"/>
                <w:sz w:val="22"/>
                <w:szCs w:val="22"/>
              </w:rPr>
            </w:pPr>
            <w:r w:rsidRPr="00085775">
              <w:rPr>
                <w:rFonts w:cstheme="minorHAnsi"/>
                <w:sz w:val="22"/>
                <w:szCs w:val="22"/>
              </w:rPr>
              <w:fldChar w:fldCharType="begin">
                <w:ffData>
                  <w:name w:val="Check4"/>
                  <w:enabled/>
                  <w:calcOnExit w:val="0"/>
                  <w:checkBox>
                    <w:sizeAuto/>
                    <w:default w:val="0"/>
                  </w:checkBox>
                </w:ffData>
              </w:fldChar>
            </w:r>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p>
        </w:tc>
        <w:tc>
          <w:tcPr>
            <w:tcW w:w="9668" w:type="dxa"/>
          </w:tcPr>
          <w:p w14:paraId="77852B7A" w14:textId="5FA84739" w:rsidR="00DE5E09" w:rsidRPr="00085775" w:rsidRDefault="00DE5E09" w:rsidP="004F590D">
            <w:pPr>
              <w:spacing w:after="0" w:line="240" w:lineRule="auto"/>
              <w:rPr>
                <w:rFonts w:cstheme="minorHAnsi"/>
                <w:sz w:val="22"/>
                <w:szCs w:val="22"/>
              </w:rPr>
            </w:pPr>
            <w:r w:rsidRPr="00085775">
              <w:rPr>
                <w:rFonts w:cstheme="minorHAnsi"/>
                <w:sz w:val="22"/>
                <w:szCs w:val="22"/>
              </w:rPr>
              <w:t xml:space="preserve">Copy of </w:t>
            </w:r>
            <w:r w:rsidR="00766398" w:rsidRPr="00085775">
              <w:rPr>
                <w:rFonts w:cstheme="minorHAnsi"/>
                <w:sz w:val="22"/>
                <w:szCs w:val="22"/>
              </w:rPr>
              <w:t xml:space="preserve">Texas </w:t>
            </w:r>
            <w:r w:rsidR="00B02EAB" w:rsidRPr="00085775">
              <w:rPr>
                <w:rFonts w:cstheme="minorHAnsi"/>
                <w:sz w:val="22"/>
                <w:szCs w:val="22"/>
              </w:rPr>
              <w:t>Commission</w:t>
            </w:r>
            <w:r w:rsidR="00766398" w:rsidRPr="00085775">
              <w:rPr>
                <w:rFonts w:cstheme="minorHAnsi"/>
                <w:sz w:val="22"/>
                <w:szCs w:val="22"/>
              </w:rPr>
              <w:t xml:space="preserve"> on Environmental Quality (TCEQ) </w:t>
            </w:r>
            <w:r w:rsidRPr="00085775">
              <w:rPr>
                <w:rFonts w:cstheme="minorHAnsi"/>
                <w:sz w:val="22"/>
                <w:szCs w:val="22"/>
              </w:rPr>
              <w:t xml:space="preserve"> approval of alternative monitoring or testing procedure</w:t>
            </w:r>
          </w:p>
        </w:tc>
      </w:tr>
    </w:tbl>
    <w:p w14:paraId="6889ED0C" w14:textId="77777777" w:rsidR="00085775" w:rsidRPr="00146941" w:rsidRDefault="00085775" w:rsidP="00146941"/>
    <w:p w14:paraId="5834CEDA" w14:textId="77777777" w:rsidR="00085775" w:rsidRDefault="00085775">
      <w:pPr>
        <w:rPr>
          <w:rFonts w:eastAsiaTheme="majorEastAsia" w:cstheme="minorHAnsi"/>
          <w:b/>
          <w:bCs/>
          <w:sz w:val="22"/>
          <w:szCs w:val="22"/>
        </w:rPr>
      </w:pPr>
      <w:r>
        <w:rPr>
          <w:rFonts w:cstheme="minorHAnsi"/>
          <w:b/>
          <w:bCs/>
          <w:sz w:val="22"/>
          <w:szCs w:val="22"/>
        </w:rPr>
        <w:br w:type="page"/>
      </w:r>
    </w:p>
    <w:p w14:paraId="0C8A58F0" w14:textId="77777777" w:rsidR="00ED6998" w:rsidRPr="00FB441C" w:rsidRDefault="00ED6998" w:rsidP="00ED6998">
      <w:pPr>
        <w:pStyle w:val="Heading1"/>
      </w:pPr>
      <w:r w:rsidRPr="00FB441C">
        <w:lastRenderedPageBreak/>
        <w:t>HECT Supporting Documentation Checklist for Vents</w:t>
      </w:r>
    </w:p>
    <w:p w14:paraId="6854C5F2" w14:textId="4A6F5FC7" w:rsidR="00DE5E09" w:rsidRPr="00ED6998" w:rsidRDefault="00DE5E09" w:rsidP="00ED6998">
      <w:pPr>
        <w:tabs>
          <w:tab w:val="left" w:pos="547"/>
        </w:tabs>
        <w:spacing w:before="600" w:line="240" w:lineRule="auto"/>
        <w:ind w:left="547" w:hanging="547"/>
        <w:outlineLvl w:val="1"/>
        <w:rPr>
          <w:sz w:val="22"/>
          <w:szCs w:val="22"/>
        </w:rPr>
      </w:pPr>
      <w:r w:rsidRPr="00ED6998">
        <w:rPr>
          <w:sz w:val="22"/>
          <w:szCs w:val="22"/>
        </w:rPr>
        <w:fldChar w:fldCharType="begin">
          <w:ffData>
            <w:name w:val="Check54"/>
            <w:enabled/>
            <w:calcOnExit w:val="0"/>
            <w:checkBox>
              <w:sizeAuto/>
              <w:default w:val="0"/>
            </w:checkBox>
          </w:ffData>
        </w:fldChar>
      </w:r>
      <w:bookmarkStart w:id="11" w:name="Check54"/>
      <w:r w:rsidRPr="00ED6998">
        <w:rPr>
          <w:sz w:val="22"/>
          <w:szCs w:val="22"/>
        </w:rPr>
        <w:instrText xml:space="preserve"> FORMCHECKBOX </w:instrText>
      </w:r>
      <w:r w:rsidR="00BC5B49">
        <w:rPr>
          <w:sz w:val="22"/>
          <w:szCs w:val="22"/>
        </w:rPr>
      </w:r>
      <w:r w:rsidR="00BC5B49">
        <w:rPr>
          <w:sz w:val="22"/>
          <w:szCs w:val="22"/>
        </w:rPr>
        <w:fldChar w:fldCharType="separate"/>
      </w:r>
      <w:r w:rsidRPr="00ED6998">
        <w:rPr>
          <w:sz w:val="22"/>
          <w:szCs w:val="22"/>
        </w:rPr>
        <w:fldChar w:fldCharType="end"/>
      </w:r>
      <w:bookmarkEnd w:id="11"/>
      <w:r w:rsidR="00ED6998">
        <w:rPr>
          <w:sz w:val="22"/>
          <w:szCs w:val="22"/>
        </w:rPr>
        <w:tab/>
      </w:r>
      <w:r w:rsidRPr="00ED6998">
        <w:rPr>
          <w:b/>
          <w:bCs/>
          <w:sz w:val="22"/>
          <w:szCs w:val="22"/>
        </w:rPr>
        <w:t>§101.396(c): Alternate Data</w:t>
      </w:r>
    </w:p>
    <w:tbl>
      <w:tblPr>
        <w:tblStyle w:val="TableGrid20"/>
        <w:tblW w:w="10795" w:type="dxa"/>
        <w:tblBorders>
          <w:top w:val="double" w:sz="4" w:space="0" w:color="auto"/>
          <w:left w:val="double" w:sz="4" w:space="0" w:color="auto"/>
          <w:bottom w:val="double" w:sz="4" w:space="0" w:color="auto"/>
          <w:right w:val="double" w:sz="4" w:space="0" w:color="auto"/>
        </w:tblBorders>
        <w:tblLayout w:type="fixed"/>
        <w:tblCellMar>
          <w:top w:w="58" w:type="dxa"/>
          <w:left w:w="58" w:type="dxa"/>
          <w:bottom w:w="58" w:type="dxa"/>
          <w:right w:w="58" w:type="dxa"/>
        </w:tblCellMar>
        <w:tblLook w:val="04A0" w:firstRow="1" w:lastRow="0" w:firstColumn="1" w:lastColumn="0" w:noHBand="0" w:noVBand="1"/>
        <w:tblDescription w:val="EPN: §101.396(c): Alternate Data"/>
      </w:tblPr>
      <w:tblGrid>
        <w:gridCol w:w="1072"/>
        <w:gridCol w:w="9723"/>
      </w:tblGrid>
      <w:tr w:rsidR="00DE5E09" w:rsidRPr="00085775" w14:paraId="6E912DD8" w14:textId="77777777" w:rsidTr="00ED6998">
        <w:trPr>
          <w:cantSplit/>
          <w:tblHeader/>
        </w:trPr>
        <w:tc>
          <w:tcPr>
            <w:tcW w:w="1072" w:type="dxa"/>
            <w:shd w:val="clear" w:color="auto" w:fill="F2F2F2" w:themeFill="background1" w:themeFillShade="F2"/>
            <w:vAlign w:val="center"/>
          </w:tcPr>
          <w:p w14:paraId="173ACF5A" w14:textId="2DBA2804" w:rsidR="00DE5E09" w:rsidRPr="00085775" w:rsidRDefault="005B209C" w:rsidP="00ED6998">
            <w:pPr>
              <w:spacing w:after="0" w:line="240" w:lineRule="auto"/>
              <w:jc w:val="center"/>
              <w:rPr>
                <w:rFonts w:cstheme="minorHAnsi"/>
                <w:sz w:val="22"/>
                <w:szCs w:val="22"/>
              </w:rPr>
            </w:pPr>
            <w:r w:rsidRPr="00085775">
              <w:rPr>
                <w:rFonts w:cstheme="minorHAnsi"/>
                <w:b/>
                <w:bCs/>
                <w:sz w:val="22"/>
                <w:szCs w:val="22"/>
              </w:rPr>
              <w:t>EPNs</w:t>
            </w:r>
            <w:r w:rsidR="00DE5E09" w:rsidRPr="00085775">
              <w:rPr>
                <w:rFonts w:cstheme="minorHAnsi"/>
                <w:b/>
                <w:bCs/>
                <w:sz w:val="22"/>
                <w:szCs w:val="22"/>
              </w:rPr>
              <w:t>:</w:t>
            </w:r>
          </w:p>
        </w:tc>
        <w:tc>
          <w:tcPr>
            <w:tcW w:w="9723" w:type="dxa"/>
            <w:shd w:val="clear" w:color="auto" w:fill="F2F2F2" w:themeFill="background1" w:themeFillShade="F2"/>
          </w:tcPr>
          <w:p w14:paraId="46315B87" w14:textId="77777777" w:rsidR="00DE5E09" w:rsidRPr="00085775" w:rsidRDefault="00DE5E09" w:rsidP="00ED6998">
            <w:pPr>
              <w:spacing w:after="0" w:line="240" w:lineRule="auto"/>
              <w:rPr>
                <w:rFonts w:cstheme="minorHAnsi"/>
                <w:sz w:val="22"/>
                <w:szCs w:val="22"/>
              </w:rPr>
            </w:pPr>
          </w:p>
        </w:tc>
      </w:tr>
      <w:tr w:rsidR="00DE5E09" w:rsidRPr="00085775" w14:paraId="44FA09DA" w14:textId="77777777" w:rsidTr="00ED6998">
        <w:trPr>
          <w:cantSplit/>
          <w:tblHeader/>
        </w:trPr>
        <w:tc>
          <w:tcPr>
            <w:tcW w:w="1072" w:type="dxa"/>
            <w:shd w:val="clear" w:color="auto" w:fill="BFBFBF" w:themeFill="background1" w:themeFillShade="BF"/>
            <w:vAlign w:val="center"/>
          </w:tcPr>
          <w:p w14:paraId="5298B592" w14:textId="77777777" w:rsidR="00DE5E09" w:rsidRPr="00085775" w:rsidRDefault="00DE5E09" w:rsidP="00ED6998">
            <w:pPr>
              <w:spacing w:after="0" w:line="240" w:lineRule="auto"/>
              <w:jc w:val="center"/>
              <w:rPr>
                <w:rFonts w:eastAsia="MS Gothic" w:cstheme="minorHAnsi"/>
                <w:b/>
                <w:bCs/>
                <w:sz w:val="22"/>
                <w:szCs w:val="22"/>
              </w:rPr>
            </w:pPr>
            <w:r w:rsidRPr="00085775">
              <w:rPr>
                <w:rFonts w:eastAsia="MS Gothic" w:cstheme="minorHAnsi"/>
                <w:b/>
                <w:bCs/>
                <w:sz w:val="22"/>
                <w:szCs w:val="22"/>
              </w:rPr>
              <w:t>Attached</w:t>
            </w:r>
          </w:p>
        </w:tc>
        <w:tc>
          <w:tcPr>
            <w:tcW w:w="9723" w:type="dxa"/>
            <w:shd w:val="clear" w:color="auto" w:fill="BFBFBF" w:themeFill="background1" w:themeFillShade="BF"/>
          </w:tcPr>
          <w:p w14:paraId="477A96DA" w14:textId="77777777" w:rsidR="00DE5E09" w:rsidRPr="00085775" w:rsidRDefault="00DE5E09" w:rsidP="00ED6998">
            <w:pPr>
              <w:spacing w:after="0" w:line="240" w:lineRule="auto"/>
              <w:rPr>
                <w:rFonts w:cstheme="minorHAnsi"/>
                <w:b/>
                <w:bCs/>
                <w:sz w:val="22"/>
                <w:szCs w:val="22"/>
              </w:rPr>
            </w:pPr>
            <w:r w:rsidRPr="00085775">
              <w:rPr>
                <w:rFonts w:cstheme="minorHAnsi"/>
                <w:b/>
                <w:bCs/>
                <w:sz w:val="22"/>
                <w:szCs w:val="22"/>
              </w:rPr>
              <w:t>Documentation Required</w:t>
            </w:r>
          </w:p>
        </w:tc>
      </w:tr>
      <w:tr w:rsidR="00DE5E09" w:rsidRPr="00085775" w14:paraId="2075F6A0" w14:textId="77777777" w:rsidTr="00ED6998">
        <w:trPr>
          <w:cantSplit/>
          <w:trHeight w:val="566"/>
          <w:tblHeader/>
        </w:trPr>
        <w:tc>
          <w:tcPr>
            <w:tcW w:w="1072" w:type="dxa"/>
            <w:vAlign w:val="center"/>
          </w:tcPr>
          <w:p w14:paraId="4758D62C" w14:textId="77777777" w:rsidR="00DE5E09" w:rsidRPr="00085775" w:rsidRDefault="00DE5E09" w:rsidP="00ED6998">
            <w:pPr>
              <w:spacing w:after="0" w:line="240" w:lineRule="auto"/>
              <w:jc w:val="center"/>
              <w:rPr>
                <w:rFonts w:cstheme="minorHAnsi"/>
                <w:sz w:val="22"/>
                <w:szCs w:val="22"/>
              </w:rPr>
            </w:pPr>
            <w:r w:rsidRPr="00085775">
              <w:rPr>
                <w:rFonts w:cstheme="minorHAnsi"/>
                <w:sz w:val="22"/>
                <w:szCs w:val="22"/>
              </w:rPr>
              <w:fldChar w:fldCharType="begin">
                <w:ffData>
                  <w:name w:val="Check53"/>
                  <w:enabled/>
                  <w:calcOnExit w:val="0"/>
                  <w:checkBox>
                    <w:sizeAuto/>
                    <w:default w:val="0"/>
                  </w:checkBox>
                </w:ffData>
              </w:fldChar>
            </w:r>
            <w:bookmarkStart w:id="12" w:name="Check53"/>
            <w:r w:rsidRPr="00085775">
              <w:rPr>
                <w:rFonts w:cstheme="minorHAnsi"/>
                <w:sz w:val="22"/>
                <w:szCs w:val="22"/>
              </w:rPr>
              <w:instrText xml:space="preserve"> FORMCHECKBOX </w:instrText>
            </w:r>
            <w:r w:rsidR="00BC5B49">
              <w:rPr>
                <w:rFonts w:cstheme="minorHAnsi"/>
                <w:sz w:val="22"/>
                <w:szCs w:val="22"/>
              </w:rPr>
            </w:r>
            <w:r w:rsidR="00BC5B49">
              <w:rPr>
                <w:rFonts w:cstheme="minorHAnsi"/>
                <w:sz w:val="22"/>
                <w:szCs w:val="22"/>
              </w:rPr>
              <w:fldChar w:fldCharType="separate"/>
            </w:r>
            <w:r w:rsidRPr="00085775">
              <w:rPr>
                <w:rFonts w:cstheme="minorHAnsi"/>
                <w:sz w:val="22"/>
                <w:szCs w:val="22"/>
              </w:rPr>
              <w:fldChar w:fldCharType="end"/>
            </w:r>
            <w:bookmarkEnd w:id="12"/>
          </w:p>
        </w:tc>
        <w:tc>
          <w:tcPr>
            <w:tcW w:w="9723" w:type="dxa"/>
          </w:tcPr>
          <w:p w14:paraId="361D37FE" w14:textId="77777777" w:rsidR="00DE5E09" w:rsidRPr="00085775" w:rsidRDefault="00DE5E09" w:rsidP="00ED6998">
            <w:pPr>
              <w:spacing w:after="0" w:line="240" w:lineRule="auto"/>
              <w:rPr>
                <w:rFonts w:cstheme="minorHAnsi"/>
                <w:sz w:val="22"/>
                <w:szCs w:val="22"/>
              </w:rPr>
            </w:pPr>
            <w:r w:rsidRPr="00085775">
              <w:rPr>
                <w:rFonts w:cstheme="minorHAnsi"/>
                <w:sz w:val="22"/>
                <w:szCs w:val="22"/>
              </w:rPr>
              <w:t>Justification for not using the methods above, and the justification for the method used.</w:t>
            </w:r>
          </w:p>
          <w:p w14:paraId="19F9D53B" w14:textId="77777777" w:rsidR="00DE5E09" w:rsidRPr="00085775" w:rsidRDefault="00DE5E09" w:rsidP="00ED6998">
            <w:pPr>
              <w:spacing w:after="0" w:line="240" w:lineRule="auto"/>
              <w:rPr>
                <w:rFonts w:cstheme="minorHAnsi"/>
                <w:sz w:val="22"/>
                <w:szCs w:val="22"/>
              </w:rPr>
            </w:pPr>
            <w:r w:rsidRPr="00085775">
              <w:rPr>
                <w:rFonts w:cstheme="minorHAnsi"/>
                <w:b/>
                <w:bCs/>
                <w:sz w:val="22"/>
                <w:szCs w:val="22"/>
              </w:rPr>
              <w:t>Note:</w:t>
            </w:r>
            <w:r w:rsidRPr="00085775">
              <w:rPr>
                <w:rFonts w:cstheme="minorHAnsi"/>
                <w:sz w:val="22"/>
                <w:szCs w:val="22"/>
              </w:rPr>
              <w:t xml:space="preserve"> Emissions quantified under this protocol are subject to a 10% quantification penalty </w:t>
            </w:r>
          </w:p>
        </w:tc>
      </w:tr>
    </w:tbl>
    <w:p w14:paraId="444B804A" w14:textId="77777777" w:rsidR="004A726B" w:rsidRPr="00B87258" w:rsidRDefault="004A726B" w:rsidP="0007763E">
      <w:pPr>
        <w:pStyle w:val="BodyText"/>
        <w:spacing w:after="0"/>
        <w:rPr>
          <w:rFonts w:asciiTheme="minorHAnsi" w:hAnsiTheme="minorHAnsi" w:cstheme="minorHAnsi"/>
          <w:sz w:val="22"/>
          <w:szCs w:val="22"/>
        </w:rPr>
      </w:pPr>
    </w:p>
    <w:sectPr w:rsidR="004A726B" w:rsidRPr="00B87258" w:rsidSect="00F036FA">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6AF7" w14:textId="77777777" w:rsidR="003A36F8" w:rsidRDefault="003A36F8" w:rsidP="00E52C9A">
      <w:r>
        <w:separator/>
      </w:r>
    </w:p>
  </w:endnote>
  <w:endnote w:type="continuationSeparator" w:id="0">
    <w:p w14:paraId="100F7A00" w14:textId="77777777" w:rsidR="003A36F8" w:rsidRDefault="003A36F8"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321C" w14:textId="77777777" w:rsidR="00A14640" w:rsidRDefault="00A14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8820" w14:textId="7579925F" w:rsidR="004371A6" w:rsidRPr="00A80B83" w:rsidRDefault="004371A6" w:rsidP="004371A6">
    <w:pPr>
      <w:widowControl w:val="0"/>
      <w:tabs>
        <w:tab w:val="right" w:pos="10710"/>
      </w:tabs>
      <w:autoSpaceDE w:val="0"/>
      <w:autoSpaceDN w:val="0"/>
      <w:spacing w:after="0" w:line="240" w:lineRule="auto"/>
      <w:rPr>
        <w:rFonts w:ascii="Arial" w:eastAsia="Verdana" w:hAnsi="Arial" w:cs="Verdana"/>
        <w:b/>
        <w:bCs/>
        <w:sz w:val="16"/>
        <w:szCs w:val="16"/>
      </w:rPr>
    </w:pPr>
    <w:bookmarkStart w:id="13" w:name="_Hlk125381803"/>
    <w:r w:rsidRPr="00A80B83">
      <w:rPr>
        <w:rFonts w:ascii="Arial" w:eastAsia="Verdana" w:hAnsi="Arial" w:cs="Verdana"/>
        <w:b/>
        <w:bCs/>
        <w:sz w:val="16"/>
        <w:szCs w:val="16"/>
      </w:rPr>
      <w:t xml:space="preserve">TCEQ - </w:t>
    </w:r>
    <w:r w:rsidR="00FB441C">
      <w:rPr>
        <w:rFonts w:ascii="Arial" w:eastAsia="Verdana" w:hAnsi="Arial" w:cs="Verdana"/>
        <w:b/>
        <w:bCs/>
        <w:sz w:val="16"/>
        <w:szCs w:val="16"/>
      </w:rPr>
      <w:t>20968</w:t>
    </w:r>
    <w:r w:rsidRPr="00A80B83">
      <w:rPr>
        <w:rFonts w:ascii="Arial" w:eastAsia="Verdana" w:hAnsi="Arial" w:cs="Verdana"/>
        <w:b/>
        <w:bCs/>
        <w:sz w:val="16"/>
        <w:szCs w:val="16"/>
      </w:rPr>
      <w:t xml:space="preserve"> (APD-ID</w:t>
    </w:r>
    <w:r w:rsidR="00A14640">
      <w:rPr>
        <w:rFonts w:ascii="Arial" w:eastAsia="Verdana" w:hAnsi="Arial" w:cs="Verdana"/>
        <w:b/>
        <w:bCs/>
        <w:sz w:val="16"/>
        <w:szCs w:val="16"/>
      </w:rPr>
      <w:t>215</w:t>
    </w:r>
    <w:r w:rsidRPr="00A80B83">
      <w:rPr>
        <w:rFonts w:ascii="Arial" w:eastAsia="Verdana" w:hAnsi="Arial" w:cs="Verdana"/>
        <w:b/>
        <w:bCs/>
        <w:sz w:val="16"/>
        <w:szCs w:val="16"/>
      </w:rPr>
      <w:t>v</w:t>
    </w:r>
    <w:r>
      <w:rPr>
        <w:rFonts w:ascii="Arial" w:eastAsia="Verdana" w:hAnsi="Arial" w:cs="Verdana"/>
        <w:b/>
        <w:bCs/>
        <w:sz w:val="16"/>
        <w:szCs w:val="16"/>
      </w:rPr>
      <w:t>1</w:t>
    </w:r>
    <w:r w:rsidRPr="00A80B83">
      <w:rPr>
        <w:rFonts w:ascii="Arial" w:eastAsia="Verdana" w:hAnsi="Arial" w:cs="Verdana"/>
        <w:b/>
        <w:bCs/>
        <w:sz w:val="16"/>
        <w:szCs w:val="16"/>
      </w:rPr>
      <w:t>.0, Revised 02/2</w:t>
    </w:r>
    <w:r>
      <w:rPr>
        <w:rFonts w:ascii="Arial" w:eastAsia="Verdana" w:hAnsi="Arial" w:cs="Verdana"/>
        <w:b/>
        <w:bCs/>
        <w:sz w:val="16"/>
        <w:szCs w:val="16"/>
      </w:rPr>
      <w:t>3</w:t>
    </w:r>
    <w:r w:rsidRPr="00A80B83">
      <w:rPr>
        <w:rFonts w:ascii="Arial" w:eastAsia="Verdana" w:hAnsi="Arial" w:cs="Verdana"/>
        <w:b/>
        <w:bCs/>
        <w:sz w:val="16"/>
        <w:szCs w:val="16"/>
      </w:rPr>
      <w:t>) Supporting Documentation Check</w:t>
    </w:r>
    <w:r>
      <w:rPr>
        <w:rFonts w:ascii="Arial" w:eastAsia="Verdana" w:hAnsi="Arial" w:cs="Verdana"/>
        <w:b/>
        <w:bCs/>
        <w:sz w:val="16"/>
        <w:szCs w:val="16"/>
      </w:rPr>
      <w:t>list</w:t>
    </w:r>
    <w:r w:rsidRPr="00A80B83">
      <w:rPr>
        <w:rFonts w:ascii="Arial" w:eastAsia="Verdana" w:hAnsi="Arial" w:cs="Verdana"/>
        <w:b/>
        <w:bCs/>
        <w:sz w:val="16"/>
        <w:szCs w:val="16"/>
      </w:rPr>
      <w:t xml:space="preserve"> for </w:t>
    </w:r>
    <w:r>
      <w:rPr>
        <w:rFonts w:ascii="Arial" w:eastAsia="Verdana" w:hAnsi="Arial" w:cs="Verdana"/>
        <w:b/>
        <w:bCs/>
        <w:sz w:val="16"/>
        <w:szCs w:val="16"/>
      </w:rPr>
      <w:t>HECT</w:t>
    </w:r>
  </w:p>
  <w:p w14:paraId="2209EEE5" w14:textId="77777777" w:rsidR="004371A6" w:rsidRPr="00A80B83" w:rsidRDefault="004371A6" w:rsidP="004371A6">
    <w:pPr>
      <w:widowControl w:val="0"/>
      <w:tabs>
        <w:tab w:val="right" w:pos="10710"/>
      </w:tabs>
      <w:autoSpaceDE w:val="0"/>
      <w:autoSpaceDN w:val="0"/>
      <w:spacing w:after="0" w:line="240" w:lineRule="auto"/>
      <w:rPr>
        <w:rFonts w:ascii="Arial" w:eastAsia="Verdana" w:hAnsi="Arial" w:cs="Verdana"/>
        <w:b/>
        <w:bCs/>
        <w:sz w:val="16"/>
        <w:szCs w:val="16"/>
      </w:rPr>
    </w:pPr>
    <w:r w:rsidRPr="00A80B83">
      <w:rPr>
        <w:rFonts w:ascii="Arial" w:eastAsia="Verdana" w:hAnsi="Arial" w:cs="Verdana"/>
        <w:b/>
        <w:bCs/>
        <w:sz w:val="16"/>
        <w:szCs w:val="16"/>
      </w:rPr>
      <w:t xml:space="preserve">This form is for use by facilities subject to Emissions Banking and Trading requirements and </w:t>
    </w:r>
  </w:p>
  <w:p w14:paraId="721E94AA" w14:textId="77777777" w:rsidR="004371A6" w:rsidRDefault="004371A6" w:rsidP="004371A6">
    <w:pPr>
      <w:widowControl w:val="0"/>
      <w:tabs>
        <w:tab w:val="right" w:pos="10710"/>
      </w:tabs>
      <w:autoSpaceDE w:val="0"/>
      <w:autoSpaceDN w:val="0"/>
      <w:spacing w:after="0" w:line="240" w:lineRule="auto"/>
      <w:rPr>
        <w:rFonts w:ascii="Arial" w:eastAsia="Verdana" w:hAnsi="Arial" w:cs="Verdana"/>
        <w:sz w:val="16"/>
        <w:szCs w:val="22"/>
      </w:rPr>
    </w:pPr>
    <w:r w:rsidRPr="00A80B83">
      <w:rPr>
        <w:rFonts w:ascii="Arial" w:eastAsia="Verdana" w:hAnsi="Arial" w:cs="Verdana"/>
        <w:b/>
        <w:bCs/>
        <w:sz w:val="16"/>
        <w:szCs w:val="16"/>
      </w:rPr>
      <w:t>may be revised periodically.</w:t>
    </w:r>
    <w:bookmarkEnd w:id="13"/>
    <w:r>
      <w:rPr>
        <w:rFonts w:ascii="Arial" w:eastAsia="Verdana" w:hAnsi="Arial" w:cs="Verdana"/>
        <w:b/>
        <w:bCs/>
        <w:sz w:val="16"/>
        <w:szCs w:val="16"/>
      </w:rPr>
      <w:tab/>
      <w:t xml:space="preserve">Page </w:t>
    </w:r>
    <w:r>
      <w:rPr>
        <w:rFonts w:ascii="Arial" w:eastAsia="Verdana" w:hAnsi="Arial" w:cs="Verdana"/>
        <w:b/>
        <w:bCs/>
        <w:sz w:val="16"/>
        <w:szCs w:val="16"/>
      </w:rPr>
      <w:fldChar w:fldCharType="begin"/>
    </w:r>
    <w:r>
      <w:rPr>
        <w:rFonts w:ascii="Arial" w:eastAsia="Verdana" w:hAnsi="Arial" w:cs="Verdana"/>
        <w:b/>
        <w:bCs/>
        <w:sz w:val="16"/>
        <w:szCs w:val="16"/>
      </w:rPr>
      <w:instrText xml:space="preserve"> PAGE  \* Arabic  \* MERGEFORMAT </w:instrText>
    </w:r>
    <w:r>
      <w:rPr>
        <w:rFonts w:ascii="Arial" w:eastAsia="Verdana" w:hAnsi="Arial" w:cs="Verdana"/>
        <w:b/>
        <w:bCs/>
        <w:sz w:val="16"/>
        <w:szCs w:val="16"/>
      </w:rPr>
      <w:fldChar w:fldCharType="separate"/>
    </w:r>
    <w:r>
      <w:rPr>
        <w:rFonts w:ascii="Arial" w:eastAsia="Verdana" w:hAnsi="Arial" w:cs="Verdana"/>
        <w:b/>
        <w:bCs/>
        <w:sz w:val="16"/>
        <w:szCs w:val="16"/>
      </w:rPr>
      <w:t>2</w:t>
    </w:r>
    <w:r>
      <w:rPr>
        <w:rFonts w:ascii="Arial" w:eastAsia="Verdana" w:hAnsi="Arial" w:cs="Verdana"/>
        <w:b/>
        <w:bCs/>
        <w:sz w:val="16"/>
        <w:szCs w:val="16"/>
      </w:rPr>
      <w:fldChar w:fldCharType="end"/>
    </w:r>
    <w:r>
      <w:rPr>
        <w:rFonts w:ascii="Arial" w:eastAsia="Verdana" w:hAnsi="Arial" w:cs="Verdana"/>
        <w:b/>
        <w:bCs/>
        <w:sz w:val="16"/>
        <w:szCs w:val="16"/>
      </w:rPr>
      <w:t xml:space="preserve"> of </w:t>
    </w:r>
    <w:r>
      <w:rPr>
        <w:rFonts w:ascii="Arial" w:eastAsia="Verdana" w:hAnsi="Arial" w:cs="Verdana"/>
        <w:b/>
        <w:bCs/>
        <w:sz w:val="16"/>
        <w:szCs w:val="16"/>
      </w:rPr>
      <w:fldChar w:fldCharType="begin"/>
    </w:r>
    <w:r>
      <w:rPr>
        <w:rFonts w:ascii="Arial" w:eastAsia="Verdana" w:hAnsi="Arial" w:cs="Verdana"/>
        <w:b/>
        <w:bCs/>
        <w:sz w:val="16"/>
        <w:szCs w:val="16"/>
      </w:rPr>
      <w:instrText xml:space="preserve"> NUMPAGES  \* Arabic  \* MERGEFORMAT </w:instrText>
    </w:r>
    <w:r>
      <w:rPr>
        <w:rFonts w:ascii="Arial" w:eastAsia="Verdana" w:hAnsi="Arial" w:cs="Verdana"/>
        <w:b/>
        <w:bCs/>
        <w:sz w:val="16"/>
        <w:szCs w:val="16"/>
      </w:rPr>
      <w:fldChar w:fldCharType="separate"/>
    </w:r>
    <w:r>
      <w:rPr>
        <w:rFonts w:ascii="Arial" w:eastAsia="Verdana" w:hAnsi="Arial" w:cs="Verdana"/>
        <w:b/>
        <w:bCs/>
        <w:sz w:val="16"/>
        <w:szCs w:val="16"/>
      </w:rPr>
      <w:t>6</w:t>
    </w:r>
    <w:r>
      <w:rPr>
        <w:rFonts w:ascii="Arial" w:eastAsia="Verdana" w:hAnsi="Arial" w:cs="Verdana"/>
        <w:b/>
        <w:bCs/>
        <w:sz w:val="16"/>
        <w:szCs w:val="16"/>
      </w:rPr>
      <w:fldChar w:fldCharType="end"/>
    </w:r>
  </w:p>
  <w:p w14:paraId="6E9851EB" w14:textId="77777777" w:rsidR="004371A6" w:rsidRDefault="00437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E009" w14:textId="77777777" w:rsidR="00A14640" w:rsidRDefault="00A14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8F56" w14:textId="77777777" w:rsidR="003A36F8" w:rsidRDefault="003A36F8" w:rsidP="00E52C9A">
      <w:r>
        <w:separator/>
      </w:r>
    </w:p>
  </w:footnote>
  <w:footnote w:type="continuationSeparator" w:id="0">
    <w:p w14:paraId="3EFC0F99" w14:textId="77777777" w:rsidR="003A36F8" w:rsidRDefault="003A36F8"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BD3E" w14:textId="77777777" w:rsidR="00A14640" w:rsidRDefault="00A14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DD2B" w14:textId="77777777" w:rsidR="00A14640" w:rsidRDefault="00A14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9D2A" w14:textId="77777777" w:rsidR="00A14640" w:rsidRDefault="00A14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414689"/>
    <w:multiLevelType w:val="hybridMultilevel"/>
    <w:tmpl w:val="5A3A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3768D"/>
    <w:multiLevelType w:val="hybridMultilevel"/>
    <w:tmpl w:val="8762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84FB6"/>
    <w:multiLevelType w:val="hybridMultilevel"/>
    <w:tmpl w:val="859A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02D45"/>
    <w:multiLevelType w:val="hybridMultilevel"/>
    <w:tmpl w:val="9084B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95532"/>
    <w:multiLevelType w:val="hybridMultilevel"/>
    <w:tmpl w:val="55D4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BB5DA0"/>
    <w:multiLevelType w:val="hybridMultilevel"/>
    <w:tmpl w:val="ED58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78577193">
    <w:abstractNumId w:val="9"/>
  </w:num>
  <w:num w:numId="2" w16cid:durableId="127289251">
    <w:abstractNumId w:val="8"/>
  </w:num>
  <w:num w:numId="3" w16cid:durableId="449781562">
    <w:abstractNumId w:val="7"/>
  </w:num>
  <w:num w:numId="4" w16cid:durableId="978653821">
    <w:abstractNumId w:val="6"/>
  </w:num>
  <w:num w:numId="5" w16cid:durableId="1116829380">
    <w:abstractNumId w:val="5"/>
  </w:num>
  <w:num w:numId="6" w16cid:durableId="1288853149">
    <w:abstractNumId w:val="4"/>
  </w:num>
  <w:num w:numId="7" w16cid:durableId="741100042">
    <w:abstractNumId w:val="3"/>
  </w:num>
  <w:num w:numId="8" w16cid:durableId="255024208">
    <w:abstractNumId w:val="2"/>
  </w:num>
  <w:num w:numId="9" w16cid:durableId="334387302">
    <w:abstractNumId w:val="1"/>
  </w:num>
  <w:num w:numId="10" w16cid:durableId="1094207865">
    <w:abstractNumId w:val="0"/>
  </w:num>
  <w:num w:numId="11" w16cid:durableId="34551999">
    <w:abstractNumId w:val="18"/>
  </w:num>
  <w:num w:numId="12" w16cid:durableId="384453461">
    <w:abstractNumId w:val="16"/>
  </w:num>
  <w:num w:numId="13" w16cid:durableId="268662910">
    <w:abstractNumId w:val="15"/>
  </w:num>
  <w:num w:numId="14" w16cid:durableId="1879466553">
    <w:abstractNumId w:val="9"/>
  </w:num>
  <w:num w:numId="15" w16cid:durableId="1538854027">
    <w:abstractNumId w:val="8"/>
    <w:lvlOverride w:ilvl="0">
      <w:startOverride w:val="1"/>
    </w:lvlOverride>
  </w:num>
  <w:num w:numId="16" w16cid:durableId="1645310101">
    <w:abstractNumId w:val="12"/>
  </w:num>
  <w:num w:numId="17" w16cid:durableId="881939261">
    <w:abstractNumId w:val="14"/>
  </w:num>
  <w:num w:numId="18" w16cid:durableId="240451813">
    <w:abstractNumId w:val="11"/>
  </w:num>
  <w:num w:numId="19" w16cid:durableId="166944245">
    <w:abstractNumId w:val="17"/>
  </w:num>
  <w:num w:numId="20" w16cid:durableId="101847680">
    <w:abstractNumId w:val="13"/>
  </w:num>
  <w:num w:numId="21" w16cid:durableId="191562738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0NrKwNDIwMzA1MjNQ0lEKTi0uzszPAykwqQUAiyIjeSwAAAA="/>
  </w:docVars>
  <w:rsids>
    <w:rsidRoot w:val="00F036FA"/>
    <w:rsid w:val="000278E5"/>
    <w:rsid w:val="00037037"/>
    <w:rsid w:val="00051B7F"/>
    <w:rsid w:val="0007763E"/>
    <w:rsid w:val="00085775"/>
    <w:rsid w:val="000D7CC6"/>
    <w:rsid w:val="001135B1"/>
    <w:rsid w:val="00116413"/>
    <w:rsid w:val="00146941"/>
    <w:rsid w:val="001504A6"/>
    <w:rsid w:val="00164CE2"/>
    <w:rsid w:val="00174280"/>
    <w:rsid w:val="0017492A"/>
    <w:rsid w:val="001918A9"/>
    <w:rsid w:val="001C45E3"/>
    <w:rsid w:val="00244152"/>
    <w:rsid w:val="00246B61"/>
    <w:rsid w:val="00261265"/>
    <w:rsid w:val="00267310"/>
    <w:rsid w:val="002677C4"/>
    <w:rsid w:val="00274CF1"/>
    <w:rsid w:val="00285425"/>
    <w:rsid w:val="00297D38"/>
    <w:rsid w:val="002C68F3"/>
    <w:rsid w:val="00315557"/>
    <w:rsid w:val="00351FD0"/>
    <w:rsid w:val="003534C7"/>
    <w:rsid w:val="00393C75"/>
    <w:rsid w:val="003A36F8"/>
    <w:rsid w:val="003B41DF"/>
    <w:rsid w:val="003D7D1F"/>
    <w:rsid w:val="003F5ABB"/>
    <w:rsid w:val="00417619"/>
    <w:rsid w:val="004333E5"/>
    <w:rsid w:val="004371A6"/>
    <w:rsid w:val="0046089F"/>
    <w:rsid w:val="004A726B"/>
    <w:rsid w:val="004D2CA6"/>
    <w:rsid w:val="004F590D"/>
    <w:rsid w:val="00523CB4"/>
    <w:rsid w:val="00540447"/>
    <w:rsid w:val="005464F5"/>
    <w:rsid w:val="00550A48"/>
    <w:rsid w:val="00551787"/>
    <w:rsid w:val="0055212A"/>
    <w:rsid w:val="005B209C"/>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66398"/>
    <w:rsid w:val="007F1D92"/>
    <w:rsid w:val="0080785B"/>
    <w:rsid w:val="0085033F"/>
    <w:rsid w:val="008755F2"/>
    <w:rsid w:val="008E33DD"/>
    <w:rsid w:val="008E37F3"/>
    <w:rsid w:val="008E6CA0"/>
    <w:rsid w:val="008F4441"/>
    <w:rsid w:val="00932EE9"/>
    <w:rsid w:val="00935226"/>
    <w:rsid w:val="0094541B"/>
    <w:rsid w:val="00956600"/>
    <w:rsid w:val="0097286B"/>
    <w:rsid w:val="00996B99"/>
    <w:rsid w:val="009B2F42"/>
    <w:rsid w:val="00A03680"/>
    <w:rsid w:val="00A14640"/>
    <w:rsid w:val="00A2193F"/>
    <w:rsid w:val="00A75BA9"/>
    <w:rsid w:val="00A93375"/>
    <w:rsid w:val="00AB074C"/>
    <w:rsid w:val="00B02EAB"/>
    <w:rsid w:val="00B3681B"/>
    <w:rsid w:val="00B4403F"/>
    <w:rsid w:val="00B868F1"/>
    <w:rsid w:val="00B87258"/>
    <w:rsid w:val="00BC5B49"/>
    <w:rsid w:val="00BE39E1"/>
    <w:rsid w:val="00BF000E"/>
    <w:rsid w:val="00C072B4"/>
    <w:rsid w:val="00C548F4"/>
    <w:rsid w:val="00C95864"/>
    <w:rsid w:val="00CC59A8"/>
    <w:rsid w:val="00CC6108"/>
    <w:rsid w:val="00CD1501"/>
    <w:rsid w:val="00CE5D0A"/>
    <w:rsid w:val="00CF4CB6"/>
    <w:rsid w:val="00D262A5"/>
    <w:rsid w:val="00D44331"/>
    <w:rsid w:val="00D53F25"/>
    <w:rsid w:val="00D642CF"/>
    <w:rsid w:val="00D75CF2"/>
    <w:rsid w:val="00D9218C"/>
    <w:rsid w:val="00DB72FD"/>
    <w:rsid w:val="00DB788B"/>
    <w:rsid w:val="00DC278A"/>
    <w:rsid w:val="00DE5E09"/>
    <w:rsid w:val="00DE7C8C"/>
    <w:rsid w:val="00E14844"/>
    <w:rsid w:val="00E52C9A"/>
    <w:rsid w:val="00E760D5"/>
    <w:rsid w:val="00E93DEF"/>
    <w:rsid w:val="00EA1F7C"/>
    <w:rsid w:val="00EC4A25"/>
    <w:rsid w:val="00ED6998"/>
    <w:rsid w:val="00EF6A56"/>
    <w:rsid w:val="00F036FA"/>
    <w:rsid w:val="00F064B9"/>
    <w:rsid w:val="00F14AF7"/>
    <w:rsid w:val="00F56A6D"/>
    <w:rsid w:val="00F56E78"/>
    <w:rsid w:val="00F63A75"/>
    <w:rsid w:val="00F84C3B"/>
    <w:rsid w:val="00F86990"/>
    <w:rsid w:val="00FA1D63"/>
    <w:rsid w:val="00FB1DEC"/>
    <w:rsid w:val="00FB441C"/>
    <w:rsid w:val="00FF40C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0068"/>
  <w15:chartTrackingRefBased/>
  <w15:docId w15:val="{61A26790-B2F4-49EF-824A-E3BD7EFB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lsdException w:name="List Bullet" w:uiPriority="5"/>
    <w:lsdException w:name="List Number" w:uiPriority="5"/>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6" w:unhideWhenUsed="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CF2"/>
  </w:style>
  <w:style w:type="paragraph" w:styleId="Heading1">
    <w:name w:val="heading 1"/>
    <w:basedOn w:val="Title"/>
    <w:next w:val="Normal"/>
    <w:link w:val="Heading1Char"/>
    <w:uiPriority w:val="9"/>
    <w:qFormat/>
    <w:rsid w:val="00FB441C"/>
    <w:pPr>
      <w:jc w:val="center"/>
      <w:outlineLvl w:val="0"/>
    </w:pPr>
    <w:rPr>
      <w:sz w:val="24"/>
      <w:szCs w:val="24"/>
    </w:rPr>
  </w:style>
  <w:style w:type="paragraph" w:styleId="Heading2">
    <w:name w:val="heading 2"/>
    <w:basedOn w:val="Normal"/>
    <w:next w:val="Normal"/>
    <w:link w:val="Heading2Char"/>
    <w:uiPriority w:val="9"/>
    <w:unhideWhenUsed/>
    <w:qFormat/>
    <w:rsid w:val="0007763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07763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07763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07763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7763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7763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7763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7763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41C"/>
    <w:rPr>
      <w:rFonts w:asciiTheme="majorHAnsi" w:eastAsiaTheme="majorEastAsia" w:hAnsiTheme="majorHAnsi" w:cstheme="majorBidi"/>
      <w:b/>
      <w:spacing w:val="-7"/>
      <w:sz w:val="24"/>
      <w:szCs w:val="24"/>
    </w:rPr>
  </w:style>
  <w:style w:type="character" w:customStyle="1" w:styleId="Heading2Char">
    <w:name w:val="Heading 2 Char"/>
    <w:basedOn w:val="DefaultParagraphFont"/>
    <w:link w:val="Heading2"/>
    <w:uiPriority w:val="9"/>
    <w:rsid w:val="0007763E"/>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07763E"/>
    <w:rPr>
      <w:rFonts w:asciiTheme="majorHAnsi" w:eastAsiaTheme="majorEastAsia" w:hAnsiTheme="majorHAnsi" w:cstheme="majorBidi"/>
      <w:color w:val="404040" w:themeColor="text1" w:themeTint="BF"/>
      <w:sz w:val="26"/>
      <w:szCs w:val="26"/>
    </w:rPr>
  </w:style>
  <w:style w:type="paragraph" w:styleId="Title">
    <w:name w:val="Title"/>
    <w:basedOn w:val="Normal"/>
    <w:next w:val="Normal"/>
    <w:link w:val="TitleChar"/>
    <w:uiPriority w:val="10"/>
    <w:qFormat/>
    <w:rsid w:val="00D75CF2"/>
    <w:pPr>
      <w:spacing w:after="0" w:line="240" w:lineRule="auto"/>
      <w:contextualSpacing/>
    </w:pPr>
    <w:rPr>
      <w:rFonts w:asciiTheme="majorHAnsi" w:eastAsiaTheme="majorEastAsia" w:hAnsiTheme="majorHAnsi" w:cstheme="majorBidi"/>
      <w:b/>
      <w:spacing w:val="-7"/>
      <w:sz w:val="28"/>
      <w:szCs w:val="80"/>
    </w:rPr>
  </w:style>
  <w:style w:type="character" w:customStyle="1" w:styleId="TitleChar">
    <w:name w:val="Title Char"/>
    <w:basedOn w:val="DefaultParagraphFont"/>
    <w:link w:val="Title"/>
    <w:uiPriority w:val="10"/>
    <w:rsid w:val="00D75CF2"/>
    <w:rPr>
      <w:rFonts w:asciiTheme="majorHAnsi" w:eastAsiaTheme="majorEastAsia" w:hAnsiTheme="majorHAnsi" w:cstheme="majorBidi"/>
      <w:b/>
      <w:spacing w:val="-7"/>
      <w:sz w:val="28"/>
      <w:szCs w:val="80"/>
    </w:rPr>
  </w:style>
  <w:style w:type="paragraph" w:styleId="ListParagraph">
    <w:name w:val="List Paragraph"/>
    <w:basedOn w:val="BodyText"/>
    <w:uiPriority w:val="34"/>
    <w:qFormat/>
    <w:rsid w:val="00CC59A8"/>
    <w:pPr>
      <w:ind w:left="720"/>
      <w:contextualSpacing/>
    </w:pPr>
    <w:rPr>
      <w:rFonts w:asciiTheme="minorHAnsi" w:hAnsiTheme="minorHAnsi"/>
      <w:sz w:val="21"/>
    </w:rPr>
  </w:style>
  <w:style w:type="paragraph" w:styleId="BodyText">
    <w:name w:val="Body Text"/>
    <w:link w:val="BodyTextChar"/>
    <w:rsid w:val="0085033F"/>
    <w:rPr>
      <w:rFonts w:ascii="Lucida Bright" w:hAnsi="Lucida Bright"/>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rsid w:val="00CC59A8"/>
    <w:pPr>
      <w:ind w:left="360" w:hanging="360"/>
      <w:contextualSpacing/>
    </w:pPr>
  </w:style>
  <w:style w:type="paragraph" w:styleId="ListBullet">
    <w:name w:val="List Bullet"/>
    <w:basedOn w:val="BodyText"/>
    <w:uiPriority w:val="5"/>
    <w:rsid w:val="00CC59A8"/>
    <w:pPr>
      <w:numPr>
        <w:numId w:val="1"/>
      </w:numPr>
    </w:pPr>
  </w:style>
  <w:style w:type="paragraph" w:styleId="ListContinue">
    <w:name w:val="List Continue"/>
    <w:basedOn w:val="BodyText"/>
    <w:uiPriority w:val="6"/>
    <w:rsid w:val="00CC59A8"/>
    <w:pPr>
      <w:ind w:left="360"/>
    </w:pPr>
  </w:style>
  <w:style w:type="paragraph" w:styleId="ListNumber">
    <w:name w:val="List Number"/>
    <w:basedOn w:val="BodyText"/>
    <w:uiPriority w:val="5"/>
    <w:rsid w:val="00CC59A8"/>
    <w:pPr>
      <w:numPr>
        <w:numId w:val="2"/>
      </w:numPr>
    </w:pPr>
  </w:style>
  <w:style w:type="character" w:styleId="Emphasis">
    <w:name w:val="Emphasis"/>
    <w:basedOn w:val="DefaultParagraphFont"/>
    <w:uiPriority w:val="20"/>
    <w:qFormat/>
    <w:rsid w:val="0007763E"/>
    <w:rPr>
      <w:i/>
      <w:iCs/>
    </w:rPr>
  </w:style>
  <w:style w:type="character" w:styleId="Strong">
    <w:name w:val="Strong"/>
    <w:basedOn w:val="DefaultParagraphFont"/>
    <w:uiPriority w:val="22"/>
    <w:qFormat/>
    <w:rsid w:val="0007763E"/>
    <w:rPr>
      <w:b/>
      <w:bCs/>
    </w:rPr>
  </w:style>
  <w:style w:type="character" w:styleId="BookTitle">
    <w:name w:val="Book Title"/>
    <w:basedOn w:val="DefaultParagraphFont"/>
    <w:uiPriority w:val="33"/>
    <w:qFormat/>
    <w:rsid w:val="0007763E"/>
    <w:rPr>
      <w:b/>
      <w:bCs/>
      <w:smallCaps/>
    </w:rPr>
  </w:style>
  <w:style w:type="paragraph" w:styleId="Quote">
    <w:name w:val="Quote"/>
    <w:basedOn w:val="Normal"/>
    <w:next w:val="Normal"/>
    <w:link w:val="QuoteChar"/>
    <w:uiPriority w:val="29"/>
    <w:qFormat/>
    <w:rsid w:val="0007763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7763E"/>
    <w:rPr>
      <w:i/>
      <w:iCs/>
    </w:rPr>
  </w:style>
  <w:style w:type="character" w:customStyle="1" w:styleId="Heading4Char">
    <w:name w:val="Heading 4 Char"/>
    <w:basedOn w:val="DefaultParagraphFont"/>
    <w:link w:val="Heading4"/>
    <w:uiPriority w:val="9"/>
    <w:rsid w:val="0007763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07763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7763E"/>
    <w:rPr>
      <w:rFonts w:asciiTheme="majorHAnsi" w:eastAsiaTheme="majorEastAsia" w:hAnsiTheme="majorHAnsi" w:cstheme="majorBidi"/>
      <w:color w:val="595959" w:themeColor="text1" w:themeTint="A6"/>
    </w:rPr>
  </w:style>
  <w:style w:type="paragraph" w:styleId="Subtitle">
    <w:name w:val="Subtitle"/>
    <w:basedOn w:val="Normal"/>
    <w:next w:val="Normal"/>
    <w:link w:val="SubtitleChar"/>
    <w:uiPriority w:val="11"/>
    <w:qFormat/>
    <w:rsid w:val="0007763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7763E"/>
    <w:rPr>
      <w:rFonts w:asciiTheme="majorHAnsi" w:eastAsiaTheme="majorEastAsia" w:hAnsiTheme="majorHAnsi" w:cstheme="majorBidi"/>
      <w:color w:val="404040" w:themeColor="text1" w:themeTint="BF"/>
      <w:sz w:val="30"/>
      <w:szCs w:val="30"/>
    </w:rPr>
  </w:style>
  <w:style w:type="paragraph" w:styleId="IntenseQuote">
    <w:name w:val="Intense Quote"/>
    <w:basedOn w:val="Normal"/>
    <w:next w:val="Normal"/>
    <w:link w:val="IntenseQuoteChar"/>
    <w:uiPriority w:val="30"/>
    <w:qFormat/>
    <w:rsid w:val="0007763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07763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07763E"/>
    <w:rPr>
      <w:i/>
      <w:iCs/>
      <w:color w:val="595959" w:themeColor="text1" w:themeTint="A6"/>
    </w:rPr>
  </w:style>
  <w:style w:type="character" w:styleId="IntenseEmphasis">
    <w:name w:val="Intense Emphasis"/>
    <w:basedOn w:val="DefaultParagraphFont"/>
    <w:uiPriority w:val="21"/>
    <w:qFormat/>
    <w:rsid w:val="0007763E"/>
    <w:rPr>
      <w:b/>
      <w:bCs/>
      <w:i/>
      <w:iCs/>
    </w:rPr>
  </w:style>
  <w:style w:type="character" w:styleId="SubtleReference">
    <w:name w:val="Subtle Reference"/>
    <w:basedOn w:val="DefaultParagraphFont"/>
    <w:uiPriority w:val="31"/>
    <w:qFormat/>
    <w:rsid w:val="0007763E"/>
    <w:rPr>
      <w:smallCaps/>
      <w:color w:val="404040" w:themeColor="text1" w:themeTint="BF"/>
    </w:rPr>
  </w:style>
  <w:style w:type="character" w:styleId="IntenseReference">
    <w:name w:val="Intense Reference"/>
    <w:basedOn w:val="DefaultParagraphFont"/>
    <w:uiPriority w:val="32"/>
    <w:qFormat/>
    <w:rsid w:val="0007763E"/>
    <w:rPr>
      <w:b/>
      <w:bCs/>
      <w:smallCaps/>
      <w:u w:val="single"/>
    </w:rPr>
  </w:style>
  <w:style w:type="paragraph" w:styleId="Caption">
    <w:name w:val="caption"/>
    <w:basedOn w:val="Normal"/>
    <w:next w:val="Normal"/>
    <w:uiPriority w:val="35"/>
    <w:semiHidden/>
    <w:unhideWhenUsed/>
    <w:qFormat/>
    <w:rsid w:val="0007763E"/>
    <w:pPr>
      <w:spacing w:line="240" w:lineRule="auto"/>
    </w:pPr>
    <w:rPr>
      <w:b/>
      <w:bCs/>
      <w:color w:val="404040" w:themeColor="text1" w:themeTint="BF"/>
      <w:sz w:val="20"/>
      <w:szCs w:val="20"/>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
    <w:semiHidden/>
    <w:rsid w:val="0007763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7763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7763E"/>
    <w:rPr>
      <w:rFonts w:asciiTheme="majorHAnsi" w:eastAsiaTheme="majorEastAsia" w:hAnsiTheme="majorHAnsi" w:cstheme="majorBidi"/>
      <w:i/>
      <w:iCs/>
      <w:smallCaps/>
      <w:color w:val="595959" w:themeColor="text1" w:themeTint="A6"/>
    </w:rPr>
  </w:style>
  <w:style w:type="paragraph" w:styleId="BlockText">
    <w:name w:val="Block Text"/>
    <w:basedOn w:val="BodyText"/>
    <w:uiPriority w:val="1"/>
    <w:rsid w:val="00CC59A8"/>
    <w:pPr>
      <w:ind w:left="965"/>
    </w:pPr>
  </w:style>
  <w:style w:type="character" w:customStyle="1" w:styleId="ReferenceTitle">
    <w:name w:val="Reference Title"/>
    <w:uiPriority w:val="4"/>
    <w:unhideWhenUsed/>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after="60"/>
    </w:pPr>
    <w:rPr>
      <w:rFonts w:ascii="Lucida Bright" w:hAnsi="Lucida Bright"/>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ind w:left="720"/>
    </w:pPr>
  </w:style>
  <w:style w:type="paragraph" w:styleId="ListContinue3">
    <w:name w:val="List Continue 3"/>
    <w:basedOn w:val="Normal"/>
    <w:uiPriority w:val="6"/>
    <w:semiHidden/>
    <w:rsid w:val="00CC59A8"/>
    <w:pPr>
      <w:ind w:left="1080"/>
    </w:pPr>
  </w:style>
  <w:style w:type="paragraph" w:styleId="ListContinue4">
    <w:name w:val="List Continue 4"/>
    <w:basedOn w:val="Normal"/>
    <w:uiPriority w:val="6"/>
    <w:semiHidden/>
    <w:rsid w:val="00CC59A8"/>
    <w:pPr>
      <w:ind w:left="1440"/>
    </w:pPr>
  </w:style>
  <w:style w:type="paragraph" w:styleId="ListContinue5">
    <w:name w:val="List Continue 5"/>
    <w:basedOn w:val="Normal"/>
    <w:uiPriority w:val="6"/>
    <w:semiHidden/>
    <w:rsid w:val="00CC59A8"/>
    <w:pPr>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7763E"/>
    <w:pPr>
      <w:outlineLvl w:val="9"/>
    </w:pPr>
  </w:style>
  <w:style w:type="table" w:customStyle="1" w:styleId="TableGrid10">
    <w:name w:val="Table Grid1"/>
    <w:basedOn w:val="TableNormal"/>
    <w:next w:val="TableGrid"/>
    <w:rsid w:val="00F036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1501"/>
    <w:rPr>
      <w:color w:val="605E5C"/>
      <w:shd w:val="clear" w:color="auto" w:fill="E1DFDD"/>
    </w:rPr>
  </w:style>
  <w:style w:type="table" w:customStyle="1" w:styleId="TableGrid20">
    <w:name w:val="Table Grid2"/>
    <w:basedOn w:val="TableNormal"/>
    <w:next w:val="TableGrid"/>
    <w:rsid w:val="00DE5E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763E"/>
    <w:pPr>
      <w:spacing w:after="0" w:line="240" w:lineRule="auto"/>
    </w:pPr>
  </w:style>
  <w:style w:type="paragraph" w:styleId="Revision">
    <w:name w:val="Revision"/>
    <w:hidden/>
    <w:uiPriority w:val="99"/>
    <w:semiHidden/>
    <w:rsid w:val="00B87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TacPage?sl=R&amp;app=9&amp;p_dir=&amp;p_rloc=&amp;p_tloc=&amp;p_ploc=&amp;pg=1&amp;p_tac=&amp;ti=30&amp;pt=1&amp;ch=101&amp;rl=400" TargetMode="External"/><Relationship Id="rId13" Type="http://schemas.openxmlformats.org/officeDocument/2006/relationships/hyperlink" Target="https://www.tceq.texas.gov/airquality/banking/hrvoc_ept_prog.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ceq.texas.gov/airquality/banking/hrvoc_ept_prog.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reg.sos.state.tx.us/public/readtac$ext.TacPage?sl=R&amp;app=9&amp;p_dir=&amp;p_rloc=&amp;p_tloc=&amp;p_ploc=&amp;pg=1&amp;p_tac=&amp;ti=30&amp;pt=1&amp;ch=101&amp;rl=3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xreg.sos.state.tx.us/public/readtac$ext.ViewTAC?tac_view=4&amp;ti=30&amp;pt=1&amp;ch=11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3.tceq.texas.gov/steers/" TargetMode="External"/><Relationship Id="rId14" Type="http://schemas.openxmlformats.org/officeDocument/2006/relationships/hyperlink" Target="https://www.tceq.texas.gov/airquality/banking/hrvoc_ept_prog.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TCEQ-Highly Reactive Volatile Organic Compound Emissions Cap and Trade (HECT) Annual Compliance Reports Supporting Documentation Checklist for Vents</vt:lpstr>
    </vt:vector>
  </TitlesOfParts>
  <Manager>TCEQ</Manager>
  <Company>TCEQ</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20968 - Highly Reactive Volatile Organic Compound Emissions Cap and Trade (HECT) Annual Compliance Reports Supporting Documentation Checklist for Vents</dc:title>
  <dc:subject>TCEQ-Highly Reactive Volatile Organic Compound Emissions Cap and Trade (HECT) Annual Compliance Reports Supporting Documentation Checklist for Vents</dc:subject>
  <dc:creator>TCEQ</dc:creator>
  <cp:keywords>vents,certification program, STEERS, citations, highly, volatile, organic, compound, emission, cap, trade, HECT, annual, compliance, reports, supporting, documentation, checklist, documentation, data, facility, instructions, calculate, CEMS, and test</cp:keywords>
  <dc:description/>
  <cp:lastModifiedBy>Traci Spencer</cp:lastModifiedBy>
  <cp:revision>9</cp:revision>
  <dcterms:created xsi:type="dcterms:W3CDTF">2023-02-03T21:21:00Z</dcterms:created>
  <dcterms:modified xsi:type="dcterms:W3CDTF">2023-02-15T21:40:00Z</dcterms:modified>
</cp:coreProperties>
</file>