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A5EC" w14:textId="15FC9F37" w:rsidR="00855D2C" w:rsidRDefault="00041FE0" w:rsidP="0037135E">
      <w:pPr>
        <w:pStyle w:val="BodyText"/>
        <w:rPr>
          <w:rFonts w:ascii="Times New Roman"/>
          <w:sz w:val="12"/>
        </w:rPr>
      </w:pPr>
      <w:r>
        <w:rPr>
          <w:noProof/>
        </w:rPr>
        <w:drawing>
          <wp:inline distT="0" distB="0" distL="0" distR="0" wp14:anchorId="3AF6FBAF" wp14:editId="5FFB0B76">
            <wp:extent cx="1356360" cy="1356360"/>
            <wp:effectExtent l="0" t="0" r="0" b="0"/>
            <wp:docPr id="1" name="image1.jpeg" descr="TCEQ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CEQ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inline>
        </w:drawing>
      </w:r>
      <w:bookmarkStart w:id="0" w:name="Sample_Siting_Plan"/>
      <w:bookmarkStart w:id="1" w:name="Revised_Total_Coliform_Rule"/>
      <w:bookmarkStart w:id="2" w:name="Instructions"/>
      <w:bookmarkEnd w:id="0"/>
      <w:bookmarkEnd w:id="1"/>
      <w:bookmarkEnd w:id="2"/>
    </w:p>
    <w:p w14:paraId="3C9E2356" w14:textId="6785C53B" w:rsidR="00855D2C" w:rsidRPr="0037135E" w:rsidRDefault="006D0161" w:rsidP="00083934">
      <w:pPr>
        <w:pStyle w:val="Title"/>
        <w:spacing w:before="960"/>
        <w:ind w:left="562"/>
        <w:rPr>
          <w:sz w:val="52"/>
          <w:szCs w:val="52"/>
        </w:rPr>
        <w:sectPr w:rsidR="00855D2C" w:rsidRPr="0037135E" w:rsidSect="00180A94">
          <w:footerReference w:type="default" r:id="rId9"/>
          <w:type w:val="continuous"/>
          <w:pgSz w:w="12240" w:h="15840"/>
          <w:pgMar w:top="1440" w:right="1440" w:bottom="1440" w:left="1440" w:header="0" w:footer="307" w:gutter="0"/>
          <w:cols w:num="2" w:space="720" w:equalWidth="0">
            <w:col w:w="2203" w:space="40"/>
            <w:col w:w="7117"/>
          </w:cols>
          <w:docGrid w:linePitch="299"/>
        </w:sectPr>
      </w:pPr>
      <w:r>
        <w:rPr>
          <w:b w:val="0"/>
        </w:rPr>
        <w:br w:type="column"/>
      </w:r>
      <w:r w:rsidR="00D804B8" w:rsidRPr="00101042">
        <w:rPr>
          <w:sz w:val="52"/>
          <w:szCs w:val="52"/>
        </w:rPr>
        <w:t>Public Water System</w:t>
      </w:r>
      <w:r w:rsidR="00083934">
        <w:rPr>
          <w:sz w:val="52"/>
          <w:szCs w:val="52"/>
        </w:rPr>
        <w:t xml:space="preserve"> </w:t>
      </w:r>
      <w:r w:rsidR="00D804B8" w:rsidRPr="00101042">
        <w:rPr>
          <w:sz w:val="52"/>
          <w:szCs w:val="52"/>
        </w:rPr>
        <w:t xml:space="preserve">Monitoring </w:t>
      </w:r>
      <w:r w:rsidRPr="00101042">
        <w:rPr>
          <w:sz w:val="52"/>
          <w:szCs w:val="52"/>
        </w:rPr>
        <w:t>Plan</w:t>
      </w:r>
    </w:p>
    <w:p w14:paraId="5C0BD637" w14:textId="77A93B35" w:rsidR="00041FE0" w:rsidRDefault="006D0161" w:rsidP="00180A94">
      <w:pPr>
        <w:pStyle w:val="Heading1"/>
      </w:pPr>
      <w:bookmarkStart w:id="3" w:name="Public_Water_System_Information"/>
      <w:bookmarkEnd w:id="3"/>
      <w:r w:rsidRPr="00180A94">
        <w:t>Public Water System Information</w:t>
      </w:r>
    </w:p>
    <w:tbl>
      <w:tblPr>
        <w:tblStyle w:val="TableGrid"/>
        <w:tblW w:w="0" w:type="auto"/>
        <w:tblLook w:val="04A0" w:firstRow="1" w:lastRow="0" w:firstColumn="1" w:lastColumn="0" w:noHBand="0" w:noVBand="1"/>
      </w:tblPr>
      <w:tblGrid>
        <w:gridCol w:w="3055"/>
        <w:gridCol w:w="6210"/>
      </w:tblGrid>
      <w:tr w:rsidR="00180A94" w14:paraId="540E4E47" w14:textId="77777777" w:rsidTr="00210775">
        <w:tc>
          <w:tcPr>
            <w:tcW w:w="3055" w:type="dxa"/>
            <w:shd w:val="clear" w:color="auto" w:fill="D9D9D9" w:themeFill="background1" w:themeFillShade="D9"/>
            <w:vAlign w:val="center"/>
          </w:tcPr>
          <w:p w14:paraId="4EFEB380" w14:textId="3C47D9AC" w:rsidR="00180A94" w:rsidRDefault="00180A94" w:rsidP="00180A94">
            <w:pPr>
              <w:pStyle w:val="Header"/>
            </w:pPr>
            <w:r w:rsidRPr="00D33291">
              <w:t>Public Water System ID:</w:t>
            </w:r>
          </w:p>
        </w:tc>
        <w:tc>
          <w:tcPr>
            <w:tcW w:w="6210" w:type="dxa"/>
            <w:vAlign w:val="center"/>
          </w:tcPr>
          <w:p w14:paraId="1C390F57" w14:textId="77777777" w:rsidR="00180A94" w:rsidRDefault="00180A94" w:rsidP="00180A94">
            <w:pPr>
              <w:pStyle w:val="TableParagraph"/>
            </w:pPr>
          </w:p>
        </w:tc>
      </w:tr>
      <w:tr w:rsidR="00180A94" w14:paraId="5E75D5B9" w14:textId="77777777" w:rsidTr="00210775">
        <w:tc>
          <w:tcPr>
            <w:tcW w:w="3055" w:type="dxa"/>
            <w:shd w:val="clear" w:color="auto" w:fill="D9D9D9" w:themeFill="background1" w:themeFillShade="D9"/>
            <w:vAlign w:val="center"/>
          </w:tcPr>
          <w:p w14:paraId="43DDD32F" w14:textId="2B766F08" w:rsidR="00180A94" w:rsidRDefault="00180A94" w:rsidP="00180A94">
            <w:pPr>
              <w:pStyle w:val="Header"/>
            </w:pPr>
            <w:r w:rsidRPr="00D33291">
              <w:t>Public Water System Name:</w:t>
            </w:r>
          </w:p>
        </w:tc>
        <w:tc>
          <w:tcPr>
            <w:tcW w:w="6210" w:type="dxa"/>
            <w:vAlign w:val="center"/>
          </w:tcPr>
          <w:p w14:paraId="2FFB804D" w14:textId="77777777" w:rsidR="00180A94" w:rsidRDefault="00180A94" w:rsidP="00180A94">
            <w:pPr>
              <w:pStyle w:val="TableParagraph"/>
            </w:pPr>
          </w:p>
        </w:tc>
      </w:tr>
      <w:tr w:rsidR="00180A94" w14:paraId="60DA488A" w14:textId="77777777" w:rsidTr="00210775">
        <w:tc>
          <w:tcPr>
            <w:tcW w:w="3055" w:type="dxa"/>
            <w:shd w:val="clear" w:color="auto" w:fill="D9D9D9" w:themeFill="background1" w:themeFillShade="D9"/>
            <w:vAlign w:val="center"/>
          </w:tcPr>
          <w:p w14:paraId="69950C8C" w14:textId="798E4DAF" w:rsidR="00180A94" w:rsidRDefault="00180A94" w:rsidP="00180A94">
            <w:pPr>
              <w:pStyle w:val="Header"/>
            </w:pPr>
            <w:r w:rsidRPr="00D33291">
              <w:t>Effective Date:</w:t>
            </w:r>
          </w:p>
        </w:tc>
        <w:tc>
          <w:tcPr>
            <w:tcW w:w="6210" w:type="dxa"/>
            <w:vAlign w:val="center"/>
          </w:tcPr>
          <w:p w14:paraId="160F37BF" w14:textId="77777777" w:rsidR="00180A94" w:rsidRDefault="00180A94" w:rsidP="00180A94">
            <w:pPr>
              <w:pStyle w:val="TableParagraph"/>
            </w:pPr>
          </w:p>
        </w:tc>
      </w:tr>
    </w:tbl>
    <w:p w14:paraId="2FF3F873" w14:textId="02F5859A" w:rsidR="00F11815" w:rsidRPr="004D271E" w:rsidRDefault="004D271E" w:rsidP="00180A94">
      <w:pPr>
        <w:pStyle w:val="Heading1"/>
      </w:pPr>
      <w:r>
        <w:t>Water</w:t>
      </w:r>
      <w:r>
        <w:rPr>
          <w:spacing w:val="-2"/>
        </w:rPr>
        <w:t xml:space="preserve"> </w:t>
      </w:r>
      <w:r>
        <w:t xml:space="preserve">System </w:t>
      </w:r>
      <w:r w:rsidR="0044209E">
        <w:t xml:space="preserve">Primary </w:t>
      </w:r>
      <w:r>
        <w:t>Source Type</w:t>
      </w:r>
    </w:p>
    <w:p w14:paraId="41580A3D" w14:textId="7E7198CD" w:rsidR="00F11815" w:rsidRPr="004D271E" w:rsidRDefault="00393105" w:rsidP="0037135E">
      <w:pPr>
        <w:pStyle w:val="BodyText"/>
        <w:rPr>
          <w:b/>
          <w:bCs/>
        </w:rPr>
      </w:pPr>
      <w:r>
        <w:rPr>
          <w:rFonts w:ascii="Segoe UI" w:hAnsi="Segoe UI" w:cs="Segoe UI"/>
          <w:b/>
          <w:bCs/>
        </w:rPr>
        <w:fldChar w:fldCharType="begin">
          <w:ffData>
            <w:name w:val="Check1"/>
            <w:enabled/>
            <w:calcOnExit w:val="0"/>
            <w:checkBox>
              <w:sizeAuto/>
              <w:default w:val="0"/>
            </w:checkBox>
          </w:ffData>
        </w:fldChar>
      </w:r>
      <w:bookmarkStart w:id="4" w:name="Check1"/>
      <w:r>
        <w:rPr>
          <w:rFonts w:ascii="Segoe UI" w:hAnsi="Segoe UI" w:cs="Segoe UI"/>
          <w:b/>
          <w:bCs/>
        </w:rPr>
        <w:instrText xml:space="preserve"> FORMCHECKBOX </w:instrText>
      </w:r>
      <w:r w:rsidR="00083934">
        <w:rPr>
          <w:rFonts w:ascii="Segoe UI" w:hAnsi="Segoe UI" w:cs="Segoe UI"/>
          <w:b/>
          <w:bCs/>
        </w:rPr>
      </w:r>
      <w:r w:rsidR="00083934">
        <w:rPr>
          <w:rFonts w:ascii="Segoe UI" w:hAnsi="Segoe UI" w:cs="Segoe UI"/>
          <w:b/>
          <w:bCs/>
        </w:rPr>
        <w:fldChar w:fldCharType="separate"/>
      </w:r>
      <w:r>
        <w:rPr>
          <w:rFonts w:ascii="Segoe UI" w:hAnsi="Segoe UI" w:cs="Segoe UI"/>
          <w:b/>
          <w:bCs/>
        </w:rPr>
        <w:fldChar w:fldCharType="end"/>
      </w:r>
      <w:bookmarkEnd w:id="4"/>
      <w:r>
        <w:rPr>
          <w:rFonts w:ascii="Segoe UI" w:hAnsi="Segoe UI" w:cs="Segoe UI"/>
          <w:b/>
          <w:bCs/>
        </w:rPr>
        <w:t xml:space="preserve"> </w:t>
      </w:r>
      <w:r w:rsidR="00F11815" w:rsidRPr="004D271E">
        <w:t>Groundwater</w:t>
      </w:r>
    </w:p>
    <w:p w14:paraId="474DA0F8" w14:textId="7C6E828F" w:rsidR="00855D2C" w:rsidRDefault="00393105" w:rsidP="00180A94">
      <w:pPr>
        <w:pStyle w:val="BodyText"/>
        <w:spacing w:after="480"/>
      </w:pPr>
      <w:r>
        <w:fldChar w:fldCharType="begin">
          <w:ffData>
            <w:name w:val="Check2"/>
            <w:enabled/>
            <w:calcOnExit w:val="0"/>
            <w:checkBox>
              <w:sizeAuto/>
              <w:default w:val="0"/>
            </w:checkBox>
          </w:ffData>
        </w:fldChar>
      </w:r>
      <w:bookmarkStart w:id="5" w:name="Check2"/>
      <w:r>
        <w:instrText xml:space="preserve"> FORMCHECKBOX </w:instrText>
      </w:r>
      <w:r w:rsidR="00083934">
        <w:fldChar w:fldCharType="separate"/>
      </w:r>
      <w:r>
        <w:fldChar w:fldCharType="end"/>
      </w:r>
      <w:bookmarkEnd w:id="5"/>
      <w:r>
        <w:t xml:space="preserve"> </w:t>
      </w:r>
      <w:r w:rsidR="00F11815" w:rsidRPr="004D271E">
        <w:t>Purchased Water</w:t>
      </w:r>
    </w:p>
    <w:p w14:paraId="27289289" w14:textId="3203CA73" w:rsidR="0044209E" w:rsidRPr="004D271E" w:rsidRDefault="0044209E" w:rsidP="00180A94">
      <w:pPr>
        <w:pStyle w:val="Heading1"/>
      </w:pPr>
      <w:r>
        <w:t>Water</w:t>
      </w:r>
      <w:r>
        <w:rPr>
          <w:spacing w:val="-2"/>
        </w:rPr>
        <w:t xml:space="preserve"> </w:t>
      </w:r>
      <w:r>
        <w:t>System</w:t>
      </w:r>
      <w:r>
        <w:rPr>
          <w:spacing w:val="-6"/>
        </w:rPr>
        <w:t xml:space="preserve"> Type</w:t>
      </w:r>
    </w:p>
    <w:p w14:paraId="062D6C73" w14:textId="157505A3" w:rsidR="0044209E" w:rsidRPr="004D271E" w:rsidRDefault="00393105" w:rsidP="0037135E">
      <w:pPr>
        <w:pStyle w:val="BodyText"/>
        <w:rPr>
          <w:b/>
          <w:bCs/>
        </w:rPr>
      </w:pPr>
      <w:r>
        <w:rPr>
          <w:rFonts w:ascii="Segoe UI" w:hAnsi="Segoe UI" w:cs="Segoe UI"/>
          <w:b/>
          <w:bCs/>
        </w:rPr>
        <w:fldChar w:fldCharType="begin">
          <w:ffData>
            <w:name w:val="Check3"/>
            <w:enabled/>
            <w:calcOnExit w:val="0"/>
            <w:checkBox>
              <w:sizeAuto/>
              <w:default w:val="0"/>
            </w:checkBox>
          </w:ffData>
        </w:fldChar>
      </w:r>
      <w:bookmarkStart w:id="6" w:name="Check3"/>
      <w:r>
        <w:rPr>
          <w:rFonts w:ascii="Segoe UI" w:hAnsi="Segoe UI" w:cs="Segoe UI"/>
          <w:b/>
          <w:bCs/>
        </w:rPr>
        <w:instrText xml:space="preserve"> FORMCHECKBOX </w:instrText>
      </w:r>
      <w:r w:rsidR="00083934">
        <w:rPr>
          <w:rFonts w:ascii="Segoe UI" w:hAnsi="Segoe UI" w:cs="Segoe UI"/>
          <w:b/>
          <w:bCs/>
        </w:rPr>
      </w:r>
      <w:r w:rsidR="00083934">
        <w:rPr>
          <w:rFonts w:ascii="Segoe UI" w:hAnsi="Segoe UI" w:cs="Segoe UI"/>
          <w:b/>
          <w:bCs/>
        </w:rPr>
        <w:fldChar w:fldCharType="separate"/>
      </w:r>
      <w:r>
        <w:rPr>
          <w:rFonts w:ascii="Segoe UI" w:hAnsi="Segoe UI" w:cs="Segoe UI"/>
          <w:b/>
          <w:bCs/>
        </w:rPr>
        <w:fldChar w:fldCharType="end"/>
      </w:r>
      <w:bookmarkEnd w:id="6"/>
      <w:r>
        <w:rPr>
          <w:rFonts w:ascii="Segoe UI" w:hAnsi="Segoe UI" w:cs="Segoe UI"/>
          <w:b/>
          <w:bCs/>
        </w:rPr>
        <w:t xml:space="preserve"> </w:t>
      </w:r>
      <w:r w:rsidR="0044209E">
        <w:t>Community</w:t>
      </w:r>
    </w:p>
    <w:p w14:paraId="17A62E54" w14:textId="37162740" w:rsidR="0044209E" w:rsidRPr="004D271E" w:rsidRDefault="00393105" w:rsidP="0037135E">
      <w:pPr>
        <w:pStyle w:val="BodyText"/>
        <w:rPr>
          <w:b/>
          <w:bCs/>
        </w:rPr>
      </w:pPr>
      <w:r>
        <w:rPr>
          <w:rFonts w:ascii="MS Gothic" w:eastAsia="MS Gothic" w:hAnsi="MS Gothic"/>
          <w:b/>
          <w:bCs/>
        </w:rPr>
        <w:fldChar w:fldCharType="begin">
          <w:ffData>
            <w:name w:val="Check4"/>
            <w:enabled/>
            <w:calcOnExit w:val="0"/>
            <w:checkBox>
              <w:sizeAuto/>
              <w:default w:val="0"/>
            </w:checkBox>
          </w:ffData>
        </w:fldChar>
      </w:r>
      <w:bookmarkStart w:id="7" w:name="Check4"/>
      <w:r>
        <w:rPr>
          <w:rFonts w:ascii="MS Gothic" w:eastAsia="MS Gothic" w:hAnsi="MS Gothic"/>
          <w:b/>
          <w:bCs/>
        </w:rPr>
        <w:instrText xml:space="preserve"> </w:instrText>
      </w:r>
      <w:r>
        <w:rPr>
          <w:rFonts w:ascii="MS Gothic" w:eastAsia="MS Gothic" w:hAnsi="MS Gothic" w:hint="eastAsia"/>
          <w:b/>
          <w:bCs/>
        </w:rPr>
        <w:instrText>FORMCHECKBOX</w:instrText>
      </w:r>
      <w:r>
        <w:rPr>
          <w:rFonts w:ascii="MS Gothic" w:eastAsia="MS Gothic" w:hAnsi="MS Gothic"/>
          <w:b/>
          <w:bCs/>
        </w:rPr>
        <w:instrText xml:space="preserve"> </w:instrText>
      </w:r>
      <w:r w:rsidR="00083934">
        <w:rPr>
          <w:rFonts w:ascii="MS Gothic" w:eastAsia="MS Gothic" w:hAnsi="MS Gothic"/>
          <w:b/>
          <w:bCs/>
        </w:rPr>
      </w:r>
      <w:r w:rsidR="00083934">
        <w:rPr>
          <w:rFonts w:ascii="MS Gothic" w:eastAsia="MS Gothic" w:hAnsi="MS Gothic"/>
          <w:b/>
          <w:bCs/>
        </w:rPr>
        <w:fldChar w:fldCharType="separate"/>
      </w:r>
      <w:r>
        <w:rPr>
          <w:rFonts w:ascii="MS Gothic" w:eastAsia="MS Gothic" w:hAnsi="MS Gothic"/>
          <w:b/>
          <w:bCs/>
        </w:rPr>
        <w:fldChar w:fldCharType="end"/>
      </w:r>
      <w:bookmarkEnd w:id="7"/>
      <w:r>
        <w:rPr>
          <w:rFonts w:ascii="MS Gothic" w:eastAsia="MS Gothic" w:hAnsi="MS Gothic"/>
          <w:b/>
          <w:bCs/>
        </w:rPr>
        <w:t xml:space="preserve"> </w:t>
      </w:r>
      <w:r w:rsidR="0044209E">
        <w:t xml:space="preserve">Nontransient, Noncommunity </w:t>
      </w:r>
      <w:r w:rsidR="0044209E" w:rsidRPr="004D271E">
        <w:t>(</w:t>
      </w:r>
      <w:r w:rsidR="0044209E">
        <w:t>NTNC)</w:t>
      </w:r>
    </w:p>
    <w:p w14:paraId="370E89EA" w14:textId="77777777" w:rsidR="0044209E" w:rsidRDefault="00393105" w:rsidP="0037135E">
      <w:pPr>
        <w:pStyle w:val="BodyText"/>
      </w:pPr>
      <w:r>
        <w:rPr>
          <w:rFonts w:ascii="Segoe UI" w:hAnsi="Segoe UI" w:cs="Segoe UI"/>
          <w:b/>
          <w:bCs/>
        </w:rPr>
        <w:fldChar w:fldCharType="begin">
          <w:ffData>
            <w:name w:val="Check5"/>
            <w:enabled/>
            <w:calcOnExit w:val="0"/>
            <w:checkBox>
              <w:sizeAuto/>
              <w:default w:val="0"/>
            </w:checkBox>
          </w:ffData>
        </w:fldChar>
      </w:r>
      <w:bookmarkStart w:id="8" w:name="Check5"/>
      <w:r>
        <w:rPr>
          <w:rFonts w:ascii="Segoe UI" w:hAnsi="Segoe UI" w:cs="Segoe UI"/>
          <w:b/>
          <w:bCs/>
        </w:rPr>
        <w:instrText xml:space="preserve"> FORMCHECKBOX </w:instrText>
      </w:r>
      <w:r w:rsidR="00083934">
        <w:rPr>
          <w:rFonts w:ascii="Segoe UI" w:hAnsi="Segoe UI" w:cs="Segoe UI"/>
          <w:b/>
          <w:bCs/>
        </w:rPr>
      </w:r>
      <w:r w:rsidR="00083934">
        <w:rPr>
          <w:rFonts w:ascii="Segoe UI" w:hAnsi="Segoe UI" w:cs="Segoe UI"/>
          <w:b/>
          <w:bCs/>
        </w:rPr>
        <w:fldChar w:fldCharType="separate"/>
      </w:r>
      <w:r>
        <w:rPr>
          <w:rFonts w:ascii="Segoe UI" w:hAnsi="Segoe UI" w:cs="Segoe UI"/>
          <w:b/>
          <w:bCs/>
        </w:rPr>
        <w:fldChar w:fldCharType="end"/>
      </w:r>
      <w:bookmarkEnd w:id="8"/>
      <w:r>
        <w:rPr>
          <w:rFonts w:ascii="Segoe UI" w:hAnsi="Segoe UI" w:cs="Segoe UI"/>
          <w:b/>
          <w:bCs/>
        </w:rPr>
        <w:t xml:space="preserve"> </w:t>
      </w:r>
      <w:r w:rsidR="0044209E">
        <w:t>Transient Noncommunity (TNC)</w:t>
      </w:r>
    </w:p>
    <w:p w14:paraId="4EEE76DF" w14:textId="5D2CF05C" w:rsidR="006C0905" w:rsidRDefault="006C0905">
      <w:pPr>
        <w:rPr>
          <w:sz w:val="20"/>
          <w:szCs w:val="20"/>
        </w:rPr>
      </w:pPr>
      <w:r>
        <w:br w:type="page"/>
      </w:r>
    </w:p>
    <w:p w14:paraId="2D533582" w14:textId="7F37219C" w:rsidR="00855D2C" w:rsidRDefault="00150D02" w:rsidP="00180A94">
      <w:pPr>
        <w:pStyle w:val="Heading1"/>
      </w:pPr>
      <w:bookmarkStart w:id="9" w:name="Developing_your_SSP"/>
      <w:bookmarkEnd w:id="9"/>
      <w:r>
        <w:lastRenderedPageBreak/>
        <w:t>Introduction</w:t>
      </w:r>
    </w:p>
    <w:p w14:paraId="6C3896AA" w14:textId="1EB32D48" w:rsidR="00855D2C" w:rsidRDefault="00150D02">
      <w:pPr>
        <w:pStyle w:val="Heading2"/>
      </w:pPr>
      <w:bookmarkStart w:id="10" w:name="Select_Coliform_Sample_Sites"/>
      <w:bookmarkEnd w:id="10"/>
      <w:r>
        <w:t>Purpose of the Monitoring Plan</w:t>
      </w:r>
    </w:p>
    <w:p w14:paraId="51F8DAD0" w14:textId="1695310C" w:rsidR="00855D2C" w:rsidRPr="00393105" w:rsidRDefault="00150D02" w:rsidP="00393105">
      <w:pPr>
        <w:pStyle w:val="BodyText"/>
      </w:pPr>
      <w:r w:rsidRPr="00393105">
        <w:t xml:space="preserve">In according with Title 30 Texas Administrative Code (TAC) §290.121, every public water system must develop a monitoring plan. The plan shows how a system intends to comply with the monitoring requirements of the </w:t>
      </w:r>
      <w:r w:rsidRPr="00393105">
        <w:rPr>
          <w:rStyle w:val="Emphasis"/>
        </w:rPr>
        <w:t>Drinking Water Standards Governing Drinking Water Quality and Reporting Requirements for Public Water Systems</w:t>
      </w:r>
      <w:r w:rsidRPr="00393105">
        <w:t xml:space="preserve"> (30 TAC 290 Subchapter F). The plan is a system specific document which demonstrates that the monitoring performed by the system is representative of the water distributed to consumers and is consistent with regulatory requirements.</w:t>
      </w:r>
    </w:p>
    <w:p w14:paraId="59F91B93" w14:textId="2FD98CAB" w:rsidR="00855D2C" w:rsidRDefault="00186CF2">
      <w:pPr>
        <w:pStyle w:val="Heading2"/>
      </w:pPr>
      <w:bookmarkStart w:id="11" w:name="Generate_the_Distribution_System_Map"/>
      <w:bookmarkStart w:id="12" w:name="Monthly_Coliform_Sampling_Schedule"/>
      <w:bookmarkEnd w:id="11"/>
      <w:bookmarkEnd w:id="12"/>
      <w:r>
        <w:t>Submission to TCEQ</w:t>
      </w:r>
    </w:p>
    <w:p w14:paraId="14828F1B" w14:textId="0D8478AB" w:rsidR="00186CF2" w:rsidRDefault="00F32BC6" w:rsidP="0037135E">
      <w:pPr>
        <w:pStyle w:val="BodyText"/>
      </w:pPr>
      <w:r>
        <w:t xml:space="preserve">Groundwater (GW) or purchased water systems </w:t>
      </w:r>
      <w:r w:rsidR="003F006D">
        <w:t xml:space="preserve">are required to </w:t>
      </w:r>
      <w:r>
        <w:t>submit a monitoring plan</w:t>
      </w:r>
      <w:r w:rsidR="003F006D">
        <w:t xml:space="preserve"> to the executive director </w:t>
      </w:r>
      <w:r w:rsidR="00DF2E7A">
        <w:t xml:space="preserve">if </w:t>
      </w:r>
      <w:r w:rsidR="003F006D">
        <w:t>request</w:t>
      </w:r>
      <w:r w:rsidR="00DF2E7A">
        <w:t>ed, otherwise they must simply maintain an up-to-date plan locally</w:t>
      </w:r>
      <w:r>
        <w:t>. Systems that do not comply with submission requests are subject to a monitoring and reporting violation for failure to submit a monitoring plan.</w:t>
      </w:r>
    </w:p>
    <w:p w14:paraId="77B3868D" w14:textId="75B8C32C" w:rsidR="00186CF2" w:rsidRPr="006C0905" w:rsidRDefault="00186CF2" w:rsidP="0037135E">
      <w:pPr>
        <w:pStyle w:val="BodyText"/>
        <w:rPr>
          <w:rStyle w:val="Strong"/>
        </w:rPr>
      </w:pPr>
      <w:r w:rsidRPr="006C0905">
        <w:rPr>
          <w:rStyle w:val="Strong"/>
        </w:rPr>
        <w:t>Submit one (1) copy of the complete monitoring plan to</w:t>
      </w:r>
      <w:r w:rsidR="006C0905">
        <w:rPr>
          <w:rStyle w:val="Strong"/>
        </w:rPr>
        <w:t xml:space="preserve"> via email to </w:t>
      </w:r>
      <w:hyperlink r:id="rId10" w:history="1">
        <w:r w:rsidR="006C0905" w:rsidRPr="00A67FBF">
          <w:rPr>
            <w:rStyle w:val="Hyperlink"/>
          </w:rPr>
          <w:t>PDWS@tceq.texas.gov</w:t>
        </w:r>
      </w:hyperlink>
      <w:r w:rsidR="006C0905">
        <w:rPr>
          <w:rStyle w:val="Strong"/>
        </w:rPr>
        <w:t xml:space="preserve"> or by mail to</w:t>
      </w:r>
      <w:r w:rsidRPr="006C0905">
        <w:rPr>
          <w:rStyle w:val="Strong"/>
        </w:rPr>
        <w:t>:</w:t>
      </w:r>
    </w:p>
    <w:p w14:paraId="557767EC" w14:textId="197C2FC3" w:rsidR="00186CF2" w:rsidRDefault="006C0905" w:rsidP="0037135E">
      <w:pPr>
        <w:pStyle w:val="BodyText"/>
      </w:pPr>
      <w:r>
        <w:t>Monitoring Plan</w:t>
      </w:r>
      <w:r w:rsidR="00210775">
        <w:t>s</w:t>
      </w:r>
      <w:r>
        <w:t>, MC-155</w:t>
      </w:r>
      <w:r>
        <w:br/>
        <w:t>Drinking Water Special Functions Section</w:t>
      </w:r>
      <w:r>
        <w:br/>
        <w:t>TCEQ</w:t>
      </w:r>
      <w:r w:rsidR="00186CF2">
        <w:br/>
        <w:t>PO Box 13087</w:t>
      </w:r>
      <w:r w:rsidR="00186CF2">
        <w:br/>
        <w:t>Austin, TX 78711-3087</w:t>
      </w:r>
    </w:p>
    <w:p w14:paraId="11D9F303" w14:textId="1B468ED7" w:rsidR="00393105" w:rsidRDefault="00210775" w:rsidP="00210775">
      <w:pPr>
        <w:pStyle w:val="Heading1"/>
      </w:pPr>
      <w:r>
        <w:t xml:space="preserve">Texas </w:t>
      </w:r>
      <w:r w:rsidR="00393105" w:rsidRPr="00393105">
        <w:t>Drinking Water Watch</w:t>
      </w:r>
    </w:p>
    <w:p w14:paraId="5759E69F" w14:textId="59D0F808" w:rsidR="00210775" w:rsidRDefault="00393105" w:rsidP="0037135E">
      <w:pPr>
        <w:pStyle w:val="BodyText"/>
      </w:pPr>
      <w:r w:rsidRPr="00393105">
        <w:t>Th</w:t>
      </w:r>
      <w:r w:rsidR="00210775">
        <w:t>e</w:t>
      </w:r>
      <w:r w:rsidRPr="00393105">
        <w:t xml:space="preserve"> </w:t>
      </w:r>
      <w:r w:rsidR="00210775" w:rsidRPr="00210775">
        <w:t>Texas Drinking Water Watch</w:t>
      </w:r>
      <w:r w:rsidR="00210775">
        <w:t xml:space="preserve"> (DWW) </w:t>
      </w:r>
      <w:r w:rsidRPr="00393105">
        <w:t xml:space="preserve">database is viewable by the public and has important information to complete the monitoring plan such as contact information, source codes, and sample schedules. Be sure to verify that the information is correct by searching for your water system </w:t>
      </w:r>
      <w:r w:rsidR="00210775">
        <w:t xml:space="preserve">on DWW at: </w:t>
      </w:r>
      <w:hyperlink r:id="rId11" w:history="1">
        <w:r w:rsidR="00210775" w:rsidRPr="00A67FBF">
          <w:rPr>
            <w:rStyle w:val="Hyperlink"/>
          </w:rPr>
          <w:t>https://dww2.tceq.texas.gov/DWW/</w:t>
        </w:r>
      </w:hyperlink>
    </w:p>
    <w:p w14:paraId="3F545C3E" w14:textId="1C327908" w:rsidR="00E23D06" w:rsidRDefault="00393105" w:rsidP="0037135E">
      <w:pPr>
        <w:pStyle w:val="BodyText"/>
      </w:pPr>
      <w:r w:rsidRPr="00393105">
        <w:t xml:space="preserve">Please contact the TCEQ Inventory Team if you wish to update any data or information on the website: they can be reached via e-mail at </w:t>
      </w:r>
      <w:hyperlink r:id="rId12" w:history="1">
        <w:r w:rsidRPr="006A4EAF">
          <w:rPr>
            <w:rStyle w:val="Hyperlink"/>
          </w:rPr>
          <w:t>PWSINVEN@tceq.texas.gov</w:t>
        </w:r>
      </w:hyperlink>
      <w:r>
        <w:t xml:space="preserve"> </w:t>
      </w:r>
      <w:r w:rsidRPr="00393105">
        <w:t>or over the phone by calling (512)</w:t>
      </w:r>
      <w:r>
        <w:t xml:space="preserve"> </w:t>
      </w:r>
      <w:r w:rsidRPr="00393105">
        <w:t>239-4691</w:t>
      </w:r>
      <w:r>
        <w:t>.</w:t>
      </w:r>
    </w:p>
    <w:p w14:paraId="46B44E2F" w14:textId="77777777" w:rsidR="00E23D06" w:rsidRDefault="00E23D06">
      <w:pPr>
        <w:rPr>
          <w:sz w:val="20"/>
          <w:szCs w:val="20"/>
        </w:rPr>
      </w:pPr>
      <w:r>
        <w:br w:type="page"/>
      </w:r>
    </w:p>
    <w:p w14:paraId="66E90C46" w14:textId="5CDE8622" w:rsidR="008959A7" w:rsidRPr="00FA16B8" w:rsidRDefault="008959A7" w:rsidP="00180A94">
      <w:pPr>
        <w:pStyle w:val="Heading1"/>
      </w:pPr>
      <w:r w:rsidRPr="00FA16B8">
        <w:lastRenderedPageBreak/>
        <w:t>General Instructions</w:t>
      </w:r>
    </w:p>
    <w:p w14:paraId="7A5D85CB" w14:textId="6D760DAC" w:rsidR="008959A7" w:rsidRPr="00393105" w:rsidRDefault="008959A7" w:rsidP="00FA16B8">
      <w:pPr>
        <w:pStyle w:val="BodyText"/>
      </w:pPr>
      <w:r w:rsidRPr="00393105">
        <w:t xml:space="preserve">A copy of the </w:t>
      </w:r>
      <w:r w:rsidRPr="00393105">
        <w:rPr>
          <w:rStyle w:val="Emphasis"/>
        </w:rPr>
        <w:t>Drinking Water Standards Governing Drinking Water Quality and Reporting Requirements for Public Water Systems</w:t>
      </w:r>
      <w:r w:rsidRPr="00393105">
        <w:t xml:space="preserve"> (30 TAC 290 Subchapter F), can be accessed online </w:t>
      </w:r>
      <w:r w:rsidR="00393105">
        <w:t xml:space="preserve">TCEQ’s </w:t>
      </w:r>
      <w:r w:rsidR="00393105" w:rsidRPr="00393105">
        <w:t>Current Rules and Regulations</w:t>
      </w:r>
      <w:r w:rsidR="00393105">
        <w:t xml:space="preserve"> webpage at: </w:t>
      </w:r>
      <w:hyperlink r:id="rId13" w:history="1">
        <w:r w:rsidR="00393105" w:rsidRPr="006A4EAF">
          <w:rPr>
            <w:rStyle w:val="Hyperlink"/>
          </w:rPr>
          <w:t>https://www.tceq.texas.gov/rules/current.html</w:t>
        </w:r>
      </w:hyperlink>
    </w:p>
    <w:p w14:paraId="1B619DE2" w14:textId="673B15E1" w:rsidR="004E575B" w:rsidRDefault="004E575B" w:rsidP="00FA16B8">
      <w:pPr>
        <w:pStyle w:val="BodyText"/>
      </w:pPr>
      <w:bookmarkStart w:id="13" w:name="_Hlk100230903"/>
      <w:r>
        <w:t xml:space="preserve">There are inherently other documents that </w:t>
      </w:r>
      <w:r w:rsidR="00D72994">
        <w:t xml:space="preserve">complete the monitoring plan and should be included as </w:t>
      </w:r>
      <w:r w:rsidR="00D72994" w:rsidRPr="0037135E">
        <w:t>attachments</w:t>
      </w:r>
      <w:r w:rsidR="00D72994">
        <w:t xml:space="preserve"> to any copy of your system’s monitoring plan. These documents should already exist in the system’s files and will vary in size, appearance, and </w:t>
      </w:r>
      <w:r w:rsidR="00780AF2">
        <w:t xml:space="preserve">complexity. Examples of </w:t>
      </w:r>
      <w:r w:rsidR="00571721">
        <w:t>necessary</w:t>
      </w:r>
      <w:r w:rsidR="00780AF2">
        <w:t xml:space="preserve"> attachments </w:t>
      </w:r>
      <w:r w:rsidR="00035E4E">
        <w:t>are</w:t>
      </w:r>
      <w:r w:rsidR="00780AF2">
        <w:t xml:space="preserve"> a system’s Revised Total Coliform Rule (RTCR) sample siting plan, plant schematic(s), laboratory approval form, nitrification action plan (NAP), triggered source monitoring plan (TSMP)</w:t>
      </w:r>
      <w:r w:rsidR="00C40B6F">
        <w:t xml:space="preserve">, </w:t>
      </w:r>
      <w:r w:rsidR="00035E4E">
        <w:t>and any</w:t>
      </w:r>
      <w:r w:rsidR="00C40B6F">
        <w:t xml:space="preserve"> exception letters</w:t>
      </w:r>
      <w:r w:rsidR="00875A78">
        <w:t xml:space="preserve"> a system has been granted by the TCEQ</w:t>
      </w:r>
      <w:r w:rsidR="00C40B6F">
        <w:t>.</w:t>
      </w:r>
    </w:p>
    <w:bookmarkEnd w:id="13"/>
    <w:p w14:paraId="1056CB4A" w14:textId="1EB09EBA" w:rsidR="00C04924" w:rsidRDefault="00C04924" w:rsidP="00FA16B8">
      <w:pPr>
        <w:pStyle w:val="BodyText"/>
        <w:spacing w:after="240"/>
      </w:pPr>
      <w:r>
        <w:t xml:space="preserve">All systems shall complete the Points of Contact, Sources, Entry Point, and Distribution sections. If the system adds treatment to </w:t>
      </w:r>
      <w:r w:rsidR="009E37BB">
        <w:t xml:space="preserve">either </w:t>
      </w:r>
      <w:r>
        <w:t xml:space="preserve">raw water or </w:t>
      </w:r>
      <w:r w:rsidR="009E37BB">
        <w:t xml:space="preserve">to already </w:t>
      </w:r>
      <w:r>
        <w:t>treated water, then the Treatment section also needs to be completed.</w:t>
      </w:r>
    </w:p>
    <w:tbl>
      <w:tblPr>
        <w:tblStyle w:val="TableGrid"/>
        <w:tblW w:w="0" w:type="auto"/>
        <w:tblLook w:val="04A0" w:firstRow="1" w:lastRow="0" w:firstColumn="1" w:lastColumn="0" w:noHBand="0" w:noVBand="1"/>
      </w:tblPr>
      <w:tblGrid>
        <w:gridCol w:w="3055"/>
        <w:gridCol w:w="6295"/>
      </w:tblGrid>
      <w:tr w:rsidR="006C0905" w14:paraId="282ED47E" w14:textId="77777777" w:rsidTr="006C0905">
        <w:tc>
          <w:tcPr>
            <w:tcW w:w="3055" w:type="dxa"/>
            <w:shd w:val="clear" w:color="auto" w:fill="D9D9D9" w:themeFill="background1" w:themeFillShade="D9"/>
          </w:tcPr>
          <w:p w14:paraId="6A20CAB5" w14:textId="30718393" w:rsidR="006C0905" w:rsidRDefault="006C0905" w:rsidP="006C0905">
            <w:pPr>
              <w:pStyle w:val="Header"/>
            </w:pPr>
            <w:r w:rsidRPr="00DE6A8A">
              <w:t>Type of System</w:t>
            </w:r>
          </w:p>
        </w:tc>
        <w:tc>
          <w:tcPr>
            <w:tcW w:w="6295" w:type="dxa"/>
            <w:shd w:val="clear" w:color="auto" w:fill="D9D9D9" w:themeFill="background1" w:themeFillShade="D9"/>
          </w:tcPr>
          <w:p w14:paraId="070D66D6" w14:textId="0DD16B0F" w:rsidR="006C0905" w:rsidRDefault="006C0905" w:rsidP="006C0905">
            <w:pPr>
              <w:pStyle w:val="Header"/>
            </w:pPr>
            <w:r w:rsidRPr="00DE6A8A">
              <w:t>Rules Applicable to System</w:t>
            </w:r>
          </w:p>
        </w:tc>
      </w:tr>
      <w:tr w:rsidR="006C0905" w14:paraId="23546F25" w14:textId="77777777" w:rsidTr="006C0905">
        <w:tc>
          <w:tcPr>
            <w:tcW w:w="3055" w:type="dxa"/>
          </w:tcPr>
          <w:p w14:paraId="279ABAD2" w14:textId="3604CAF5" w:rsidR="006C0905" w:rsidRDefault="006C0905" w:rsidP="006C0905">
            <w:pPr>
              <w:pStyle w:val="Header"/>
            </w:pPr>
            <w:r w:rsidRPr="00DE6A8A">
              <w:t>Groundwater Community / Nontransient Noncommunity</w:t>
            </w:r>
          </w:p>
        </w:tc>
        <w:tc>
          <w:tcPr>
            <w:tcW w:w="6295" w:type="dxa"/>
          </w:tcPr>
          <w:p w14:paraId="75FDC3FB" w14:textId="70EAEECB" w:rsidR="006C0905" w:rsidRDefault="006C0905" w:rsidP="006C0905">
            <w:pPr>
              <w:pStyle w:val="TableParagraph"/>
            </w:pPr>
            <w:r w:rsidRPr="00DE6A8A">
              <w:t>Groundwater Rule | Inorganics, Organics, and Radionuclides | Revised Total Coliform Rule | Disinfectant Residual Monitoring | Disinfection Byproducts | Lead and Copper Rule | Laboratory Information</w:t>
            </w:r>
          </w:p>
        </w:tc>
      </w:tr>
      <w:tr w:rsidR="006C0905" w14:paraId="1AC2553C" w14:textId="77777777" w:rsidTr="006C0905">
        <w:tc>
          <w:tcPr>
            <w:tcW w:w="3055" w:type="dxa"/>
          </w:tcPr>
          <w:p w14:paraId="793894C3" w14:textId="7FD7E11F" w:rsidR="006C0905" w:rsidRDefault="006C0905" w:rsidP="006C0905">
            <w:pPr>
              <w:pStyle w:val="Header"/>
            </w:pPr>
            <w:r w:rsidRPr="00DE6A8A">
              <w:t>Purchased Water Community / Nontransient Noncommunity</w:t>
            </w:r>
          </w:p>
        </w:tc>
        <w:tc>
          <w:tcPr>
            <w:tcW w:w="6295" w:type="dxa"/>
          </w:tcPr>
          <w:p w14:paraId="0AAFF122" w14:textId="17E45A60" w:rsidR="006C0905" w:rsidRDefault="006C0905" w:rsidP="006C0905">
            <w:pPr>
              <w:pStyle w:val="TableParagraph"/>
            </w:pPr>
            <w:r w:rsidRPr="00DE6A8A">
              <w:t>Inorganics, Organics, and Radionuclides | Revised Total Coliform Rule | Disinfectant Residual Monitoring | Disinfection Byproducts | Lead and Copper Rule | Laboratory Information</w:t>
            </w:r>
          </w:p>
        </w:tc>
      </w:tr>
      <w:tr w:rsidR="006C0905" w14:paraId="39CB8E02" w14:textId="77777777" w:rsidTr="006C0905">
        <w:tc>
          <w:tcPr>
            <w:tcW w:w="3055" w:type="dxa"/>
          </w:tcPr>
          <w:p w14:paraId="2C4C94E6" w14:textId="2E6BCEF2" w:rsidR="006C0905" w:rsidRDefault="006C0905" w:rsidP="006C0905">
            <w:pPr>
              <w:pStyle w:val="Header"/>
            </w:pPr>
            <w:r w:rsidRPr="00DE6A8A">
              <w:t>Groundwater Transient Noncommunity</w:t>
            </w:r>
          </w:p>
        </w:tc>
        <w:tc>
          <w:tcPr>
            <w:tcW w:w="6295" w:type="dxa"/>
          </w:tcPr>
          <w:p w14:paraId="10F8F494" w14:textId="78EEEAFC" w:rsidR="006C0905" w:rsidRDefault="006C0905" w:rsidP="006C0905">
            <w:pPr>
              <w:pStyle w:val="TableParagraph"/>
            </w:pPr>
            <w:r w:rsidRPr="00DE6A8A">
              <w:t>Groundwater Rule | Inorganics, Organics, and Radionuclides | Revised Total Coliform Rule | Disinfectant Residual Monitoring | Laboratory Information</w:t>
            </w:r>
          </w:p>
        </w:tc>
      </w:tr>
      <w:tr w:rsidR="006C0905" w14:paraId="3339ED89" w14:textId="77777777" w:rsidTr="006C0905">
        <w:tc>
          <w:tcPr>
            <w:tcW w:w="3055" w:type="dxa"/>
          </w:tcPr>
          <w:p w14:paraId="5113BE10" w14:textId="00B9B3EC" w:rsidR="006C0905" w:rsidRDefault="006C0905" w:rsidP="006C0905">
            <w:pPr>
              <w:pStyle w:val="Header"/>
            </w:pPr>
            <w:r w:rsidRPr="00DE6A8A">
              <w:t>Purchased Transient Noncommunity</w:t>
            </w:r>
          </w:p>
        </w:tc>
        <w:tc>
          <w:tcPr>
            <w:tcW w:w="6295" w:type="dxa"/>
          </w:tcPr>
          <w:p w14:paraId="7D6F55C2" w14:textId="6F380746" w:rsidR="006C0905" w:rsidRDefault="006C0905" w:rsidP="006C0905">
            <w:pPr>
              <w:pStyle w:val="TableParagraph"/>
            </w:pPr>
            <w:r w:rsidRPr="00DE6A8A">
              <w:t>Inorganics, Organics, and Radionuclides | Revised Total Coliform Rule | Disinfectant Residual Monitoring | Laboratory Information</w:t>
            </w:r>
          </w:p>
        </w:tc>
      </w:tr>
      <w:tr w:rsidR="006C0905" w14:paraId="7CEDA742" w14:textId="77777777" w:rsidTr="006C0905">
        <w:tc>
          <w:tcPr>
            <w:tcW w:w="3055" w:type="dxa"/>
          </w:tcPr>
          <w:p w14:paraId="505A7690" w14:textId="537BFE84" w:rsidR="006C0905" w:rsidRDefault="006C0905" w:rsidP="006C0905">
            <w:pPr>
              <w:pStyle w:val="Header"/>
            </w:pPr>
            <w:r w:rsidRPr="00DE6A8A">
              <w:t>Type of System</w:t>
            </w:r>
          </w:p>
        </w:tc>
        <w:tc>
          <w:tcPr>
            <w:tcW w:w="6295" w:type="dxa"/>
          </w:tcPr>
          <w:p w14:paraId="39834B54" w14:textId="56DFFD85" w:rsidR="006C0905" w:rsidRDefault="006C0905" w:rsidP="006C0905">
            <w:pPr>
              <w:pStyle w:val="TableParagraph"/>
            </w:pPr>
            <w:r w:rsidRPr="00DE6A8A">
              <w:t>Rules Applicable to System</w:t>
            </w:r>
          </w:p>
        </w:tc>
      </w:tr>
    </w:tbl>
    <w:p w14:paraId="2D55A3A5" w14:textId="466EB7E9" w:rsidR="005E0DF7" w:rsidRDefault="005E0DF7" w:rsidP="00180A94">
      <w:pPr>
        <w:pStyle w:val="Heading1"/>
      </w:pPr>
      <w:r>
        <w:t>Schematics and Maps</w:t>
      </w:r>
    </w:p>
    <w:p w14:paraId="486B9545" w14:textId="4367D2EE" w:rsidR="000277FD" w:rsidRPr="0037135E" w:rsidRDefault="005E0DF7" w:rsidP="00FA16B8">
      <w:pPr>
        <w:pStyle w:val="BodyText"/>
      </w:pPr>
      <w:r w:rsidRPr="0037135E">
        <w:t>Per §290.121(b)(1)(A), the location of each sampling site at a treatment plant or pump station must be designated on a plant schematic. The plant schematic must show all water pumps, flow meters, unit processes, chemical feed points and chemical monitoring points. The plant schematic must also show the origin of any flow stream that is recycled at the treatment plant, any pretreatment that occurs before the recycled stream is returned to the primary treatment process, and the location where the recycled stream is reintroduced to the primary treatment process.</w:t>
      </w:r>
    </w:p>
    <w:p w14:paraId="75814347" w14:textId="5256D676" w:rsidR="000277FD" w:rsidRPr="0037135E" w:rsidRDefault="000277FD" w:rsidP="00FA16B8">
      <w:pPr>
        <w:pStyle w:val="BodyText"/>
      </w:pPr>
      <w:r w:rsidRPr="0037135E">
        <w:t>Public water systems are required to provide a process schematic of each contributing water plant in a completed monitoring plan.</w:t>
      </w:r>
    </w:p>
    <w:p w14:paraId="1297579F" w14:textId="53091F8A" w:rsidR="00E23D06" w:rsidRDefault="000277FD" w:rsidP="00E23D06">
      <w:pPr>
        <w:pStyle w:val="BodyText"/>
        <w:rPr>
          <w:rStyle w:val="Strong"/>
        </w:rPr>
      </w:pPr>
      <w:r w:rsidRPr="0037135E">
        <w:rPr>
          <w:rStyle w:val="Strong"/>
        </w:rPr>
        <w:t>Failure to include a schematic of the treatment plant(s) will classify the monitoring plan as administratively incomplete.</w:t>
      </w:r>
      <w:r w:rsidR="00E23D06">
        <w:rPr>
          <w:rStyle w:val="Strong"/>
        </w:rPr>
        <w:br w:type="page"/>
      </w:r>
    </w:p>
    <w:p w14:paraId="3B1A733E" w14:textId="608D4647" w:rsidR="00855D2C" w:rsidRDefault="009A4F48" w:rsidP="00180A94">
      <w:pPr>
        <w:pStyle w:val="Heading1"/>
      </w:pPr>
      <w:r>
        <w:lastRenderedPageBreak/>
        <w:t>Section Glossary</w:t>
      </w:r>
    </w:p>
    <w:tbl>
      <w:tblPr>
        <w:tblStyle w:val="TableGrid"/>
        <w:tblW w:w="0" w:type="auto"/>
        <w:tblLook w:val="04A0" w:firstRow="1" w:lastRow="0" w:firstColumn="1" w:lastColumn="0" w:noHBand="0" w:noVBand="1"/>
      </w:tblPr>
      <w:tblGrid>
        <w:gridCol w:w="2425"/>
        <w:gridCol w:w="6925"/>
      </w:tblGrid>
      <w:tr w:rsidR="006C0905" w14:paraId="22E20F22" w14:textId="77777777" w:rsidTr="006C0905">
        <w:tc>
          <w:tcPr>
            <w:tcW w:w="2425" w:type="dxa"/>
            <w:shd w:val="clear" w:color="auto" w:fill="D9D9D9" w:themeFill="background1" w:themeFillShade="D9"/>
            <w:vAlign w:val="center"/>
          </w:tcPr>
          <w:p w14:paraId="370F18E0" w14:textId="11D9D436" w:rsidR="006C0905" w:rsidRPr="009A3BD0" w:rsidRDefault="006C0905" w:rsidP="006C0905">
            <w:pPr>
              <w:pStyle w:val="Header"/>
            </w:pPr>
            <w:r w:rsidRPr="006C0905">
              <w:t>Term</w:t>
            </w:r>
          </w:p>
        </w:tc>
        <w:tc>
          <w:tcPr>
            <w:tcW w:w="6925" w:type="dxa"/>
            <w:shd w:val="clear" w:color="auto" w:fill="D9D9D9" w:themeFill="background1" w:themeFillShade="D9"/>
            <w:vAlign w:val="center"/>
          </w:tcPr>
          <w:p w14:paraId="593A0BC3" w14:textId="42513859" w:rsidR="006C0905" w:rsidRDefault="006C0905" w:rsidP="006C0905">
            <w:pPr>
              <w:pStyle w:val="Header"/>
            </w:pPr>
            <w:r w:rsidRPr="006C0905">
              <w:t>Definition</w:t>
            </w:r>
          </w:p>
        </w:tc>
      </w:tr>
      <w:tr w:rsidR="006C0905" w14:paraId="6AB68920" w14:textId="77777777" w:rsidTr="006C0905">
        <w:tc>
          <w:tcPr>
            <w:tcW w:w="2425" w:type="dxa"/>
            <w:vAlign w:val="center"/>
          </w:tcPr>
          <w:p w14:paraId="3EBDF392" w14:textId="7C45A296" w:rsidR="006C0905" w:rsidRPr="006C0905" w:rsidRDefault="006C0905" w:rsidP="006C0905">
            <w:pPr>
              <w:pStyle w:val="TableParagraph"/>
              <w:rPr>
                <w:rStyle w:val="Emphasis"/>
              </w:rPr>
            </w:pPr>
            <w:r w:rsidRPr="006C0905">
              <w:rPr>
                <w:rStyle w:val="Emphasis"/>
              </w:rPr>
              <w:t>Points of Contact</w:t>
            </w:r>
          </w:p>
        </w:tc>
        <w:tc>
          <w:tcPr>
            <w:tcW w:w="6925" w:type="dxa"/>
            <w:vAlign w:val="center"/>
          </w:tcPr>
          <w:p w14:paraId="1836004F" w14:textId="167B4689" w:rsidR="006C0905" w:rsidRDefault="006C0905" w:rsidP="006C0905">
            <w:pPr>
              <w:pStyle w:val="TableParagraph"/>
            </w:pPr>
            <w:r w:rsidRPr="00761B48">
              <w:t>List any relevant contacts associated with the public water system.</w:t>
            </w:r>
          </w:p>
        </w:tc>
      </w:tr>
      <w:tr w:rsidR="006C0905" w14:paraId="589BB3B7" w14:textId="77777777" w:rsidTr="006C0905">
        <w:tc>
          <w:tcPr>
            <w:tcW w:w="2425" w:type="dxa"/>
            <w:vAlign w:val="center"/>
          </w:tcPr>
          <w:p w14:paraId="77B773D4" w14:textId="4B09090A" w:rsidR="006C0905" w:rsidRPr="006C0905" w:rsidRDefault="006C0905" w:rsidP="006C0905">
            <w:pPr>
              <w:pStyle w:val="TableParagraph"/>
              <w:rPr>
                <w:rStyle w:val="Emphasis"/>
              </w:rPr>
            </w:pPr>
            <w:r w:rsidRPr="006C0905">
              <w:rPr>
                <w:rStyle w:val="Emphasis"/>
              </w:rPr>
              <w:t>Source Details</w:t>
            </w:r>
          </w:p>
        </w:tc>
        <w:tc>
          <w:tcPr>
            <w:tcW w:w="6925" w:type="dxa"/>
            <w:vAlign w:val="center"/>
          </w:tcPr>
          <w:p w14:paraId="53E378BC" w14:textId="34AC9089" w:rsidR="006C0905" w:rsidRDefault="006C0905" w:rsidP="006C0905">
            <w:pPr>
              <w:pStyle w:val="TableParagraph"/>
            </w:pPr>
            <w:r w:rsidRPr="00761B48">
              <w:t>All sources, including emergency or seasonal, should be included.</w:t>
            </w:r>
          </w:p>
        </w:tc>
      </w:tr>
      <w:tr w:rsidR="006C0905" w14:paraId="5575E4AE" w14:textId="77777777" w:rsidTr="006C0905">
        <w:tc>
          <w:tcPr>
            <w:tcW w:w="2425" w:type="dxa"/>
            <w:vAlign w:val="center"/>
          </w:tcPr>
          <w:p w14:paraId="684A5124" w14:textId="1C7A5F38" w:rsidR="006C0905" w:rsidRPr="006C0905" w:rsidRDefault="006C0905" w:rsidP="006C0905">
            <w:pPr>
              <w:pStyle w:val="TableParagraph"/>
              <w:rPr>
                <w:rStyle w:val="Emphasis"/>
              </w:rPr>
            </w:pPr>
            <w:r w:rsidRPr="006C0905">
              <w:rPr>
                <w:rStyle w:val="Emphasis"/>
              </w:rPr>
              <w:t>Treatment Details</w:t>
            </w:r>
          </w:p>
        </w:tc>
        <w:tc>
          <w:tcPr>
            <w:tcW w:w="6925" w:type="dxa"/>
            <w:vAlign w:val="center"/>
          </w:tcPr>
          <w:p w14:paraId="0617ADDF" w14:textId="1DA39640" w:rsidR="006C0905" w:rsidRDefault="006C0905" w:rsidP="006C0905">
            <w:pPr>
              <w:pStyle w:val="TableParagraph"/>
            </w:pPr>
            <w:r w:rsidRPr="00761B48">
              <w:t>Mention any treatment process applied by the system.</w:t>
            </w:r>
          </w:p>
        </w:tc>
      </w:tr>
      <w:tr w:rsidR="006C0905" w14:paraId="47091626" w14:textId="77777777" w:rsidTr="006C0905">
        <w:tc>
          <w:tcPr>
            <w:tcW w:w="2425" w:type="dxa"/>
            <w:vAlign w:val="center"/>
          </w:tcPr>
          <w:p w14:paraId="26D2C88B" w14:textId="3A7CEA6D" w:rsidR="006C0905" w:rsidRPr="006C0905" w:rsidRDefault="006C0905" w:rsidP="006C0905">
            <w:pPr>
              <w:pStyle w:val="TableParagraph"/>
              <w:rPr>
                <w:rStyle w:val="Emphasis"/>
              </w:rPr>
            </w:pPr>
            <w:r w:rsidRPr="006C0905">
              <w:rPr>
                <w:rStyle w:val="Emphasis"/>
              </w:rPr>
              <w:t>Entry Point and Distribution Details</w:t>
            </w:r>
          </w:p>
        </w:tc>
        <w:tc>
          <w:tcPr>
            <w:tcW w:w="6925" w:type="dxa"/>
            <w:vAlign w:val="center"/>
          </w:tcPr>
          <w:p w14:paraId="7F645475" w14:textId="653A3555" w:rsidR="006C0905" w:rsidRDefault="006C0905" w:rsidP="006C0905">
            <w:pPr>
              <w:pStyle w:val="TableParagraph"/>
            </w:pPr>
            <w:r w:rsidRPr="00761B48">
              <w:t>Give the specific location for each entry point to the distribution system and general distribution system information.</w:t>
            </w:r>
          </w:p>
        </w:tc>
      </w:tr>
      <w:tr w:rsidR="006C0905" w14:paraId="4E4CC693" w14:textId="77777777" w:rsidTr="006C0905">
        <w:tc>
          <w:tcPr>
            <w:tcW w:w="2425" w:type="dxa"/>
            <w:vAlign w:val="center"/>
          </w:tcPr>
          <w:p w14:paraId="42A37D35" w14:textId="3FE29020" w:rsidR="006C0905" w:rsidRPr="006C0905" w:rsidRDefault="006C0905" w:rsidP="006C0905">
            <w:pPr>
              <w:pStyle w:val="TableParagraph"/>
              <w:rPr>
                <w:rStyle w:val="Emphasis"/>
              </w:rPr>
            </w:pPr>
            <w:r w:rsidRPr="006C0905">
              <w:rPr>
                <w:rStyle w:val="Emphasis"/>
              </w:rPr>
              <w:t>Groundwater Rule (GWR)</w:t>
            </w:r>
          </w:p>
        </w:tc>
        <w:tc>
          <w:tcPr>
            <w:tcW w:w="6925" w:type="dxa"/>
            <w:vAlign w:val="center"/>
          </w:tcPr>
          <w:p w14:paraId="15072616" w14:textId="71BFFD54" w:rsidR="006C0905" w:rsidRDefault="006C0905" w:rsidP="006C0905">
            <w:pPr>
              <w:pStyle w:val="TableParagraph"/>
            </w:pPr>
            <w:r w:rsidRPr="00761B48">
              <w:t>Sampling requirements and possible scenarios for systems whose primary water source comes from wells.</w:t>
            </w:r>
          </w:p>
        </w:tc>
      </w:tr>
      <w:tr w:rsidR="006C0905" w14:paraId="28AE2C5E" w14:textId="77777777" w:rsidTr="006C0905">
        <w:tc>
          <w:tcPr>
            <w:tcW w:w="2425" w:type="dxa"/>
            <w:vAlign w:val="center"/>
          </w:tcPr>
          <w:p w14:paraId="726AD229" w14:textId="0F6F90E8" w:rsidR="006C0905" w:rsidRPr="006C0905" w:rsidRDefault="006C0905" w:rsidP="006C0905">
            <w:pPr>
              <w:pStyle w:val="TableParagraph"/>
              <w:rPr>
                <w:rStyle w:val="Emphasis"/>
              </w:rPr>
            </w:pPr>
            <w:r w:rsidRPr="006C0905">
              <w:rPr>
                <w:rStyle w:val="Emphasis"/>
              </w:rPr>
              <w:t>Inorganics, Organics, and Radionuclides</w:t>
            </w:r>
          </w:p>
        </w:tc>
        <w:tc>
          <w:tcPr>
            <w:tcW w:w="6925" w:type="dxa"/>
            <w:vAlign w:val="center"/>
          </w:tcPr>
          <w:p w14:paraId="070D6A28" w14:textId="4616C429" w:rsidR="006C0905" w:rsidRDefault="006C0905" w:rsidP="006C0905">
            <w:pPr>
              <w:pStyle w:val="TableParagraph"/>
            </w:pPr>
            <w:r w:rsidRPr="00761B48">
              <w:t>Contractor-collected samples required for all systems except raw water wholesalers, though the amount will vary based on system type and number of entry points.</w:t>
            </w:r>
          </w:p>
        </w:tc>
      </w:tr>
      <w:tr w:rsidR="006C0905" w14:paraId="5F73DAF5" w14:textId="77777777" w:rsidTr="006C0905">
        <w:tc>
          <w:tcPr>
            <w:tcW w:w="2425" w:type="dxa"/>
            <w:vAlign w:val="center"/>
          </w:tcPr>
          <w:p w14:paraId="3CE8CF97" w14:textId="55BBC371" w:rsidR="006C0905" w:rsidRPr="006C0905" w:rsidRDefault="006C0905" w:rsidP="006C0905">
            <w:pPr>
              <w:pStyle w:val="TableParagraph"/>
              <w:rPr>
                <w:rStyle w:val="Emphasis"/>
              </w:rPr>
            </w:pPr>
            <w:r w:rsidRPr="006C0905">
              <w:rPr>
                <w:rStyle w:val="Emphasis"/>
              </w:rPr>
              <w:t>Revised Total Coliform Rule (RTCR)</w:t>
            </w:r>
          </w:p>
        </w:tc>
        <w:tc>
          <w:tcPr>
            <w:tcW w:w="6925" w:type="dxa"/>
            <w:vAlign w:val="center"/>
          </w:tcPr>
          <w:p w14:paraId="4A70AB99" w14:textId="1F45A8BC" w:rsidR="006C0905" w:rsidRDefault="006C0905" w:rsidP="006C0905">
            <w:pPr>
              <w:pStyle w:val="TableParagraph"/>
            </w:pPr>
            <w:r w:rsidRPr="00761B48">
              <w:t>Bacteriological compliance samples to be taken in the distribution system at particular intervals based on population served.</w:t>
            </w:r>
          </w:p>
        </w:tc>
      </w:tr>
      <w:tr w:rsidR="006C0905" w14:paraId="41DD2CB0" w14:textId="77777777" w:rsidTr="006C0905">
        <w:tc>
          <w:tcPr>
            <w:tcW w:w="2425" w:type="dxa"/>
            <w:vAlign w:val="center"/>
          </w:tcPr>
          <w:p w14:paraId="7AA3C2B1" w14:textId="5E1B39FC" w:rsidR="006C0905" w:rsidRPr="006C0905" w:rsidRDefault="006C0905" w:rsidP="006C0905">
            <w:pPr>
              <w:pStyle w:val="TableParagraph"/>
              <w:rPr>
                <w:rStyle w:val="Emphasis"/>
              </w:rPr>
            </w:pPr>
            <w:r w:rsidRPr="006C0905">
              <w:rPr>
                <w:rStyle w:val="Emphasis"/>
              </w:rPr>
              <w:t>Disinfectant Residual Monitoring</w:t>
            </w:r>
          </w:p>
        </w:tc>
        <w:tc>
          <w:tcPr>
            <w:tcW w:w="6925" w:type="dxa"/>
            <w:vAlign w:val="center"/>
          </w:tcPr>
          <w:p w14:paraId="7770EA65" w14:textId="558C72FB" w:rsidR="006C0905" w:rsidRDefault="006C0905" w:rsidP="006C0905">
            <w:pPr>
              <w:pStyle w:val="TableParagraph"/>
            </w:pPr>
            <w:r w:rsidRPr="00761B48">
              <w:t>Collected in the distribution system at the same time as bacteriological samples and either daily or weekly based on system’s water source, population, and connection count.</w:t>
            </w:r>
          </w:p>
        </w:tc>
      </w:tr>
      <w:tr w:rsidR="006C0905" w14:paraId="67014EA5" w14:textId="77777777" w:rsidTr="006C0905">
        <w:tc>
          <w:tcPr>
            <w:tcW w:w="2425" w:type="dxa"/>
            <w:vAlign w:val="center"/>
          </w:tcPr>
          <w:p w14:paraId="4E57DB0D" w14:textId="6257420A" w:rsidR="006C0905" w:rsidRPr="006C0905" w:rsidRDefault="006C0905" w:rsidP="006C0905">
            <w:pPr>
              <w:pStyle w:val="TableParagraph"/>
              <w:rPr>
                <w:rStyle w:val="Emphasis"/>
              </w:rPr>
            </w:pPr>
            <w:r w:rsidRPr="006C0905">
              <w:rPr>
                <w:rStyle w:val="Emphasis"/>
              </w:rPr>
              <w:t>Disinfection Byproducts Rule (DBP)</w:t>
            </w:r>
          </w:p>
        </w:tc>
        <w:tc>
          <w:tcPr>
            <w:tcW w:w="6925" w:type="dxa"/>
            <w:vAlign w:val="center"/>
          </w:tcPr>
          <w:p w14:paraId="1B7B5F3C" w14:textId="488D77BD" w:rsidR="006C0905" w:rsidRDefault="006C0905" w:rsidP="006C0905">
            <w:pPr>
              <w:pStyle w:val="TableParagraph"/>
            </w:pPr>
            <w:r w:rsidRPr="00761B48">
              <w:t>Monitors the levels of byproducts in the distribution system that result from the treatment process.</w:t>
            </w:r>
          </w:p>
        </w:tc>
      </w:tr>
      <w:tr w:rsidR="006C0905" w14:paraId="760CC0E0" w14:textId="77777777" w:rsidTr="006C0905">
        <w:tc>
          <w:tcPr>
            <w:tcW w:w="2425" w:type="dxa"/>
            <w:vAlign w:val="center"/>
          </w:tcPr>
          <w:p w14:paraId="30AA3858" w14:textId="44D29EF5" w:rsidR="006C0905" w:rsidRPr="006C0905" w:rsidRDefault="006C0905" w:rsidP="006C0905">
            <w:pPr>
              <w:pStyle w:val="TableParagraph"/>
              <w:rPr>
                <w:rStyle w:val="Emphasis"/>
              </w:rPr>
            </w:pPr>
            <w:r w:rsidRPr="006C0905">
              <w:rPr>
                <w:rStyle w:val="Emphasis"/>
              </w:rPr>
              <w:t>Lead and Copper Rule (LCR)</w:t>
            </w:r>
          </w:p>
        </w:tc>
        <w:tc>
          <w:tcPr>
            <w:tcW w:w="6925" w:type="dxa"/>
            <w:vAlign w:val="center"/>
          </w:tcPr>
          <w:p w14:paraId="0D4047BC" w14:textId="5F29072D" w:rsidR="006C0905" w:rsidRDefault="006C0905" w:rsidP="006C0905">
            <w:pPr>
              <w:pStyle w:val="TableParagraph"/>
            </w:pPr>
            <w:r w:rsidRPr="00761B48">
              <w:t>Resident-collected samples for community systems, or by the operator for NTNCs, to assess the amount of these two metals in the public water supply. Also includes the measuring of water quality parameters to determine water corrosivity.</w:t>
            </w:r>
          </w:p>
        </w:tc>
      </w:tr>
      <w:tr w:rsidR="006C0905" w14:paraId="3E36DFEA" w14:textId="77777777" w:rsidTr="006C0905">
        <w:tc>
          <w:tcPr>
            <w:tcW w:w="2425" w:type="dxa"/>
            <w:vAlign w:val="center"/>
          </w:tcPr>
          <w:p w14:paraId="5FFC8D27" w14:textId="165A00A3" w:rsidR="006C0905" w:rsidRPr="006C0905" w:rsidRDefault="006C0905" w:rsidP="006C0905">
            <w:pPr>
              <w:pStyle w:val="TableParagraph"/>
              <w:rPr>
                <w:rStyle w:val="Emphasis"/>
              </w:rPr>
            </w:pPr>
            <w:r w:rsidRPr="006C0905">
              <w:rPr>
                <w:rStyle w:val="Emphasis"/>
              </w:rPr>
              <w:t>Asbestos</w:t>
            </w:r>
          </w:p>
        </w:tc>
        <w:tc>
          <w:tcPr>
            <w:tcW w:w="6925" w:type="dxa"/>
            <w:vAlign w:val="center"/>
          </w:tcPr>
          <w:p w14:paraId="76BFFC16" w14:textId="15D71A06" w:rsidR="006C0905" w:rsidRDefault="006C0905" w:rsidP="006C0905">
            <w:pPr>
              <w:pStyle w:val="TableParagraph"/>
            </w:pPr>
            <w:r w:rsidRPr="00761B48">
              <w:t>Contractor-collected sample in the far reaches of the distribution system to test if asbestos is within the system’s water supply.</w:t>
            </w:r>
          </w:p>
        </w:tc>
      </w:tr>
      <w:tr w:rsidR="006C0905" w14:paraId="0F496D66" w14:textId="77777777" w:rsidTr="006C0905">
        <w:tc>
          <w:tcPr>
            <w:tcW w:w="2425" w:type="dxa"/>
            <w:vAlign w:val="center"/>
          </w:tcPr>
          <w:p w14:paraId="1F9D9D3F" w14:textId="51741494" w:rsidR="006C0905" w:rsidRPr="006C0905" w:rsidRDefault="006C0905" w:rsidP="006C0905">
            <w:pPr>
              <w:pStyle w:val="TableParagraph"/>
              <w:rPr>
                <w:rStyle w:val="Emphasis"/>
              </w:rPr>
            </w:pPr>
            <w:r w:rsidRPr="006C0905">
              <w:rPr>
                <w:rStyle w:val="Emphasis"/>
              </w:rPr>
              <w:t>Laboratory Information</w:t>
            </w:r>
          </w:p>
        </w:tc>
        <w:tc>
          <w:tcPr>
            <w:tcW w:w="6925" w:type="dxa"/>
            <w:vAlign w:val="center"/>
          </w:tcPr>
          <w:p w14:paraId="7CA634ED" w14:textId="6D464502" w:rsidR="006C0905" w:rsidRDefault="006C0905" w:rsidP="006C0905">
            <w:pPr>
              <w:pStyle w:val="TableParagraph"/>
            </w:pPr>
            <w:r w:rsidRPr="00761B48">
              <w:t>Section for the system to list any laboratory used to perform analysis for compliance samples. Be sure to attach the system’s own lab approval form if personnel on behalf of the system itself performs any analysis not run at an accredited laboratory (chlorine residual, pH, temperature, etc.).</w:t>
            </w:r>
          </w:p>
        </w:tc>
      </w:tr>
    </w:tbl>
    <w:p w14:paraId="588919D3" w14:textId="77777777" w:rsidR="006C0905" w:rsidRDefault="006C0905">
      <w:pPr>
        <w:rPr>
          <w:sz w:val="20"/>
          <w:szCs w:val="20"/>
        </w:rPr>
      </w:pPr>
      <w:r>
        <w:br w:type="page"/>
      </w:r>
    </w:p>
    <w:p w14:paraId="64BD93C1" w14:textId="05209BB9" w:rsidR="009A4F48" w:rsidRDefault="00DF5D4B" w:rsidP="00180A94">
      <w:pPr>
        <w:pStyle w:val="Heading1"/>
      </w:pPr>
      <w:r>
        <w:lastRenderedPageBreak/>
        <w:t>Points of Contact Information</w:t>
      </w:r>
    </w:p>
    <w:p w14:paraId="17EC905D" w14:textId="3CBC5744" w:rsidR="00715413" w:rsidRPr="00E23D06" w:rsidRDefault="00715413" w:rsidP="00E23D06">
      <w:pPr>
        <w:pStyle w:val="Heading3"/>
      </w:pPr>
      <w:r w:rsidRPr="00E23D06">
        <w:t>Administrative Contact</w:t>
      </w:r>
    </w:p>
    <w:p w14:paraId="206CAEFC" w14:textId="00890EC7" w:rsidR="00070A88" w:rsidRPr="00A54333" w:rsidRDefault="00070A88" w:rsidP="00FA16B8">
      <w:pPr>
        <w:pStyle w:val="BodyText"/>
      </w:pPr>
      <w:r w:rsidRPr="00A54333">
        <w:t xml:space="preserve">The administrative contact is the </w:t>
      </w:r>
      <w:r w:rsidR="00B71117" w:rsidRPr="00A54333">
        <w:t>highest-ranking</w:t>
      </w:r>
      <w:r w:rsidRPr="00A54333">
        <w:t xml:space="preserve"> official such as Mayor, company president or director, etc.</w:t>
      </w:r>
    </w:p>
    <w:tbl>
      <w:tblPr>
        <w:tblStyle w:val="TableGrid"/>
        <w:tblW w:w="0" w:type="auto"/>
        <w:tblLook w:val="04A0" w:firstRow="1" w:lastRow="0" w:firstColumn="1" w:lastColumn="0" w:noHBand="0" w:noVBand="1"/>
      </w:tblPr>
      <w:tblGrid>
        <w:gridCol w:w="2208"/>
        <w:gridCol w:w="6206"/>
      </w:tblGrid>
      <w:tr w:rsidR="00715413" w14:paraId="004CD5F0" w14:textId="77777777" w:rsidTr="002E0B3C">
        <w:tc>
          <w:tcPr>
            <w:tcW w:w="2208" w:type="dxa"/>
            <w:shd w:val="clear" w:color="auto" w:fill="D9D9D9" w:themeFill="background1" w:themeFillShade="D9"/>
            <w:vAlign w:val="center"/>
          </w:tcPr>
          <w:p w14:paraId="2AC122FD" w14:textId="652DEC4A" w:rsidR="00715413" w:rsidRPr="0038753B" w:rsidRDefault="00715413" w:rsidP="002E0B3C">
            <w:pPr>
              <w:pStyle w:val="Header"/>
            </w:pPr>
            <w:r w:rsidRPr="0038753B">
              <w:t>Name</w:t>
            </w:r>
          </w:p>
        </w:tc>
        <w:tc>
          <w:tcPr>
            <w:tcW w:w="6206" w:type="dxa"/>
          </w:tcPr>
          <w:p w14:paraId="1ED8DAC1" w14:textId="6F6EB848" w:rsidR="00715413" w:rsidRPr="0038753B" w:rsidRDefault="00715413" w:rsidP="002E0B3C">
            <w:pPr>
              <w:pStyle w:val="TableParagraph"/>
            </w:pPr>
          </w:p>
        </w:tc>
      </w:tr>
      <w:tr w:rsidR="00715413" w14:paraId="76017573" w14:textId="77777777" w:rsidTr="002E0B3C">
        <w:tc>
          <w:tcPr>
            <w:tcW w:w="2208" w:type="dxa"/>
            <w:shd w:val="clear" w:color="auto" w:fill="D9D9D9" w:themeFill="background1" w:themeFillShade="D9"/>
            <w:vAlign w:val="center"/>
          </w:tcPr>
          <w:p w14:paraId="1EB81807" w14:textId="6A9CDA59" w:rsidR="00715413" w:rsidRPr="0038753B" w:rsidRDefault="00715413" w:rsidP="002E0B3C">
            <w:pPr>
              <w:pStyle w:val="Header"/>
            </w:pPr>
            <w:r w:rsidRPr="0038753B">
              <w:t>Mailing Address</w:t>
            </w:r>
          </w:p>
        </w:tc>
        <w:tc>
          <w:tcPr>
            <w:tcW w:w="6206" w:type="dxa"/>
          </w:tcPr>
          <w:p w14:paraId="7057DE8B" w14:textId="77777777" w:rsidR="00715413" w:rsidRPr="0038753B" w:rsidRDefault="00715413" w:rsidP="002E0B3C">
            <w:pPr>
              <w:pStyle w:val="TableParagraph"/>
            </w:pPr>
          </w:p>
        </w:tc>
      </w:tr>
      <w:tr w:rsidR="00484FB3" w14:paraId="4976DCD7" w14:textId="77777777" w:rsidTr="00A14C1F">
        <w:tc>
          <w:tcPr>
            <w:tcW w:w="2208" w:type="dxa"/>
            <w:shd w:val="clear" w:color="auto" w:fill="D9D9D9" w:themeFill="background1" w:themeFillShade="D9"/>
            <w:vAlign w:val="center"/>
          </w:tcPr>
          <w:p w14:paraId="3103BFD4" w14:textId="660D052D" w:rsidR="00484FB3" w:rsidRPr="0038753B" w:rsidRDefault="00484FB3" w:rsidP="00484FB3">
            <w:pPr>
              <w:pStyle w:val="Header"/>
            </w:pPr>
            <w:r w:rsidRPr="0038753B">
              <w:t>City</w:t>
            </w:r>
            <w:r>
              <w:t>, State</w:t>
            </w:r>
          </w:p>
        </w:tc>
        <w:tc>
          <w:tcPr>
            <w:tcW w:w="6206" w:type="dxa"/>
          </w:tcPr>
          <w:p w14:paraId="295F561A" w14:textId="77777777" w:rsidR="00484FB3" w:rsidRPr="0038753B" w:rsidRDefault="00484FB3" w:rsidP="00484FB3">
            <w:pPr>
              <w:pStyle w:val="TableParagraph"/>
            </w:pPr>
          </w:p>
        </w:tc>
      </w:tr>
      <w:tr w:rsidR="00484FB3" w14:paraId="7E2CE318" w14:textId="77777777" w:rsidTr="006B4AD5">
        <w:tc>
          <w:tcPr>
            <w:tcW w:w="2208" w:type="dxa"/>
            <w:shd w:val="clear" w:color="auto" w:fill="D9D9D9" w:themeFill="background1" w:themeFillShade="D9"/>
            <w:vAlign w:val="center"/>
          </w:tcPr>
          <w:p w14:paraId="70030330" w14:textId="567A70C2" w:rsidR="00484FB3" w:rsidRPr="0038753B" w:rsidRDefault="00484FB3" w:rsidP="00484FB3">
            <w:pPr>
              <w:pStyle w:val="Header"/>
            </w:pPr>
            <w:r w:rsidRPr="0038753B">
              <w:t>Phone</w:t>
            </w:r>
            <w:r>
              <w:t xml:space="preserve"> &amp; Ext.</w:t>
            </w:r>
          </w:p>
        </w:tc>
        <w:tc>
          <w:tcPr>
            <w:tcW w:w="6206" w:type="dxa"/>
          </w:tcPr>
          <w:p w14:paraId="69F52F85" w14:textId="77777777" w:rsidR="00484FB3" w:rsidRPr="0038753B" w:rsidRDefault="00484FB3" w:rsidP="00484FB3">
            <w:pPr>
              <w:pStyle w:val="TableParagraph"/>
            </w:pPr>
          </w:p>
        </w:tc>
      </w:tr>
      <w:tr w:rsidR="00715413" w14:paraId="3561ACDC" w14:textId="77777777" w:rsidTr="002E0B3C">
        <w:tc>
          <w:tcPr>
            <w:tcW w:w="2208" w:type="dxa"/>
            <w:shd w:val="clear" w:color="auto" w:fill="D9D9D9" w:themeFill="background1" w:themeFillShade="D9"/>
            <w:vAlign w:val="center"/>
          </w:tcPr>
          <w:p w14:paraId="1B11117F" w14:textId="5F014330" w:rsidR="00715413" w:rsidRPr="0038753B" w:rsidRDefault="00715413" w:rsidP="002E0B3C">
            <w:pPr>
              <w:pStyle w:val="Header"/>
            </w:pPr>
            <w:r w:rsidRPr="0038753B">
              <w:t>Email</w:t>
            </w:r>
          </w:p>
        </w:tc>
        <w:tc>
          <w:tcPr>
            <w:tcW w:w="6206" w:type="dxa"/>
          </w:tcPr>
          <w:p w14:paraId="26B97F9F" w14:textId="77777777" w:rsidR="00715413" w:rsidRPr="0038753B" w:rsidRDefault="00715413" w:rsidP="002E0B3C">
            <w:pPr>
              <w:pStyle w:val="TableParagraph"/>
            </w:pPr>
          </w:p>
        </w:tc>
      </w:tr>
    </w:tbl>
    <w:p w14:paraId="11FB8439" w14:textId="083BFD9D" w:rsidR="00DA7752" w:rsidRPr="00E23D06" w:rsidRDefault="00DA7752" w:rsidP="00E23D06">
      <w:pPr>
        <w:pStyle w:val="Heading3"/>
      </w:pPr>
      <w:r w:rsidRPr="00E23D06">
        <w:t>Owner/Legal Entity Contact</w:t>
      </w:r>
    </w:p>
    <w:p w14:paraId="007D283C" w14:textId="1D7F696A" w:rsidR="00070A88" w:rsidRPr="00A54333" w:rsidRDefault="00070A88" w:rsidP="00FA16B8">
      <w:pPr>
        <w:pStyle w:val="BodyText"/>
      </w:pPr>
      <w:r w:rsidRPr="00A54333">
        <w:t>The legal owner is an individual, corporation, partnership, association, state subdivision, or other legal entity.</w:t>
      </w:r>
    </w:p>
    <w:tbl>
      <w:tblPr>
        <w:tblStyle w:val="TableGrid"/>
        <w:tblW w:w="0" w:type="auto"/>
        <w:tblLook w:val="04A0" w:firstRow="1" w:lastRow="0" w:firstColumn="1" w:lastColumn="0" w:noHBand="0" w:noVBand="1"/>
      </w:tblPr>
      <w:tblGrid>
        <w:gridCol w:w="2208"/>
        <w:gridCol w:w="6206"/>
      </w:tblGrid>
      <w:tr w:rsidR="00DA7752" w14:paraId="1606785E" w14:textId="77777777" w:rsidTr="002E0B3C">
        <w:tc>
          <w:tcPr>
            <w:tcW w:w="2208" w:type="dxa"/>
            <w:shd w:val="clear" w:color="auto" w:fill="BFBFBF" w:themeFill="background1" w:themeFillShade="BF"/>
            <w:vAlign w:val="center"/>
          </w:tcPr>
          <w:p w14:paraId="790C36AD" w14:textId="77777777" w:rsidR="00DA7752" w:rsidRPr="0038753B" w:rsidRDefault="00DA7752" w:rsidP="002E0B3C">
            <w:pPr>
              <w:pStyle w:val="Header"/>
            </w:pPr>
            <w:r w:rsidRPr="0038753B">
              <w:t>Name</w:t>
            </w:r>
          </w:p>
        </w:tc>
        <w:tc>
          <w:tcPr>
            <w:tcW w:w="6206" w:type="dxa"/>
          </w:tcPr>
          <w:p w14:paraId="649A7EFC" w14:textId="77777777" w:rsidR="00DA7752" w:rsidRPr="0038753B" w:rsidRDefault="00DA7752" w:rsidP="002E0B3C">
            <w:pPr>
              <w:pStyle w:val="TableParagraph"/>
            </w:pPr>
          </w:p>
        </w:tc>
      </w:tr>
      <w:tr w:rsidR="00DA7752" w14:paraId="6C033D4E" w14:textId="77777777" w:rsidTr="002E0B3C">
        <w:tc>
          <w:tcPr>
            <w:tcW w:w="2208" w:type="dxa"/>
            <w:shd w:val="clear" w:color="auto" w:fill="BFBFBF" w:themeFill="background1" w:themeFillShade="BF"/>
            <w:vAlign w:val="center"/>
          </w:tcPr>
          <w:p w14:paraId="11447A6E" w14:textId="77777777" w:rsidR="00DA7752" w:rsidRPr="0038753B" w:rsidRDefault="00DA7752" w:rsidP="002E0B3C">
            <w:pPr>
              <w:pStyle w:val="Header"/>
            </w:pPr>
            <w:r w:rsidRPr="0038753B">
              <w:t>Mailing Address</w:t>
            </w:r>
          </w:p>
        </w:tc>
        <w:tc>
          <w:tcPr>
            <w:tcW w:w="6206" w:type="dxa"/>
          </w:tcPr>
          <w:p w14:paraId="0B197DFE" w14:textId="77777777" w:rsidR="00DA7752" w:rsidRPr="0038753B" w:rsidRDefault="00DA7752" w:rsidP="002E0B3C">
            <w:pPr>
              <w:pStyle w:val="TableParagraph"/>
            </w:pPr>
          </w:p>
        </w:tc>
      </w:tr>
      <w:tr w:rsidR="00484FB3" w14:paraId="5F3D7547" w14:textId="77777777" w:rsidTr="00B633D5">
        <w:tc>
          <w:tcPr>
            <w:tcW w:w="2208" w:type="dxa"/>
            <w:shd w:val="clear" w:color="auto" w:fill="BFBFBF" w:themeFill="background1" w:themeFillShade="BF"/>
            <w:vAlign w:val="center"/>
          </w:tcPr>
          <w:p w14:paraId="5353D6D7" w14:textId="64782C19" w:rsidR="00484FB3" w:rsidRPr="0038753B" w:rsidRDefault="00484FB3" w:rsidP="00484FB3">
            <w:pPr>
              <w:pStyle w:val="Header"/>
            </w:pPr>
            <w:r w:rsidRPr="0038753B">
              <w:t>City</w:t>
            </w:r>
            <w:r>
              <w:t>, State</w:t>
            </w:r>
          </w:p>
        </w:tc>
        <w:tc>
          <w:tcPr>
            <w:tcW w:w="6206" w:type="dxa"/>
          </w:tcPr>
          <w:p w14:paraId="350D6DE3" w14:textId="766DFEC9" w:rsidR="00484FB3" w:rsidRPr="0038753B" w:rsidRDefault="00484FB3" w:rsidP="00484FB3">
            <w:pPr>
              <w:pStyle w:val="TableParagraph"/>
            </w:pPr>
          </w:p>
        </w:tc>
      </w:tr>
      <w:tr w:rsidR="00484FB3" w14:paraId="6F1BA1BD" w14:textId="77777777" w:rsidTr="000035B2">
        <w:tc>
          <w:tcPr>
            <w:tcW w:w="2208" w:type="dxa"/>
            <w:shd w:val="clear" w:color="auto" w:fill="BFBFBF" w:themeFill="background1" w:themeFillShade="BF"/>
            <w:vAlign w:val="center"/>
          </w:tcPr>
          <w:p w14:paraId="53C92080" w14:textId="574D2002" w:rsidR="00484FB3" w:rsidRPr="0038753B" w:rsidRDefault="00484FB3" w:rsidP="00484FB3">
            <w:pPr>
              <w:pStyle w:val="Header"/>
            </w:pPr>
            <w:r w:rsidRPr="0038753B">
              <w:t>Phone</w:t>
            </w:r>
            <w:r>
              <w:t xml:space="preserve"> &amp; Ext.</w:t>
            </w:r>
          </w:p>
        </w:tc>
        <w:tc>
          <w:tcPr>
            <w:tcW w:w="6206" w:type="dxa"/>
          </w:tcPr>
          <w:p w14:paraId="4A4C606A" w14:textId="74D44EE4" w:rsidR="00484FB3" w:rsidRPr="0038753B" w:rsidRDefault="00484FB3" w:rsidP="00484FB3">
            <w:pPr>
              <w:pStyle w:val="TableParagraph"/>
            </w:pPr>
          </w:p>
        </w:tc>
      </w:tr>
      <w:tr w:rsidR="00DA7752" w14:paraId="0AB41FAF" w14:textId="77777777" w:rsidTr="002E0B3C">
        <w:tc>
          <w:tcPr>
            <w:tcW w:w="2208" w:type="dxa"/>
            <w:shd w:val="clear" w:color="auto" w:fill="BFBFBF" w:themeFill="background1" w:themeFillShade="BF"/>
            <w:vAlign w:val="center"/>
          </w:tcPr>
          <w:p w14:paraId="1218CAB2" w14:textId="77777777" w:rsidR="00DA7752" w:rsidRPr="0038753B" w:rsidRDefault="00DA7752" w:rsidP="002E0B3C">
            <w:pPr>
              <w:pStyle w:val="Header"/>
            </w:pPr>
            <w:r w:rsidRPr="0038753B">
              <w:t>Email</w:t>
            </w:r>
          </w:p>
        </w:tc>
        <w:tc>
          <w:tcPr>
            <w:tcW w:w="6206" w:type="dxa"/>
          </w:tcPr>
          <w:p w14:paraId="5C24CC07" w14:textId="77777777" w:rsidR="00DA7752" w:rsidRPr="0038753B" w:rsidRDefault="00DA7752" w:rsidP="002E0B3C">
            <w:pPr>
              <w:pStyle w:val="TableParagraph"/>
            </w:pPr>
          </w:p>
        </w:tc>
      </w:tr>
    </w:tbl>
    <w:p w14:paraId="3B3028B5" w14:textId="3A12B712" w:rsidR="00DA7752" w:rsidRPr="00E23D06" w:rsidRDefault="00DA7752" w:rsidP="00E23D06">
      <w:pPr>
        <w:pStyle w:val="Heading3"/>
      </w:pPr>
      <w:r w:rsidRPr="00E23D06">
        <w:t>Public Water System Contact</w:t>
      </w:r>
    </w:p>
    <w:p w14:paraId="7B05F7B7" w14:textId="16D9C991" w:rsidR="00071611" w:rsidRPr="00A54333" w:rsidRDefault="00071611" w:rsidP="00FA16B8">
      <w:pPr>
        <w:pStyle w:val="BodyText"/>
      </w:pPr>
      <w:r w:rsidRPr="00A54333">
        <w:t>The public water system contact should be someone the TCEQ can contact in an emergency or at any time.</w:t>
      </w:r>
    </w:p>
    <w:tbl>
      <w:tblPr>
        <w:tblStyle w:val="TableGrid"/>
        <w:tblW w:w="0" w:type="auto"/>
        <w:tblLook w:val="04A0" w:firstRow="1" w:lastRow="0" w:firstColumn="1" w:lastColumn="0" w:noHBand="0" w:noVBand="1"/>
      </w:tblPr>
      <w:tblGrid>
        <w:gridCol w:w="2208"/>
        <w:gridCol w:w="6206"/>
      </w:tblGrid>
      <w:tr w:rsidR="00DA7752" w14:paraId="17289FFC" w14:textId="77777777" w:rsidTr="002E0B3C">
        <w:tc>
          <w:tcPr>
            <w:tcW w:w="2208" w:type="dxa"/>
            <w:shd w:val="clear" w:color="auto" w:fill="BFBFBF" w:themeFill="background1" w:themeFillShade="BF"/>
            <w:vAlign w:val="center"/>
          </w:tcPr>
          <w:p w14:paraId="41968112" w14:textId="77777777" w:rsidR="00DA7752" w:rsidRPr="0038753B" w:rsidRDefault="00DA7752" w:rsidP="002E0B3C">
            <w:pPr>
              <w:pStyle w:val="Header"/>
            </w:pPr>
            <w:r w:rsidRPr="0038753B">
              <w:t>Name</w:t>
            </w:r>
          </w:p>
        </w:tc>
        <w:tc>
          <w:tcPr>
            <w:tcW w:w="6206" w:type="dxa"/>
          </w:tcPr>
          <w:p w14:paraId="45E256CC" w14:textId="77777777" w:rsidR="00DA7752" w:rsidRPr="0038753B" w:rsidRDefault="00DA7752" w:rsidP="002E0B3C">
            <w:pPr>
              <w:pStyle w:val="TableParagraph"/>
            </w:pPr>
          </w:p>
        </w:tc>
      </w:tr>
      <w:tr w:rsidR="00DA7752" w14:paraId="4F61BA61" w14:textId="77777777" w:rsidTr="00FA16B8">
        <w:tc>
          <w:tcPr>
            <w:tcW w:w="2208" w:type="dxa"/>
            <w:shd w:val="clear" w:color="auto" w:fill="BFBFBF" w:themeFill="background1" w:themeFillShade="BF"/>
            <w:vAlign w:val="center"/>
          </w:tcPr>
          <w:p w14:paraId="0C8E5227" w14:textId="77777777" w:rsidR="00DA7752" w:rsidRPr="0038753B" w:rsidRDefault="00DA7752" w:rsidP="002E0B3C">
            <w:pPr>
              <w:pStyle w:val="Header"/>
            </w:pPr>
            <w:r w:rsidRPr="0038753B">
              <w:t>Mailing Address</w:t>
            </w:r>
          </w:p>
        </w:tc>
        <w:tc>
          <w:tcPr>
            <w:tcW w:w="6206" w:type="dxa"/>
          </w:tcPr>
          <w:p w14:paraId="4AF26035" w14:textId="77777777" w:rsidR="00DA7752" w:rsidRPr="0038753B" w:rsidRDefault="00DA7752" w:rsidP="002E0B3C">
            <w:pPr>
              <w:pStyle w:val="TableParagraph"/>
            </w:pPr>
          </w:p>
        </w:tc>
      </w:tr>
      <w:tr w:rsidR="00484FB3" w14:paraId="1680B508" w14:textId="77777777" w:rsidTr="004426B6">
        <w:tc>
          <w:tcPr>
            <w:tcW w:w="2208" w:type="dxa"/>
            <w:shd w:val="clear" w:color="auto" w:fill="BFBFBF" w:themeFill="background1" w:themeFillShade="BF"/>
            <w:vAlign w:val="center"/>
          </w:tcPr>
          <w:p w14:paraId="7337EF01" w14:textId="436D4904" w:rsidR="00484FB3" w:rsidRPr="0038753B" w:rsidRDefault="00484FB3" w:rsidP="002E0B3C">
            <w:pPr>
              <w:pStyle w:val="Header"/>
            </w:pPr>
            <w:r w:rsidRPr="0038753B">
              <w:t>City</w:t>
            </w:r>
            <w:r>
              <w:t>, State</w:t>
            </w:r>
          </w:p>
        </w:tc>
        <w:tc>
          <w:tcPr>
            <w:tcW w:w="6206" w:type="dxa"/>
          </w:tcPr>
          <w:p w14:paraId="32162470" w14:textId="05E7180E" w:rsidR="00484FB3" w:rsidRPr="0038753B" w:rsidRDefault="00484FB3" w:rsidP="002E0B3C">
            <w:pPr>
              <w:pStyle w:val="TableParagraph"/>
            </w:pPr>
          </w:p>
        </w:tc>
      </w:tr>
      <w:tr w:rsidR="00484FB3" w14:paraId="6754D9DB" w14:textId="77777777" w:rsidTr="000F6CD1">
        <w:tc>
          <w:tcPr>
            <w:tcW w:w="2208" w:type="dxa"/>
            <w:shd w:val="clear" w:color="auto" w:fill="BFBFBF" w:themeFill="background1" w:themeFillShade="BF"/>
            <w:vAlign w:val="center"/>
          </w:tcPr>
          <w:p w14:paraId="62ADAD4D" w14:textId="1A197FC6" w:rsidR="00484FB3" w:rsidRPr="0038753B" w:rsidRDefault="00484FB3" w:rsidP="002E0B3C">
            <w:pPr>
              <w:pStyle w:val="Header"/>
            </w:pPr>
            <w:r w:rsidRPr="0038753B">
              <w:t>Phone</w:t>
            </w:r>
            <w:r>
              <w:t xml:space="preserve"> &amp; Ext.</w:t>
            </w:r>
          </w:p>
        </w:tc>
        <w:tc>
          <w:tcPr>
            <w:tcW w:w="6206" w:type="dxa"/>
          </w:tcPr>
          <w:p w14:paraId="00A8D089" w14:textId="2CBDBC21" w:rsidR="00484FB3" w:rsidRPr="0038753B" w:rsidRDefault="00484FB3" w:rsidP="002E0B3C">
            <w:pPr>
              <w:pStyle w:val="TableParagraph"/>
            </w:pPr>
          </w:p>
        </w:tc>
      </w:tr>
      <w:tr w:rsidR="00DA7752" w14:paraId="17644F96" w14:textId="77777777" w:rsidTr="00FA16B8">
        <w:tc>
          <w:tcPr>
            <w:tcW w:w="2208" w:type="dxa"/>
            <w:shd w:val="clear" w:color="auto" w:fill="BFBFBF" w:themeFill="background1" w:themeFillShade="BF"/>
            <w:vAlign w:val="center"/>
          </w:tcPr>
          <w:p w14:paraId="3D368857" w14:textId="77777777" w:rsidR="00DA7752" w:rsidRPr="0038753B" w:rsidRDefault="00DA7752" w:rsidP="002E0B3C">
            <w:pPr>
              <w:pStyle w:val="Header"/>
            </w:pPr>
            <w:r w:rsidRPr="0038753B">
              <w:t>Email</w:t>
            </w:r>
          </w:p>
        </w:tc>
        <w:tc>
          <w:tcPr>
            <w:tcW w:w="6206" w:type="dxa"/>
          </w:tcPr>
          <w:p w14:paraId="7019587B" w14:textId="77777777" w:rsidR="00DA7752" w:rsidRPr="0038753B" w:rsidRDefault="00DA7752" w:rsidP="002E0B3C">
            <w:pPr>
              <w:pStyle w:val="TableParagraph"/>
            </w:pPr>
          </w:p>
        </w:tc>
      </w:tr>
    </w:tbl>
    <w:p w14:paraId="2FE4186B" w14:textId="77777777" w:rsidR="00484FB3" w:rsidRPr="00484FB3" w:rsidRDefault="00484FB3" w:rsidP="00484FB3">
      <w:pPr>
        <w:pStyle w:val="BodyText"/>
      </w:pPr>
      <w:r w:rsidRPr="00484FB3">
        <w:br w:type="page"/>
      </w:r>
    </w:p>
    <w:p w14:paraId="133D0E7C" w14:textId="51727AF6" w:rsidR="00D52CCF" w:rsidRDefault="00FF59A4" w:rsidP="00180A94">
      <w:pPr>
        <w:pStyle w:val="Heading1"/>
      </w:pPr>
      <w:r>
        <w:lastRenderedPageBreak/>
        <w:t>Source Details</w:t>
      </w:r>
    </w:p>
    <w:tbl>
      <w:tblPr>
        <w:tblStyle w:val="TableGrid"/>
        <w:tblW w:w="0" w:type="auto"/>
        <w:tblLook w:val="04A0" w:firstRow="1" w:lastRow="0" w:firstColumn="1" w:lastColumn="0" w:noHBand="0" w:noVBand="1"/>
      </w:tblPr>
      <w:tblGrid>
        <w:gridCol w:w="2337"/>
        <w:gridCol w:w="2337"/>
        <w:gridCol w:w="2338"/>
        <w:gridCol w:w="2338"/>
      </w:tblGrid>
      <w:tr w:rsidR="002E0B3C" w14:paraId="4705D566" w14:textId="77777777" w:rsidTr="00EA00A9">
        <w:trPr>
          <w:tblHeader/>
        </w:trPr>
        <w:tc>
          <w:tcPr>
            <w:tcW w:w="2337" w:type="dxa"/>
            <w:shd w:val="clear" w:color="auto" w:fill="D9D9D9" w:themeFill="background1" w:themeFillShade="D9"/>
          </w:tcPr>
          <w:p w14:paraId="71D36FCB" w14:textId="09C371A8" w:rsidR="002E0B3C" w:rsidRDefault="002E0B3C" w:rsidP="002E0B3C">
            <w:pPr>
              <w:pStyle w:val="Header"/>
            </w:pPr>
            <w:r>
              <w:t>TCEQ Source ID</w:t>
            </w:r>
          </w:p>
        </w:tc>
        <w:tc>
          <w:tcPr>
            <w:tcW w:w="2337" w:type="dxa"/>
            <w:shd w:val="clear" w:color="auto" w:fill="D9D9D9" w:themeFill="background1" w:themeFillShade="D9"/>
          </w:tcPr>
          <w:p w14:paraId="5774BDE6" w14:textId="71BA9B92" w:rsidR="002E0B3C" w:rsidRDefault="002E0B3C" w:rsidP="002E0B3C">
            <w:pPr>
              <w:pStyle w:val="Header"/>
            </w:pPr>
            <w:r>
              <w:t>Source Name</w:t>
            </w:r>
          </w:p>
        </w:tc>
        <w:tc>
          <w:tcPr>
            <w:tcW w:w="2338" w:type="dxa"/>
            <w:shd w:val="clear" w:color="auto" w:fill="D9D9D9" w:themeFill="background1" w:themeFillShade="D9"/>
          </w:tcPr>
          <w:p w14:paraId="34A603D6" w14:textId="34DAB725" w:rsidR="002E0B3C" w:rsidRDefault="002E0B3C" w:rsidP="002E0B3C">
            <w:pPr>
              <w:pStyle w:val="Header"/>
            </w:pPr>
            <w:r>
              <w:t>Source Location</w:t>
            </w:r>
          </w:p>
        </w:tc>
        <w:tc>
          <w:tcPr>
            <w:tcW w:w="2338" w:type="dxa"/>
            <w:shd w:val="clear" w:color="auto" w:fill="D9D9D9" w:themeFill="background1" w:themeFillShade="D9"/>
          </w:tcPr>
          <w:p w14:paraId="5FEDF611" w14:textId="4D0DC8CE" w:rsidR="002E0B3C" w:rsidRDefault="002E0B3C" w:rsidP="002E0B3C">
            <w:pPr>
              <w:pStyle w:val="Header"/>
            </w:pPr>
            <w:r>
              <w:t>Availability</w:t>
            </w:r>
          </w:p>
        </w:tc>
      </w:tr>
      <w:tr w:rsidR="002E0B3C" w14:paraId="3509FF14" w14:textId="77777777" w:rsidTr="002E0B3C">
        <w:tc>
          <w:tcPr>
            <w:tcW w:w="2337" w:type="dxa"/>
          </w:tcPr>
          <w:p w14:paraId="45D8811F" w14:textId="77777777" w:rsidR="002E0B3C" w:rsidRDefault="002E0B3C" w:rsidP="002E0B3C">
            <w:pPr>
              <w:pStyle w:val="TableParagraph"/>
            </w:pPr>
          </w:p>
        </w:tc>
        <w:tc>
          <w:tcPr>
            <w:tcW w:w="2337" w:type="dxa"/>
          </w:tcPr>
          <w:p w14:paraId="1DDE5EA7" w14:textId="77777777" w:rsidR="002E0B3C" w:rsidRDefault="002E0B3C" w:rsidP="002E0B3C">
            <w:pPr>
              <w:pStyle w:val="TableParagraph"/>
            </w:pPr>
          </w:p>
        </w:tc>
        <w:tc>
          <w:tcPr>
            <w:tcW w:w="2338" w:type="dxa"/>
          </w:tcPr>
          <w:p w14:paraId="76E1DEB8" w14:textId="77777777" w:rsidR="002E0B3C" w:rsidRDefault="002E0B3C" w:rsidP="002E0B3C">
            <w:pPr>
              <w:pStyle w:val="TableParagraph"/>
            </w:pPr>
          </w:p>
        </w:tc>
        <w:tc>
          <w:tcPr>
            <w:tcW w:w="2338" w:type="dxa"/>
          </w:tcPr>
          <w:p w14:paraId="522A1F92" w14:textId="77777777" w:rsidR="002E0B3C" w:rsidRDefault="002E0B3C" w:rsidP="002E0B3C">
            <w:pPr>
              <w:pStyle w:val="TableParagraph"/>
            </w:pPr>
          </w:p>
        </w:tc>
      </w:tr>
      <w:tr w:rsidR="002E0B3C" w14:paraId="045F68D0" w14:textId="77777777" w:rsidTr="002E0B3C">
        <w:tc>
          <w:tcPr>
            <w:tcW w:w="2337" w:type="dxa"/>
          </w:tcPr>
          <w:p w14:paraId="5B8B7057" w14:textId="77777777" w:rsidR="002E0B3C" w:rsidRDefault="002E0B3C" w:rsidP="002E0B3C">
            <w:pPr>
              <w:pStyle w:val="TableParagraph"/>
            </w:pPr>
          </w:p>
        </w:tc>
        <w:tc>
          <w:tcPr>
            <w:tcW w:w="2337" w:type="dxa"/>
          </w:tcPr>
          <w:p w14:paraId="0F619DCA" w14:textId="77777777" w:rsidR="002E0B3C" w:rsidRDefault="002E0B3C" w:rsidP="002E0B3C">
            <w:pPr>
              <w:pStyle w:val="TableParagraph"/>
            </w:pPr>
          </w:p>
        </w:tc>
        <w:tc>
          <w:tcPr>
            <w:tcW w:w="2338" w:type="dxa"/>
          </w:tcPr>
          <w:p w14:paraId="2EEEFC3E" w14:textId="77777777" w:rsidR="002E0B3C" w:rsidRDefault="002E0B3C" w:rsidP="002E0B3C">
            <w:pPr>
              <w:pStyle w:val="TableParagraph"/>
            </w:pPr>
          </w:p>
        </w:tc>
        <w:tc>
          <w:tcPr>
            <w:tcW w:w="2338" w:type="dxa"/>
          </w:tcPr>
          <w:p w14:paraId="214F904C" w14:textId="77777777" w:rsidR="002E0B3C" w:rsidRDefault="002E0B3C" w:rsidP="002E0B3C">
            <w:pPr>
              <w:pStyle w:val="TableParagraph"/>
            </w:pPr>
          </w:p>
        </w:tc>
      </w:tr>
      <w:tr w:rsidR="002E0B3C" w14:paraId="21896F18" w14:textId="77777777" w:rsidTr="002E0B3C">
        <w:tc>
          <w:tcPr>
            <w:tcW w:w="2337" w:type="dxa"/>
          </w:tcPr>
          <w:p w14:paraId="5B44A5B0" w14:textId="77777777" w:rsidR="002E0B3C" w:rsidRDefault="002E0B3C" w:rsidP="002E0B3C">
            <w:pPr>
              <w:pStyle w:val="TableParagraph"/>
            </w:pPr>
          </w:p>
        </w:tc>
        <w:tc>
          <w:tcPr>
            <w:tcW w:w="2337" w:type="dxa"/>
          </w:tcPr>
          <w:p w14:paraId="73953EA1" w14:textId="77777777" w:rsidR="002E0B3C" w:rsidRDefault="002E0B3C" w:rsidP="002E0B3C">
            <w:pPr>
              <w:pStyle w:val="TableParagraph"/>
            </w:pPr>
          </w:p>
        </w:tc>
        <w:tc>
          <w:tcPr>
            <w:tcW w:w="2338" w:type="dxa"/>
          </w:tcPr>
          <w:p w14:paraId="3F90A3B2" w14:textId="77777777" w:rsidR="002E0B3C" w:rsidRDefault="002E0B3C" w:rsidP="002E0B3C">
            <w:pPr>
              <w:pStyle w:val="TableParagraph"/>
            </w:pPr>
          </w:p>
        </w:tc>
        <w:tc>
          <w:tcPr>
            <w:tcW w:w="2338" w:type="dxa"/>
          </w:tcPr>
          <w:p w14:paraId="2AE4AB39" w14:textId="77777777" w:rsidR="002E0B3C" w:rsidRDefault="002E0B3C" w:rsidP="002E0B3C">
            <w:pPr>
              <w:pStyle w:val="TableParagraph"/>
            </w:pPr>
          </w:p>
        </w:tc>
      </w:tr>
      <w:tr w:rsidR="002E0B3C" w14:paraId="26631407" w14:textId="77777777" w:rsidTr="002E0B3C">
        <w:tc>
          <w:tcPr>
            <w:tcW w:w="2337" w:type="dxa"/>
          </w:tcPr>
          <w:p w14:paraId="3077A6D7" w14:textId="77777777" w:rsidR="002E0B3C" w:rsidRDefault="002E0B3C" w:rsidP="002E0B3C">
            <w:pPr>
              <w:pStyle w:val="TableParagraph"/>
            </w:pPr>
          </w:p>
        </w:tc>
        <w:tc>
          <w:tcPr>
            <w:tcW w:w="2337" w:type="dxa"/>
          </w:tcPr>
          <w:p w14:paraId="794845A4" w14:textId="77777777" w:rsidR="002E0B3C" w:rsidRDefault="002E0B3C" w:rsidP="002E0B3C">
            <w:pPr>
              <w:pStyle w:val="TableParagraph"/>
            </w:pPr>
          </w:p>
        </w:tc>
        <w:tc>
          <w:tcPr>
            <w:tcW w:w="2338" w:type="dxa"/>
          </w:tcPr>
          <w:p w14:paraId="64A4A5FA" w14:textId="77777777" w:rsidR="002E0B3C" w:rsidRDefault="002E0B3C" w:rsidP="002E0B3C">
            <w:pPr>
              <w:pStyle w:val="TableParagraph"/>
            </w:pPr>
          </w:p>
        </w:tc>
        <w:tc>
          <w:tcPr>
            <w:tcW w:w="2338" w:type="dxa"/>
          </w:tcPr>
          <w:p w14:paraId="1B805C56" w14:textId="77777777" w:rsidR="002E0B3C" w:rsidRDefault="002E0B3C" w:rsidP="002E0B3C">
            <w:pPr>
              <w:pStyle w:val="TableParagraph"/>
            </w:pPr>
          </w:p>
        </w:tc>
      </w:tr>
      <w:tr w:rsidR="002E0B3C" w14:paraId="34C3E2A3" w14:textId="77777777" w:rsidTr="002E0B3C">
        <w:tc>
          <w:tcPr>
            <w:tcW w:w="2337" w:type="dxa"/>
          </w:tcPr>
          <w:p w14:paraId="025AF8BE" w14:textId="77777777" w:rsidR="002E0B3C" w:rsidRDefault="002E0B3C" w:rsidP="002E0B3C">
            <w:pPr>
              <w:pStyle w:val="TableParagraph"/>
            </w:pPr>
          </w:p>
        </w:tc>
        <w:tc>
          <w:tcPr>
            <w:tcW w:w="2337" w:type="dxa"/>
          </w:tcPr>
          <w:p w14:paraId="77052FE4" w14:textId="77777777" w:rsidR="002E0B3C" w:rsidRDefault="002E0B3C" w:rsidP="002E0B3C">
            <w:pPr>
              <w:pStyle w:val="TableParagraph"/>
            </w:pPr>
          </w:p>
        </w:tc>
        <w:tc>
          <w:tcPr>
            <w:tcW w:w="2338" w:type="dxa"/>
          </w:tcPr>
          <w:p w14:paraId="1D0B37BE" w14:textId="77777777" w:rsidR="002E0B3C" w:rsidRDefault="002E0B3C" w:rsidP="002E0B3C">
            <w:pPr>
              <w:pStyle w:val="TableParagraph"/>
            </w:pPr>
          </w:p>
        </w:tc>
        <w:tc>
          <w:tcPr>
            <w:tcW w:w="2338" w:type="dxa"/>
          </w:tcPr>
          <w:p w14:paraId="52662C72" w14:textId="77777777" w:rsidR="002E0B3C" w:rsidRDefault="002E0B3C" w:rsidP="002E0B3C">
            <w:pPr>
              <w:pStyle w:val="TableParagraph"/>
            </w:pPr>
          </w:p>
        </w:tc>
      </w:tr>
    </w:tbl>
    <w:p w14:paraId="5343A86F" w14:textId="6D037AEF" w:rsidR="00CD6371" w:rsidRDefault="00867FB4" w:rsidP="00180A94">
      <w:pPr>
        <w:pStyle w:val="Heading1"/>
      </w:pPr>
      <w:r>
        <w:t>Treatment Details</w:t>
      </w:r>
    </w:p>
    <w:p w14:paraId="39902580" w14:textId="41C239F4" w:rsidR="002E0B3C" w:rsidRDefault="002E0B3C" w:rsidP="002E0B3C">
      <w:pPr>
        <w:pStyle w:val="BodyText"/>
      </w:pPr>
      <w:r w:rsidRPr="002E0B3C">
        <w:t>Describe the water system’s treatment process(es) below:</w:t>
      </w:r>
    </w:p>
    <w:tbl>
      <w:tblPr>
        <w:tblStyle w:val="TableGrid"/>
        <w:tblW w:w="0" w:type="auto"/>
        <w:tblLook w:val="04A0" w:firstRow="1" w:lastRow="0" w:firstColumn="1" w:lastColumn="0" w:noHBand="0" w:noVBand="1"/>
      </w:tblPr>
      <w:tblGrid>
        <w:gridCol w:w="9350"/>
      </w:tblGrid>
      <w:tr w:rsidR="002E0B3C" w14:paraId="2AF0481C" w14:textId="77777777" w:rsidTr="00EA00A9">
        <w:trPr>
          <w:trHeight w:val="1250"/>
        </w:trPr>
        <w:tc>
          <w:tcPr>
            <w:tcW w:w="9350" w:type="dxa"/>
          </w:tcPr>
          <w:p w14:paraId="0B7537F4" w14:textId="77777777" w:rsidR="002E0B3C" w:rsidRDefault="002E0B3C" w:rsidP="002E0B3C">
            <w:pPr>
              <w:pStyle w:val="TableParagraph"/>
            </w:pPr>
          </w:p>
        </w:tc>
      </w:tr>
    </w:tbl>
    <w:p w14:paraId="5D93C275" w14:textId="6BBBDFF4" w:rsidR="00867FB4" w:rsidRDefault="00E87882" w:rsidP="00180A94">
      <w:pPr>
        <w:pStyle w:val="Heading1"/>
      </w:pPr>
      <w:r w:rsidRPr="002E0B3C">
        <w:t>Entry Point</w:t>
      </w:r>
      <w:r w:rsidR="00FE79CA" w:rsidRPr="002E0B3C">
        <w:t xml:space="preserve"> and Distribution Detail</w:t>
      </w:r>
      <w:r w:rsidRPr="002E0B3C">
        <w:t>s</w:t>
      </w:r>
    </w:p>
    <w:tbl>
      <w:tblPr>
        <w:tblStyle w:val="TableGrid"/>
        <w:tblW w:w="0" w:type="auto"/>
        <w:tblLook w:val="04A0" w:firstRow="1" w:lastRow="0" w:firstColumn="1" w:lastColumn="0" w:noHBand="0" w:noVBand="1"/>
      </w:tblPr>
      <w:tblGrid>
        <w:gridCol w:w="3116"/>
        <w:gridCol w:w="3117"/>
        <w:gridCol w:w="3117"/>
      </w:tblGrid>
      <w:tr w:rsidR="002E0B3C" w14:paraId="26509718" w14:textId="77777777" w:rsidTr="00EA00A9">
        <w:trPr>
          <w:tblHeader/>
        </w:trPr>
        <w:tc>
          <w:tcPr>
            <w:tcW w:w="3116" w:type="dxa"/>
            <w:shd w:val="clear" w:color="auto" w:fill="D9D9D9" w:themeFill="background1" w:themeFillShade="D9"/>
          </w:tcPr>
          <w:p w14:paraId="0D9BF203" w14:textId="5A50D34E" w:rsidR="002E0B3C" w:rsidRDefault="002E0B3C" w:rsidP="002E0B3C">
            <w:pPr>
              <w:pStyle w:val="Header"/>
            </w:pPr>
            <w:r>
              <w:t>Entry Point ID</w:t>
            </w:r>
          </w:p>
        </w:tc>
        <w:tc>
          <w:tcPr>
            <w:tcW w:w="3117" w:type="dxa"/>
            <w:shd w:val="clear" w:color="auto" w:fill="D9D9D9" w:themeFill="background1" w:themeFillShade="D9"/>
          </w:tcPr>
          <w:p w14:paraId="32A008C6" w14:textId="5E24F473" w:rsidR="002E0B3C" w:rsidRDefault="002E0B3C" w:rsidP="002E0B3C">
            <w:pPr>
              <w:pStyle w:val="Header"/>
            </w:pPr>
            <w:r w:rsidRPr="002E0B3C">
              <w:t>Contributing Sources</w:t>
            </w:r>
          </w:p>
        </w:tc>
        <w:tc>
          <w:tcPr>
            <w:tcW w:w="3117" w:type="dxa"/>
            <w:shd w:val="clear" w:color="auto" w:fill="D9D9D9" w:themeFill="background1" w:themeFillShade="D9"/>
          </w:tcPr>
          <w:p w14:paraId="407D69CC" w14:textId="0CF3A117" w:rsidR="002E0B3C" w:rsidRDefault="002E0B3C" w:rsidP="002E0B3C">
            <w:pPr>
              <w:pStyle w:val="Header"/>
            </w:pPr>
            <w:r w:rsidRPr="002E0B3C">
              <w:t>Sampling Location</w:t>
            </w:r>
          </w:p>
        </w:tc>
      </w:tr>
      <w:tr w:rsidR="002E0B3C" w14:paraId="51D44636" w14:textId="77777777" w:rsidTr="002E0B3C">
        <w:tc>
          <w:tcPr>
            <w:tcW w:w="3116" w:type="dxa"/>
          </w:tcPr>
          <w:p w14:paraId="7CC14157" w14:textId="77777777" w:rsidR="002E0B3C" w:rsidRDefault="002E0B3C" w:rsidP="002E0B3C">
            <w:pPr>
              <w:pStyle w:val="TableParagraph"/>
            </w:pPr>
          </w:p>
        </w:tc>
        <w:tc>
          <w:tcPr>
            <w:tcW w:w="3117" w:type="dxa"/>
          </w:tcPr>
          <w:p w14:paraId="1CF4ADB4" w14:textId="77777777" w:rsidR="002E0B3C" w:rsidRDefault="002E0B3C" w:rsidP="002E0B3C">
            <w:pPr>
              <w:pStyle w:val="TableParagraph"/>
            </w:pPr>
          </w:p>
        </w:tc>
        <w:tc>
          <w:tcPr>
            <w:tcW w:w="3117" w:type="dxa"/>
          </w:tcPr>
          <w:p w14:paraId="71B8990C" w14:textId="77777777" w:rsidR="002E0B3C" w:rsidRDefault="002E0B3C" w:rsidP="002E0B3C">
            <w:pPr>
              <w:pStyle w:val="TableParagraph"/>
            </w:pPr>
          </w:p>
        </w:tc>
      </w:tr>
      <w:tr w:rsidR="002E0B3C" w14:paraId="6F3E73FB" w14:textId="77777777" w:rsidTr="002E0B3C">
        <w:tc>
          <w:tcPr>
            <w:tcW w:w="3116" w:type="dxa"/>
          </w:tcPr>
          <w:p w14:paraId="57967256" w14:textId="77777777" w:rsidR="002E0B3C" w:rsidRDefault="002E0B3C" w:rsidP="002E0B3C">
            <w:pPr>
              <w:pStyle w:val="TableParagraph"/>
            </w:pPr>
          </w:p>
        </w:tc>
        <w:tc>
          <w:tcPr>
            <w:tcW w:w="3117" w:type="dxa"/>
          </w:tcPr>
          <w:p w14:paraId="41AD3C96" w14:textId="77777777" w:rsidR="002E0B3C" w:rsidRDefault="002E0B3C" w:rsidP="002E0B3C">
            <w:pPr>
              <w:pStyle w:val="TableParagraph"/>
            </w:pPr>
          </w:p>
        </w:tc>
        <w:tc>
          <w:tcPr>
            <w:tcW w:w="3117" w:type="dxa"/>
          </w:tcPr>
          <w:p w14:paraId="2DFA1D30" w14:textId="77777777" w:rsidR="002E0B3C" w:rsidRDefault="002E0B3C" w:rsidP="002E0B3C">
            <w:pPr>
              <w:pStyle w:val="TableParagraph"/>
            </w:pPr>
          </w:p>
        </w:tc>
      </w:tr>
      <w:tr w:rsidR="002E0B3C" w14:paraId="39EFBF84" w14:textId="77777777" w:rsidTr="002E0B3C">
        <w:tc>
          <w:tcPr>
            <w:tcW w:w="3116" w:type="dxa"/>
          </w:tcPr>
          <w:p w14:paraId="49F45134" w14:textId="77777777" w:rsidR="002E0B3C" w:rsidRDefault="002E0B3C" w:rsidP="002E0B3C">
            <w:pPr>
              <w:pStyle w:val="TableParagraph"/>
            </w:pPr>
          </w:p>
        </w:tc>
        <w:tc>
          <w:tcPr>
            <w:tcW w:w="3117" w:type="dxa"/>
          </w:tcPr>
          <w:p w14:paraId="3CDC1CD2" w14:textId="77777777" w:rsidR="002E0B3C" w:rsidRDefault="002E0B3C" w:rsidP="002E0B3C">
            <w:pPr>
              <w:pStyle w:val="TableParagraph"/>
            </w:pPr>
          </w:p>
        </w:tc>
        <w:tc>
          <w:tcPr>
            <w:tcW w:w="3117" w:type="dxa"/>
          </w:tcPr>
          <w:p w14:paraId="634A7177" w14:textId="77777777" w:rsidR="002E0B3C" w:rsidRDefault="002E0B3C" w:rsidP="002E0B3C">
            <w:pPr>
              <w:pStyle w:val="TableParagraph"/>
            </w:pPr>
          </w:p>
        </w:tc>
      </w:tr>
      <w:tr w:rsidR="002E0B3C" w14:paraId="36FE8966" w14:textId="77777777" w:rsidTr="002E0B3C">
        <w:tc>
          <w:tcPr>
            <w:tcW w:w="3116" w:type="dxa"/>
          </w:tcPr>
          <w:p w14:paraId="547BD077" w14:textId="77777777" w:rsidR="002E0B3C" w:rsidRDefault="002E0B3C" w:rsidP="002E0B3C">
            <w:pPr>
              <w:pStyle w:val="TableParagraph"/>
            </w:pPr>
          </w:p>
        </w:tc>
        <w:tc>
          <w:tcPr>
            <w:tcW w:w="3117" w:type="dxa"/>
          </w:tcPr>
          <w:p w14:paraId="2CF93CC0" w14:textId="77777777" w:rsidR="002E0B3C" w:rsidRDefault="002E0B3C" w:rsidP="002E0B3C">
            <w:pPr>
              <w:pStyle w:val="TableParagraph"/>
            </w:pPr>
          </w:p>
        </w:tc>
        <w:tc>
          <w:tcPr>
            <w:tcW w:w="3117" w:type="dxa"/>
          </w:tcPr>
          <w:p w14:paraId="709C4B38" w14:textId="77777777" w:rsidR="002E0B3C" w:rsidRDefault="002E0B3C" w:rsidP="002E0B3C">
            <w:pPr>
              <w:pStyle w:val="TableParagraph"/>
            </w:pPr>
          </w:p>
        </w:tc>
      </w:tr>
      <w:tr w:rsidR="00CC2BD2" w14:paraId="2B26F5B4" w14:textId="77777777" w:rsidTr="002E0B3C">
        <w:tc>
          <w:tcPr>
            <w:tcW w:w="3116" w:type="dxa"/>
          </w:tcPr>
          <w:p w14:paraId="66FC0C0F" w14:textId="77777777" w:rsidR="00CC2BD2" w:rsidRDefault="00CC2BD2" w:rsidP="002E0B3C">
            <w:pPr>
              <w:pStyle w:val="TableParagraph"/>
            </w:pPr>
          </w:p>
        </w:tc>
        <w:tc>
          <w:tcPr>
            <w:tcW w:w="3117" w:type="dxa"/>
          </w:tcPr>
          <w:p w14:paraId="6E678758" w14:textId="77777777" w:rsidR="00CC2BD2" w:rsidRDefault="00CC2BD2" w:rsidP="002E0B3C">
            <w:pPr>
              <w:pStyle w:val="TableParagraph"/>
            </w:pPr>
          </w:p>
        </w:tc>
        <w:tc>
          <w:tcPr>
            <w:tcW w:w="3117" w:type="dxa"/>
          </w:tcPr>
          <w:p w14:paraId="14C02A64" w14:textId="77777777" w:rsidR="00CC2BD2" w:rsidRDefault="00CC2BD2" w:rsidP="002E0B3C">
            <w:pPr>
              <w:pStyle w:val="TableParagraph"/>
            </w:pPr>
          </w:p>
        </w:tc>
      </w:tr>
    </w:tbl>
    <w:p w14:paraId="432EB49F" w14:textId="77777777" w:rsidR="00CC2BD2" w:rsidRDefault="00CC2BD2">
      <w:pPr>
        <w:rPr>
          <w:rStyle w:val="Strong"/>
          <w:sz w:val="20"/>
          <w:szCs w:val="20"/>
        </w:rPr>
      </w:pPr>
      <w:r>
        <w:rPr>
          <w:rStyle w:val="Strong"/>
        </w:rPr>
        <w:br w:type="page"/>
      </w:r>
    </w:p>
    <w:p w14:paraId="1E410472" w14:textId="51E116A6" w:rsidR="00E87882" w:rsidRPr="00CC2BD2" w:rsidRDefault="00104D14" w:rsidP="00CC2BD2">
      <w:pPr>
        <w:pStyle w:val="BodyText"/>
        <w:rPr>
          <w:rStyle w:val="Strong"/>
        </w:rPr>
      </w:pPr>
      <w:r w:rsidRPr="00CC2BD2">
        <w:rPr>
          <w:rStyle w:val="Strong"/>
        </w:rPr>
        <w:lastRenderedPageBreak/>
        <w:t xml:space="preserve">Down below, describe </w:t>
      </w:r>
      <w:r w:rsidR="00B360DB" w:rsidRPr="00CC2BD2">
        <w:rPr>
          <w:rStyle w:val="Strong"/>
        </w:rPr>
        <w:t xml:space="preserve">any of </w:t>
      </w:r>
      <w:r w:rsidRPr="00CC2BD2">
        <w:rPr>
          <w:rStyle w:val="Strong"/>
        </w:rPr>
        <w:t xml:space="preserve">the water system’s </w:t>
      </w:r>
      <w:r w:rsidR="00B360DB" w:rsidRPr="00CC2BD2">
        <w:rPr>
          <w:rStyle w:val="Strong"/>
        </w:rPr>
        <w:t>distribution attributes such as pressure planes, booster disinfecting, or wholesale connections to other public water systems.</w:t>
      </w:r>
    </w:p>
    <w:tbl>
      <w:tblPr>
        <w:tblStyle w:val="TableGrid"/>
        <w:tblW w:w="0" w:type="auto"/>
        <w:tblLook w:val="04A0" w:firstRow="1" w:lastRow="0" w:firstColumn="1" w:lastColumn="0" w:noHBand="0" w:noVBand="1"/>
      </w:tblPr>
      <w:tblGrid>
        <w:gridCol w:w="9350"/>
      </w:tblGrid>
      <w:tr w:rsidR="00CC2BD2" w14:paraId="6F0B2A17" w14:textId="77777777" w:rsidTr="00EA00A9">
        <w:trPr>
          <w:trHeight w:val="1475"/>
        </w:trPr>
        <w:tc>
          <w:tcPr>
            <w:tcW w:w="9350" w:type="dxa"/>
          </w:tcPr>
          <w:p w14:paraId="72061972" w14:textId="77777777" w:rsidR="00CC2BD2" w:rsidRDefault="00CC2BD2" w:rsidP="00CC2BD2">
            <w:pPr>
              <w:pStyle w:val="TableParagraph"/>
              <w:rPr>
                <w:rStyle w:val="Strong"/>
              </w:rPr>
            </w:pPr>
          </w:p>
        </w:tc>
      </w:tr>
    </w:tbl>
    <w:p w14:paraId="2A53B4E0" w14:textId="5DC0741D" w:rsidR="00F44BD9" w:rsidRPr="00CC2BD2" w:rsidRDefault="00BE3D8E" w:rsidP="00180A94">
      <w:pPr>
        <w:pStyle w:val="Heading1"/>
      </w:pPr>
      <w:r w:rsidRPr="00CC2BD2">
        <w:t>Groundwater Rule</w:t>
      </w:r>
      <w:r w:rsidR="00193D6E" w:rsidRPr="00CC2BD2">
        <w:t xml:space="preserve"> (</w:t>
      </w:r>
      <w:r w:rsidRPr="00CC2BD2">
        <w:t>GWR</w:t>
      </w:r>
      <w:r w:rsidR="00193D6E" w:rsidRPr="00CC2BD2">
        <w:t>)</w:t>
      </w:r>
    </w:p>
    <w:p w14:paraId="12CD42B6" w14:textId="097D7BAF" w:rsidR="00C1214F" w:rsidRPr="00CC2BD2" w:rsidRDefault="00FA0D45" w:rsidP="00CC2BD2">
      <w:pPr>
        <w:pStyle w:val="BodyText"/>
      </w:pPr>
      <w:r w:rsidRPr="00CC2BD2">
        <w:t xml:space="preserve">Within 24 hours of notification that a distribution system sample is positive for coliform bacteria, the system must collect a raw </w:t>
      </w:r>
      <w:r w:rsidRPr="00CC2BD2">
        <w:rPr>
          <w:rStyle w:val="Emphasis"/>
        </w:rPr>
        <w:t>E. coli</w:t>
      </w:r>
      <w:r w:rsidRPr="00CC2BD2">
        <w:t xml:space="preserve"> sample from each groundwater source that was in use at the time of the positive.</w:t>
      </w:r>
    </w:p>
    <w:p w14:paraId="2DFE90AA" w14:textId="68CB453A" w:rsidR="00FA0D45" w:rsidRPr="00CC2BD2" w:rsidRDefault="00FA0D45" w:rsidP="00CC2BD2">
      <w:pPr>
        <w:pStyle w:val="Heading2"/>
      </w:pPr>
      <w:r w:rsidRPr="00CC2BD2">
        <w:t>Triggered Source Monitoring (TSM)</w:t>
      </w:r>
    </w:p>
    <w:p w14:paraId="592BABF1" w14:textId="563EA485" w:rsidR="00FA0D45" w:rsidRPr="00CC2BD2" w:rsidRDefault="00FA0D45" w:rsidP="00CC2BD2">
      <w:pPr>
        <w:pStyle w:val="BodyText"/>
      </w:pPr>
      <w:r w:rsidRPr="00CC2BD2">
        <w:t xml:space="preserve">Systems with </w:t>
      </w:r>
      <w:r w:rsidR="00421EF1" w:rsidRPr="00CC2BD2">
        <w:t xml:space="preserve">multiple </w:t>
      </w:r>
      <w:r w:rsidRPr="00CC2BD2">
        <w:t>well</w:t>
      </w:r>
      <w:r w:rsidR="00421EF1" w:rsidRPr="00CC2BD2">
        <w:t>s</w:t>
      </w:r>
      <w:r w:rsidRPr="00CC2BD2">
        <w:t xml:space="preserve"> </w:t>
      </w:r>
      <w:r w:rsidR="00421EF1" w:rsidRPr="00CC2BD2">
        <w:t xml:space="preserve">may be able to take a representative sample </w:t>
      </w:r>
      <w:r w:rsidR="00FD0975" w:rsidRPr="00CC2BD2">
        <w:t>for TSM, or other</w:t>
      </w:r>
      <w:r w:rsidR="00421EF1" w:rsidRPr="00CC2BD2">
        <w:t xml:space="preserve"> circumstances that call for raw samples. The system must identify wells </w:t>
      </w:r>
      <w:r w:rsidR="00D8088C" w:rsidRPr="00CC2BD2">
        <w:t>which</w:t>
      </w:r>
      <w:r w:rsidR="00421EF1" w:rsidRPr="00CC2BD2">
        <w:t xml:space="preserve"> are hydraulically similar and relatively close in proximity that they wish to have grouped for these representative samples. Once submitted by the system and approved by the TCEQ, th</w:t>
      </w:r>
      <w:r w:rsidR="00FD0975" w:rsidRPr="00CC2BD2">
        <w:t>e</w:t>
      </w:r>
      <w:r w:rsidR="00421EF1" w:rsidRPr="00CC2BD2">
        <w:t xml:space="preserve"> triggered source monitoring plan (TSMP) should always be attached to any copy of the system’s monitoring plan</w:t>
      </w:r>
      <w:r w:rsidRPr="00CC2BD2">
        <w:t>.</w:t>
      </w:r>
    </w:p>
    <w:tbl>
      <w:tblPr>
        <w:tblStyle w:val="TableGrid"/>
        <w:tblW w:w="0" w:type="auto"/>
        <w:tblLook w:val="04A0" w:firstRow="1" w:lastRow="0" w:firstColumn="1" w:lastColumn="0" w:noHBand="0" w:noVBand="1"/>
      </w:tblPr>
      <w:tblGrid>
        <w:gridCol w:w="6451"/>
        <w:gridCol w:w="1489"/>
        <w:gridCol w:w="1410"/>
      </w:tblGrid>
      <w:tr w:rsidR="0097079D" w14:paraId="473732A8" w14:textId="77777777" w:rsidTr="00CC2BD2">
        <w:trPr>
          <w:trHeight w:val="360"/>
        </w:trPr>
        <w:tc>
          <w:tcPr>
            <w:tcW w:w="6675" w:type="dxa"/>
            <w:shd w:val="clear" w:color="auto" w:fill="D9D9D9" w:themeFill="background1" w:themeFillShade="D9"/>
            <w:vAlign w:val="center"/>
          </w:tcPr>
          <w:p w14:paraId="1AA17FEF" w14:textId="470C5C44" w:rsidR="0097079D" w:rsidRPr="00217886" w:rsidRDefault="0097079D" w:rsidP="00CC2BD2">
            <w:pPr>
              <w:pStyle w:val="TableParagraph"/>
              <w:rPr>
                <w:rStyle w:val="Strong"/>
              </w:rPr>
            </w:pPr>
            <w:r w:rsidRPr="00217886">
              <w:rPr>
                <w:rStyle w:val="Strong"/>
              </w:rPr>
              <w:t>Does the system have a TCEQ approved triggered source monitoring plan?</w:t>
            </w:r>
          </w:p>
        </w:tc>
        <w:tc>
          <w:tcPr>
            <w:tcW w:w="1529" w:type="dxa"/>
            <w:tcBorders>
              <w:right w:val="nil"/>
            </w:tcBorders>
            <w:shd w:val="clear" w:color="auto" w:fill="FFFFFF" w:themeFill="background1"/>
            <w:vAlign w:val="center"/>
          </w:tcPr>
          <w:p w14:paraId="40B5A3DB" w14:textId="13FC19BC" w:rsidR="0097079D" w:rsidRDefault="00CC2BD2" w:rsidP="00CC2BD2">
            <w:pPr>
              <w:pStyle w:val="TableParagraph"/>
              <w:jc w:val="center"/>
            </w:pPr>
            <w:r>
              <w:rPr>
                <w:rFonts w:ascii="Segoe UI" w:hAnsi="Segoe UI" w:cs="Segoe UI"/>
              </w:rPr>
              <w:fldChar w:fldCharType="begin">
                <w:ffData>
                  <w:name w:val="Check6"/>
                  <w:enabled/>
                  <w:calcOnExit w:val="0"/>
                  <w:checkBox>
                    <w:sizeAuto/>
                    <w:default w:val="0"/>
                  </w:checkBox>
                </w:ffData>
              </w:fldChar>
            </w:r>
            <w:bookmarkStart w:id="14" w:name="Check6"/>
            <w:r>
              <w:rPr>
                <w:rFonts w:ascii="Segoe UI" w:hAnsi="Segoe UI" w:cs="Segoe UI"/>
              </w:rPr>
              <w:instrText xml:space="preserve"> FORMCHECKBOX </w:instrText>
            </w:r>
            <w:r w:rsidR="00083934">
              <w:rPr>
                <w:rFonts w:ascii="Segoe UI" w:hAnsi="Segoe UI" w:cs="Segoe UI"/>
              </w:rPr>
            </w:r>
            <w:r w:rsidR="00083934">
              <w:rPr>
                <w:rFonts w:ascii="Segoe UI" w:hAnsi="Segoe UI" w:cs="Segoe UI"/>
              </w:rPr>
              <w:fldChar w:fldCharType="separate"/>
            </w:r>
            <w:r>
              <w:rPr>
                <w:rFonts w:ascii="Segoe UI" w:hAnsi="Segoe UI" w:cs="Segoe UI"/>
              </w:rPr>
              <w:fldChar w:fldCharType="end"/>
            </w:r>
            <w:bookmarkEnd w:id="14"/>
            <w:r>
              <w:rPr>
                <w:rFonts w:ascii="Segoe UI" w:hAnsi="Segoe UI" w:cs="Segoe UI"/>
              </w:rPr>
              <w:t xml:space="preserve"> </w:t>
            </w:r>
            <w:r w:rsidR="0097079D" w:rsidRPr="00AD4613">
              <w:t>Yes</w:t>
            </w:r>
          </w:p>
        </w:tc>
        <w:tc>
          <w:tcPr>
            <w:tcW w:w="1450" w:type="dxa"/>
            <w:tcBorders>
              <w:left w:val="nil"/>
            </w:tcBorders>
            <w:shd w:val="clear" w:color="auto" w:fill="FFFFFF" w:themeFill="background1"/>
            <w:vAlign w:val="center"/>
          </w:tcPr>
          <w:p w14:paraId="135BE399" w14:textId="62022A32" w:rsidR="0097079D" w:rsidRDefault="00CC2BD2" w:rsidP="00CC2BD2">
            <w:pPr>
              <w:pStyle w:val="TableParagraph"/>
              <w:jc w:val="center"/>
            </w:pPr>
            <w:r>
              <w:rPr>
                <w:rFonts w:ascii="MS Gothic" w:eastAsia="MS Gothic" w:hAnsi="MS Gothic"/>
              </w:rPr>
              <w:fldChar w:fldCharType="begin">
                <w:ffData>
                  <w:name w:val="Check7"/>
                  <w:enabled/>
                  <w:calcOnExit w:val="0"/>
                  <w:checkBox>
                    <w:sizeAuto/>
                    <w:default w:val="0"/>
                  </w:checkBox>
                </w:ffData>
              </w:fldChar>
            </w:r>
            <w:bookmarkStart w:id="15" w:name="Check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3934">
              <w:rPr>
                <w:rFonts w:ascii="MS Gothic" w:eastAsia="MS Gothic" w:hAnsi="MS Gothic"/>
              </w:rPr>
            </w:r>
            <w:r w:rsidR="00083934">
              <w:rPr>
                <w:rFonts w:ascii="MS Gothic" w:eastAsia="MS Gothic" w:hAnsi="MS Gothic"/>
              </w:rPr>
              <w:fldChar w:fldCharType="separate"/>
            </w:r>
            <w:r>
              <w:rPr>
                <w:rFonts w:ascii="MS Gothic" w:eastAsia="MS Gothic" w:hAnsi="MS Gothic"/>
              </w:rPr>
              <w:fldChar w:fldCharType="end"/>
            </w:r>
            <w:bookmarkEnd w:id="15"/>
            <w:r>
              <w:rPr>
                <w:rFonts w:ascii="MS Gothic" w:eastAsia="MS Gothic" w:hAnsi="MS Gothic"/>
              </w:rPr>
              <w:t xml:space="preserve"> </w:t>
            </w:r>
            <w:r w:rsidR="0097079D" w:rsidRPr="00AD4613">
              <w:t>No</w:t>
            </w:r>
          </w:p>
        </w:tc>
      </w:tr>
    </w:tbl>
    <w:p w14:paraId="0C7AC5FE" w14:textId="74B86440" w:rsidR="0097079D" w:rsidRPr="00CC2BD2" w:rsidRDefault="0097079D" w:rsidP="00CC2BD2">
      <w:pPr>
        <w:pStyle w:val="Heading2"/>
      </w:pPr>
      <w:r w:rsidRPr="00CC2BD2">
        <w:t>Compliance Monitoring for 4-log (Inactivation of Viruses) Treatment</w:t>
      </w:r>
    </w:p>
    <w:p w14:paraId="60EAE455" w14:textId="58707A43" w:rsidR="0097079D" w:rsidRPr="00CC2BD2" w:rsidRDefault="0097079D" w:rsidP="00CC2BD2">
      <w:pPr>
        <w:pStyle w:val="BodyText"/>
      </w:pPr>
      <w:r w:rsidRPr="00CC2BD2">
        <w:t>The system must maintain the TCEQ approved minimum specified residual (MSR) every day the system serves groundwater to consumers. The disinfectant residual must be monitored at the entry point.</w:t>
      </w:r>
    </w:p>
    <w:p w14:paraId="6E0F538C" w14:textId="043C69F8" w:rsidR="0097079D" w:rsidRPr="00CC2BD2" w:rsidRDefault="0097079D" w:rsidP="00CC2BD2">
      <w:pPr>
        <w:pStyle w:val="BodyText"/>
      </w:pPr>
      <w:r w:rsidRPr="00CC2BD2">
        <w:t>If the disinfectant residual concentration falls below the TCEQ approved MSR, the system must collect pH, hours below MSR, and flow rate. TCEQ will use these readings to determine if the system was in violation.</w:t>
      </w:r>
    </w:p>
    <w:tbl>
      <w:tblPr>
        <w:tblStyle w:val="TableGrid"/>
        <w:tblW w:w="0" w:type="auto"/>
        <w:tblLook w:val="04A0" w:firstRow="1" w:lastRow="0" w:firstColumn="1" w:lastColumn="0" w:noHBand="0" w:noVBand="1"/>
      </w:tblPr>
      <w:tblGrid>
        <w:gridCol w:w="6510"/>
        <w:gridCol w:w="1456"/>
        <w:gridCol w:w="1384"/>
      </w:tblGrid>
      <w:tr w:rsidR="0097079D" w14:paraId="6A224193" w14:textId="77777777" w:rsidTr="00CC2BD2">
        <w:trPr>
          <w:trHeight w:val="360"/>
        </w:trPr>
        <w:tc>
          <w:tcPr>
            <w:tcW w:w="6736" w:type="dxa"/>
            <w:shd w:val="clear" w:color="auto" w:fill="D9D9D9" w:themeFill="background1" w:themeFillShade="D9"/>
            <w:vAlign w:val="center"/>
          </w:tcPr>
          <w:p w14:paraId="343CEAD8" w14:textId="656DF07F" w:rsidR="0097079D" w:rsidRPr="00217886" w:rsidRDefault="0097079D" w:rsidP="00CC2BD2">
            <w:pPr>
              <w:pStyle w:val="TableParagraph"/>
              <w:rPr>
                <w:rStyle w:val="Strong"/>
              </w:rPr>
            </w:pPr>
            <w:r w:rsidRPr="00217886">
              <w:rPr>
                <w:rStyle w:val="Strong"/>
              </w:rPr>
              <w:t>Has the system received TCEQ approval to use 4-log treatment?</w:t>
            </w:r>
          </w:p>
        </w:tc>
        <w:tc>
          <w:tcPr>
            <w:tcW w:w="1495" w:type="dxa"/>
            <w:tcBorders>
              <w:right w:val="nil"/>
            </w:tcBorders>
            <w:shd w:val="clear" w:color="auto" w:fill="FFFFFF" w:themeFill="background1"/>
            <w:vAlign w:val="center"/>
          </w:tcPr>
          <w:p w14:paraId="200A233B" w14:textId="116B77C3" w:rsidR="0097079D" w:rsidRPr="00F70D5E" w:rsidRDefault="00CC2BD2" w:rsidP="00CC2BD2">
            <w:pPr>
              <w:pStyle w:val="TableParagraph"/>
              <w:jc w:val="center"/>
            </w:pPr>
            <w:r>
              <w:rPr>
                <w:rFonts w:ascii="MS Gothic" w:eastAsia="MS Gothic" w:hAnsi="MS Gothic"/>
              </w:rPr>
              <w:fldChar w:fldCharType="begin">
                <w:ffData>
                  <w:name w:val="Check8"/>
                  <w:enabled/>
                  <w:calcOnExit w:val="0"/>
                  <w:checkBox>
                    <w:sizeAuto/>
                    <w:default w:val="0"/>
                  </w:checkBox>
                </w:ffData>
              </w:fldChar>
            </w:r>
            <w:bookmarkStart w:id="16" w:name="Check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3934">
              <w:rPr>
                <w:rFonts w:ascii="MS Gothic" w:eastAsia="MS Gothic" w:hAnsi="MS Gothic"/>
              </w:rPr>
            </w:r>
            <w:r w:rsidR="00083934">
              <w:rPr>
                <w:rFonts w:ascii="MS Gothic" w:eastAsia="MS Gothic" w:hAnsi="MS Gothic"/>
              </w:rPr>
              <w:fldChar w:fldCharType="separate"/>
            </w:r>
            <w:r>
              <w:rPr>
                <w:rFonts w:ascii="MS Gothic" w:eastAsia="MS Gothic" w:hAnsi="MS Gothic"/>
              </w:rPr>
              <w:fldChar w:fldCharType="end"/>
            </w:r>
            <w:bookmarkEnd w:id="16"/>
            <w:r>
              <w:rPr>
                <w:rFonts w:ascii="MS Gothic" w:eastAsia="MS Gothic" w:hAnsi="MS Gothic"/>
              </w:rPr>
              <w:t xml:space="preserve"> </w:t>
            </w:r>
            <w:r w:rsidR="0097079D" w:rsidRPr="00F70D5E">
              <w:t>Yes</w:t>
            </w:r>
          </w:p>
        </w:tc>
        <w:tc>
          <w:tcPr>
            <w:tcW w:w="1423" w:type="dxa"/>
            <w:tcBorders>
              <w:left w:val="nil"/>
            </w:tcBorders>
            <w:shd w:val="clear" w:color="auto" w:fill="FFFFFF" w:themeFill="background1"/>
            <w:vAlign w:val="center"/>
          </w:tcPr>
          <w:p w14:paraId="3FF66234" w14:textId="62DE1FAC" w:rsidR="0097079D" w:rsidRPr="00F70D5E" w:rsidRDefault="00CC2BD2" w:rsidP="00CC2BD2">
            <w:pPr>
              <w:pStyle w:val="TableParagraph"/>
              <w:jc w:val="center"/>
            </w:pPr>
            <w:r>
              <w:rPr>
                <w:rFonts w:ascii="MS Gothic" w:eastAsia="MS Gothic" w:hAnsi="MS Gothic"/>
              </w:rPr>
              <w:fldChar w:fldCharType="begin">
                <w:ffData>
                  <w:name w:val="Check9"/>
                  <w:enabled/>
                  <w:calcOnExit w:val="0"/>
                  <w:checkBox>
                    <w:sizeAuto/>
                    <w:default w:val="0"/>
                  </w:checkBox>
                </w:ffData>
              </w:fldChar>
            </w:r>
            <w:bookmarkStart w:id="17" w:name="Check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3934">
              <w:rPr>
                <w:rFonts w:ascii="MS Gothic" w:eastAsia="MS Gothic" w:hAnsi="MS Gothic"/>
              </w:rPr>
            </w:r>
            <w:r w:rsidR="00083934">
              <w:rPr>
                <w:rFonts w:ascii="MS Gothic" w:eastAsia="MS Gothic" w:hAnsi="MS Gothic"/>
              </w:rPr>
              <w:fldChar w:fldCharType="separate"/>
            </w:r>
            <w:r>
              <w:rPr>
                <w:rFonts w:ascii="MS Gothic" w:eastAsia="MS Gothic" w:hAnsi="MS Gothic"/>
              </w:rPr>
              <w:fldChar w:fldCharType="end"/>
            </w:r>
            <w:bookmarkEnd w:id="17"/>
            <w:r>
              <w:rPr>
                <w:rFonts w:ascii="MS Gothic" w:eastAsia="MS Gothic" w:hAnsi="MS Gothic"/>
              </w:rPr>
              <w:t xml:space="preserve"> </w:t>
            </w:r>
            <w:r w:rsidR="0097079D" w:rsidRPr="00F70D5E">
              <w:t>No</w:t>
            </w:r>
          </w:p>
        </w:tc>
      </w:tr>
    </w:tbl>
    <w:p w14:paraId="1CBA0ABD" w14:textId="2E787595" w:rsidR="0097079D" w:rsidRDefault="009E7804" w:rsidP="00CC2BD2">
      <w:pPr>
        <w:pStyle w:val="Heading2"/>
      </w:pPr>
      <w:r w:rsidRPr="00CC2BD2">
        <w:t>Residual Monitoring for 4-log Compliance</w:t>
      </w:r>
    </w:p>
    <w:tbl>
      <w:tblPr>
        <w:tblStyle w:val="TableGrid"/>
        <w:tblW w:w="0" w:type="auto"/>
        <w:tblLook w:val="04A0" w:firstRow="1" w:lastRow="0" w:firstColumn="1" w:lastColumn="0" w:noHBand="0" w:noVBand="1"/>
      </w:tblPr>
      <w:tblGrid>
        <w:gridCol w:w="3116"/>
        <w:gridCol w:w="3117"/>
        <w:gridCol w:w="3117"/>
      </w:tblGrid>
      <w:tr w:rsidR="00CC2BD2" w14:paraId="60A06515" w14:textId="77777777" w:rsidTr="00EA00A9">
        <w:trPr>
          <w:tblHeader/>
        </w:trPr>
        <w:tc>
          <w:tcPr>
            <w:tcW w:w="3116" w:type="dxa"/>
            <w:shd w:val="clear" w:color="auto" w:fill="D9D9D9" w:themeFill="background1" w:themeFillShade="D9"/>
          </w:tcPr>
          <w:p w14:paraId="7F4D375C" w14:textId="79D56E69" w:rsidR="00CC2BD2" w:rsidRDefault="00CC2BD2" w:rsidP="00CC2BD2">
            <w:pPr>
              <w:pStyle w:val="Header"/>
            </w:pPr>
            <w:r w:rsidRPr="009171F6">
              <w:t>Source(s)</w:t>
            </w:r>
          </w:p>
        </w:tc>
        <w:tc>
          <w:tcPr>
            <w:tcW w:w="3117" w:type="dxa"/>
            <w:shd w:val="clear" w:color="auto" w:fill="D9D9D9" w:themeFill="background1" w:themeFillShade="D9"/>
          </w:tcPr>
          <w:p w14:paraId="5051BD48" w14:textId="0BF9BC2A" w:rsidR="00CC2BD2" w:rsidRDefault="00CC2BD2" w:rsidP="00CC2BD2">
            <w:pPr>
              <w:pStyle w:val="Header"/>
            </w:pPr>
            <w:r w:rsidRPr="009171F6">
              <w:t>MSR</w:t>
            </w:r>
          </w:p>
        </w:tc>
        <w:tc>
          <w:tcPr>
            <w:tcW w:w="3117" w:type="dxa"/>
            <w:shd w:val="clear" w:color="auto" w:fill="D9D9D9" w:themeFill="background1" w:themeFillShade="D9"/>
          </w:tcPr>
          <w:p w14:paraId="6AD74C8B" w14:textId="06B46137" w:rsidR="00CC2BD2" w:rsidRDefault="00CC2BD2" w:rsidP="00CC2BD2">
            <w:pPr>
              <w:pStyle w:val="Header"/>
            </w:pPr>
            <w:r w:rsidRPr="009171F6">
              <w:t>Sampling Location</w:t>
            </w:r>
          </w:p>
        </w:tc>
      </w:tr>
      <w:tr w:rsidR="00CC2BD2" w14:paraId="4525EFB7" w14:textId="77777777" w:rsidTr="00CC2BD2">
        <w:tc>
          <w:tcPr>
            <w:tcW w:w="3116" w:type="dxa"/>
          </w:tcPr>
          <w:p w14:paraId="0452C8C0" w14:textId="77777777" w:rsidR="00CC2BD2" w:rsidRDefault="00CC2BD2" w:rsidP="00CC2BD2">
            <w:pPr>
              <w:pStyle w:val="TableParagraph"/>
            </w:pPr>
          </w:p>
        </w:tc>
        <w:tc>
          <w:tcPr>
            <w:tcW w:w="3117" w:type="dxa"/>
          </w:tcPr>
          <w:p w14:paraId="76EC135C" w14:textId="77777777" w:rsidR="00CC2BD2" w:rsidRDefault="00CC2BD2" w:rsidP="00CC2BD2">
            <w:pPr>
              <w:pStyle w:val="TableParagraph"/>
            </w:pPr>
          </w:p>
        </w:tc>
        <w:tc>
          <w:tcPr>
            <w:tcW w:w="3117" w:type="dxa"/>
          </w:tcPr>
          <w:p w14:paraId="59AFB7AB" w14:textId="77777777" w:rsidR="00CC2BD2" w:rsidRDefault="00CC2BD2" w:rsidP="00CC2BD2">
            <w:pPr>
              <w:pStyle w:val="TableParagraph"/>
            </w:pPr>
          </w:p>
        </w:tc>
      </w:tr>
      <w:tr w:rsidR="00CC2BD2" w14:paraId="33A561B5" w14:textId="77777777" w:rsidTr="00CC2BD2">
        <w:tc>
          <w:tcPr>
            <w:tcW w:w="3116" w:type="dxa"/>
          </w:tcPr>
          <w:p w14:paraId="5B6A1C17" w14:textId="77777777" w:rsidR="00CC2BD2" w:rsidRDefault="00CC2BD2" w:rsidP="00CC2BD2">
            <w:pPr>
              <w:pStyle w:val="TableParagraph"/>
            </w:pPr>
          </w:p>
        </w:tc>
        <w:tc>
          <w:tcPr>
            <w:tcW w:w="3117" w:type="dxa"/>
          </w:tcPr>
          <w:p w14:paraId="10C48BAE" w14:textId="77777777" w:rsidR="00CC2BD2" w:rsidRDefault="00CC2BD2" w:rsidP="00CC2BD2">
            <w:pPr>
              <w:pStyle w:val="TableParagraph"/>
            </w:pPr>
          </w:p>
        </w:tc>
        <w:tc>
          <w:tcPr>
            <w:tcW w:w="3117" w:type="dxa"/>
          </w:tcPr>
          <w:p w14:paraId="5F2F4636" w14:textId="77777777" w:rsidR="00CC2BD2" w:rsidRDefault="00CC2BD2" w:rsidP="00CC2BD2">
            <w:pPr>
              <w:pStyle w:val="TableParagraph"/>
            </w:pPr>
          </w:p>
        </w:tc>
      </w:tr>
      <w:tr w:rsidR="00CC2BD2" w14:paraId="4779A777" w14:textId="77777777" w:rsidTr="00CC2BD2">
        <w:tc>
          <w:tcPr>
            <w:tcW w:w="3116" w:type="dxa"/>
          </w:tcPr>
          <w:p w14:paraId="40110F23" w14:textId="77777777" w:rsidR="00CC2BD2" w:rsidRDefault="00CC2BD2" w:rsidP="00CC2BD2">
            <w:pPr>
              <w:pStyle w:val="TableParagraph"/>
            </w:pPr>
          </w:p>
        </w:tc>
        <w:tc>
          <w:tcPr>
            <w:tcW w:w="3117" w:type="dxa"/>
          </w:tcPr>
          <w:p w14:paraId="697E784C" w14:textId="77777777" w:rsidR="00CC2BD2" w:rsidRDefault="00CC2BD2" w:rsidP="00CC2BD2">
            <w:pPr>
              <w:pStyle w:val="TableParagraph"/>
            </w:pPr>
          </w:p>
        </w:tc>
        <w:tc>
          <w:tcPr>
            <w:tcW w:w="3117" w:type="dxa"/>
          </w:tcPr>
          <w:p w14:paraId="33D9D97F" w14:textId="77777777" w:rsidR="00CC2BD2" w:rsidRDefault="00CC2BD2" w:rsidP="00CC2BD2">
            <w:pPr>
              <w:pStyle w:val="TableParagraph"/>
            </w:pPr>
          </w:p>
        </w:tc>
      </w:tr>
    </w:tbl>
    <w:p w14:paraId="73211670" w14:textId="1C658713" w:rsidR="009E7804" w:rsidRPr="00CC2BD2" w:rsidRDefault="00955667" w:rsidP="00CC2BD2">
      <w:pPr>
        <w:pStyle w:val="BodyText"/>
      </w:pPr>
      <w:r w:rsidRPr="00CC2BD2">
        <w:t>System must continuously monitor the disinfectant residual at the entry point, and the lowest daily residual must be recorded. If there is a failure in the continuous monitoring equipment, grab sampling must be conducted every four hours until the equipment is returned to service.</w:t>
      </w:r>
    </w:p>
    <w:p w14:paraId="7DFBA563" w14:textId="211A6144" w:rsidR="003E61C2" w:rsidRPr="00CC2BD2" w:rsidRDefault="003E61C2" w:rsidP="00CC2BD2">
      <w:pPr>
        <w:pStyle w:val="Heading2"/>
      </w:pPr>
      <w:r w:rsidRPr="00CC2BD2">
        <w:lastRenderedPageBreak/>
        <w:t>Assessment Source Water Monitoring</w:t>
      </w:r>
    </w:p>
    <w:p w14:paraId="1EE00215" w14:textId="5E142C08" w:rsidR="003E61C2" w:rsidRPr="00CC2BD2" w:rsidRDefault="003E61C2" w:rsidP="00CC2BD2">
      <w:pPr>
        <w:pStyle w:val="BodyText"/>
      </w:pPr>
      <w:r w:rsidRPr="00CC2BD2">
        <w:t>TCEQ may require monthly source assessment monitoring without the presence of a positive total coliform distribution sample if a condition exists that indicates the groundwater may be susceptible to fecal contamination, or in response to a rule exception request. A groundwater system conducting assessment source monitoring may use a triggered source sample to meet the assessment source monitoring requirement, and vice versa.</w:t>
      </w:r>
    </w:p>
    <w:tbl>
      <w:tblPr>
        <w:tblStyle w:val="TableGrid"/>
        <w:tblW w:w="0" w:type="auto"/>
        <w:tblLook w:val="04A0" w:firstRow="1" w:lastRow="0" w:firstColumn="1" w:lastColumn="0" w:noHBand="0" w:noVBand="1"/>
      </w:tblPr>
      <w:tblGrid>
        <w:gridCol w:w="6510"/>
        <w:gridCol w:w="1456"/>
        <w:gridCol w:w="1384"/>
      </w:tblGrid>
      <w:tr w:rsidR="003E61C2" w14:paraId="682F4D03" w14:textId="77777777" w:rsidTr="00CC2BD2">
        <w:trPr>
          <w:trHeight w:val="360"/>
        </w:trPr>
        <w:tc>
          <w:tcPr>
            <w:tcW w:w="6736" w:type="dxa"/>
            <w:shd w:val="clear" w:color="auto" w:fill="D9D9D9" w:themeFill="background1" w:themeFillShade="D9"/>
          </w:tcPr>
          <w:p w14:paraId="0D11B6AF" w14:textId="4DB9E86C" w:rsidR="003E61C2" w:rsidRPr="00217886" w:rsidRDefault="003E61C2" w:rsidP="00CC2BD2">
            <w:pPr>
              <w:pStyle w:val="TableParagraph"/>
              <w:rPr>
                <w:rStyle w:val="Strong"/>
              </w:rPr>
            </w:pPr>
            <w:r w:rsidRPr="00217886">
              <w:rPr>
                <w:rStyle w:val="Strong"/>
              </w:rPr>
              <w:t>Is the system required to conduct assessment source monitoring?</w:t>
            </w:r>
          </w:p>
        </w:tc>
        <w:tc>
          <w:tcPr>
            <w:tcW w:w="1495" w:type="dxa"/>
            <w:tcBorders>
              <w:right w:val="nil"/>
            </w:tcBorders>
            <w:shd w:val="clear" w:color="auto" w:fill="FFFFFF" w:themeFill="background1"/>
          </w:tcPr>
          <w:p w14:paraId="7B9A0B46" w14:textId="070BFDE7" w:rsidR="003E61C2" w:rsidRPr="00F70D5E" w:rsidRDefault="00CC2BD2" w:rsidP="00CC2BD2">
            <w:pPr>
              <w:pStyle w:val="TableParagraph"/>
              <w:jc w:val="center"/>
            </w:pPr>
            <w:r>
              <w:rPr>
                <w:rFonts w:ascii="MS Gothic" w:eastAsia="MS Gothic" w:hAnsi="MS Gothic"/>
              </w:rPr>
              <w:fldChar w:fldCharType="begin">
                <w:ffData>
                  <w:name w:val="Check10"/>
                  <w:enabled/>
                  <w:calcOnExit w:val="0"/>
                  <w:checkBox>
                    <w:sizeAuto/>
                    <w:default w:val="0"/>
                  </w:checkBox>
                </w:ffData>
              </w:fldChar>
            </w:r>
            <w:bookmarkStart w:id="18" w:name="Check1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3934">
              <w:rPr>
                <w:rFonts w:ascii="MS Gothic" w:eastAsia="MS Gothic" w:hAnsi="MS Gothic"/>
              </w:rPr>
            </w:r>
            <w:r w:rsidR="00083934">
              <w:rPr>
                <w:rFonts w:ascii="MS Gothic" w:eastAsia="MS Gothic" w:hAnsi="MS Gothic"/>
              </w:rPr>
              <w:fldChar w:fldCharType="separate"/>
            </w:r>
            <w:r>
              <w:rPr>
                <w:rFonts w:ascii="MS Gothic" w:eastAsia="MS Gothic" w:hAnsi="MS Gothic"/>
              </w:rPr>
              <w:fldChar w:fldCharType="end"/>
            </w:r>
            <w:bookmarkEnd w:id="18"/>
            <w:r>
              <w:rPr>
                <w:rFonts w:ascii="MS Gothic" w:eastAsia="MS Gothic" w:hAnsi="MS Gothic"/>
              </w:rPr>
              <w:t xml:space="preserve"> </w:t>
            </w:r>
            <w:r w:rsidR="003E61C2" w:rsidRPr="00F70D5E">
              <w:t>Yes</w:t>
            </w:r>
          </w:p>
        </w:tc>
        <w:tc>
          <w:tcPr>
            <w:tcW w:w="1423" w:type="dxa"/>
            <w:tcBorders>
              <w:left w:val="nil"/>
            </w:tcBorders>
            <w:shd w:val="clear" w:color="auto" w:fill="FFFFFF" w:themeFill="background1"/>
          </w:tcPr>
          <w:p w14:paraId="5FAF6E82" w14:textId="5F5CBA95" w:rsidR="003E61C2" w:rsidRPr="00F70D5E" w:rsidRDefault="00CC2BD2" w:rsidP="00CC2BD2">
            <w:pPr>
              <w:pStyle w:val="TableParagraph"/>
              <w:jc w:val="center"/>
            </w:pPr>
            <w:r>
              <w:rPr>
                <w:rFonts w:ascii="MS Gothic" w:eastAsia="MS Gothic" w:hAnsi="MS Gothic"/>
              </w:rPr>
              <w:fldChar w:fldCharType="begin">
                <w:ffData>
                  <w:name w:val="Check11"/>
                  <w:enabled/>
                  <w:calcOnExit w:val="0"/>
                  <w:checkBox>
                    <w:sizeAuto/>
                    <w:default w:val="0"/>
                  </w:checkBox>
                </w:ffData>
              </w:fldChar>
            </w:r>
            <w:bookmarkStart w:id="19"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3934">
              <w:rPr>
                <w:rFonts w:ascii="MS Gothic" w:eastAsia="MS Gothic" w:hAnsi="MS Gothic"/>
              </w:rPr>
            </w:r>
            <w:r w:rsidR="00083934">
              <w:rPr>
                <w:rFonts w:ascii="MS Gothic" w:eastAsia="MS Gothic" w:hAnsi="MS Gothic"/>
              </w:rPr>
              <w:fldChar w:fldCharType="separate"/>
            </w:r>
            <w:r>
              <w:rPr>
                <w:rFonts w:ascii="MS Gothic" w:eastAsia="MS Gothic" w:hAnsi="MS Gothic"/>
              </w:rPr>
              <w:fldChar w:fldCharType="end"/>
            </w:r>
            <w:bookmarkEnd w:id="19"/>
            <w:r>
              <w:rPr>
                <w:rFonts w:ascii="MS Gothic" w:eastAsia="MS Gothic" w:hAnsi="MS Gothic"/>
              </w:rPr>
              <w:t xml:space="preserve"> </w:t>
            </w:r>
            <w:r w:rsidR="003E61C2" w:rsidRPr="00F70D5E">
              <w:t>No</w:t>
            </w:r>
          </w:p>
        </w:tc>
      </w:tr>
    </w:tbl>
    <w:p w14:paraId="4CA7DD3B" w14:textId="4FC7E04D" w:rsidR="00CE4AFB" w:rsidRPr="00CC2BD2" w:rsidRDefault="00CE4AFB" w:rsidP="00180A94">
      <w:pPr>
        <w:pStyle w:val="Heading1"/>
      </w:pPr>
      <w:r w:rsidRPr="00CC2BD2">
        <w:t>Inorganic, Organic, and Radionuclides</w:t>
      </w:r>
    </w:p>
    <w:p w14:paraId="2DEE082C" w14:textId="41ADAD15" w:rsidR="00630859" w:rsidRPr="00CC2BD2" w:rsidRDefault="00F863EF" w:rsidP="00CC2BD2">
      <w:pPr>
        <w:pStyle w:val="BodyText"/>
      </w:pPr>
      <w:r w:rsidRPr="00CC2BD2">
        <w:t xml:space="preserve">Many, if not all, analytes and analyte groups </w:t>
      </w:r>
      <w:r w:rsidR="006074BF" w:rsidRPr="00CC2BD2">
        <w:t xml:space="preserve">listed below </w:t>
      </w:r>
      <w:r w:rsidR="00B35454" w:rsidRPr="00CC2BD2">
        <w:t>are</w:t>
      </w:r>
      <w:r w:rsidRPr="00CC2BD2">
        <w:t xml:space="preserve"> collected by a third-party contractor on behalf of TCEQ. Each public water system is</w:t>
      </w:r>
      <w:r w:rsidR="00B35454" w:rsidRPr="00CC2BD2">
        <w:t xml:space="preserve"> still</w:t>
      </w:r>
      <w:r w:rsidRPr="00CC2BD2">
        <w:t xml:space="preserve"> responsible for </w:t>
      </w:r>
      <w:r w:rsidR="005364AA" w:rsidRPr="00CC2BD2">
        <w:t>the</w:t>
      </w:r>
      <w:r w:rsidRPr="00CC2BD2">
        <w:t xml:space="preserve"> water served to consumers </w:t>
      </w:r>
      <w:r w:rsidR="005364AA" w:rsidRPr="00CC2BD2">
        <w:t xml:space="preserve">or consecutive water systems, </w:t>
      </w:r>
      <w:r w:rsidRPr="00CC2BD2">
        <w:t xml:space="preserve">and </w:t>
      </w:r>
      <w:r w:rsidR="005364AA" w:rsidRPr="00CC2BD2">
        <w:t xml:space="preserve">for </w:t>
      </w:r>
      <w:r w:rsidRPr="00CC2BD2">
        <w:t>paying bills on time to any applicable lab</w:t>
      </w:r>
      <w:r w:rsidR="00B35454" w:rsidRPr="00CC2BD2">
        <w:t xml:space="preserve"> of analysis</w:t>
      </w:r>
      <w:r w:rsidR="005364AA" w:rsidRPr="00CC2BD2">
        <w:t>.</w:t>
      </w:r>
    </w:p>
    <w:p w14:paraId="2D17FB1E" w14:textId="51138DE6" w:rsidR="001315CC" w:rsidRPr="00CC2BD2" w:rsidRDefault="001315CC" w:rsidP="00CC2BD2">
      <w:pPr>
        <w:pStyle w:val="BodyText"/>
      </w:pPr>
      <w:r w:rsidRPr="00CC2BD2">
        <w:t xml:space="preserve">Listed down below are the </w:t>
      </w:r>
      <w:r w:rsidR="00D317C2" w:rsidRPr="00CC2BD2">
        <w:t>standard</w:t>
      </w:r>
      <w:r w:rsidRPr="00CC2BD2">
        <w:t xml:space="preserve"> analytes and analyte groups your water system may be tested for. Be sure to </w:t>
      </w:r>
      <w:r w:rsidR="00180A94">
        <w:t xml:space="preserve">make sure </w:t>
      </w:r>
      <w:r w:rsidRPr="00CC2BD2">
        <w:t xml:space="preserve">sampling frequency </w:t>
      </w:r>
      <w:r w:rsidR="00180A94">
        <w:t>and</w:t>
      </w:r>
      <w:r w:rsidR="00A72F4A" w:rsidRPr="00CC2BD2">
        <w:t xml:space="preserve"> the respective entry point ID(s) </w:t>
      </w:r>
      <w:r w:rsidRPr="00CC2BD2">
        <w:t>in each row</w:t>
      </w:r>
      <w:r w:rsidR="00CC2BD2">
        <w:t xml:space="preserve"> </w:t>
      </w:r>
      <w:r w:rsidR="00180A94" w:rsidRPr="00CC2BD2">
        <w:t xml:space="preserve">review </w:t>
      </w:r>
      <w:r w:rsidR="00180A94">
        <w:t xml:space="preserve">match with TCEQ data by reviewing the </w:t>
      </w:r>
      <w:r w:rsidR="00180A94" w:rsidRPr="00180A94">
        <w:t>Texas Drinking Water Watch</w:t>
      </w:r>
      <w:r w:rsidR="00180A94" w:rsidRPr="00CC2BD2">
        <w:t xml:space="preserve"> </w:t>
      </w:r>
      <w:r w:rsidR="00180A94">
        <w:t xml:space="preserve">(DWW) </w:t>
      </w:r>
      <w:r w:rsidR="00CC2BD2">
        <w:t xml:space="preserve">at: </w:t>
      </w:r>
      <w:hyperlink r:id="rId14" w:history="1">
        <w:r w:rsidR="00CC2BD2" w:rsidRPr="006A4EAF">
          <w:rPr>
            <w:rStyle w:val="Hyperlink"/>
          </w:rPr>
          <w:t>https://dww2.tceq.texas.gov/DWW/</w:t>
        </w:r>
      </w:hyperlink>
    </w:p>
    <w:p w14:paraId="41F4CFBA" w14:textId="7637A092" w:rsidR="00182B2E" w:rsidRDefault="00361E02" w:rsidP="00180A94">
      <w:pPr>
        <w:pStyle w:val="Heading2"/>
      </w:pPr>
      <w:r w:rsidRPr="00180A94">
        <w:t>Individual Analytes</w:t>
      </w:r>
    </w:p>
    <w:tbl>
      <w:tblPr>
        <w:tblStyle w:val="TableGrid"/>
        <w:tblW w:w="0" w:type="auto"/>
        <w:jc w:val="center"/>
        <w:tblLook w:val="04A0" w:firstRow="1" w:lastRow="0" w:firstColumn="1" w:lastColumn="0" w:noHBand="0" w:noVBand="1"/>
      </w:tblPr>
      <w:tblGrid>
        <w:gridCol w:w="2337"/>
        <w:gridCol w:w="2337"/>
        <w:gridCol w:w="2338"/>
        <w:gridCol w:w="2338"/>
      </w:tblGrid>
      <w:tr w:rsidR="00180A94" w14:paraId="2689859B" w14:textId="77777777" w:rsidTr="00EA00A9">
        <w:trPr>
          <w:tblHeader/>
          <w:jc w:val="center"/>
        </w:trPr>
        <w:tc>
          <w:tcPr>
            <w:tcW w:w="2337" w:type="dxa"/>
            <w:shd w:val="clear" w:color="auto" w:fill="D9D9D9" w:themeFill="background1" w:themeFillShade="D9"/>
          </w:tcPr>
          <w:p w14:paraId="4FCA5265" w14:textId="73FAE305" w:rsidR="00180A94" w:rsidRDefault="00180A94" w:rsidP="00180A94">
            <w:pPr>
              <w:pStyle w:val="Header"/>
            </w:pPr>
            <w:r w:rsidRPr="00350A78">
              <w:t>Analyte</w:t>
            </w:r>
          </w:p>
        </w:tc>
        <w:tc>
          <w:tcPr>
            <w:tcW w:w="2337" w:type="dxa"/>
            <w:shd w:val="clear" w:color="auto" w:fill="D9D9D9" w:themeFill="background1" w:themeFillShade="D9"/>
          </w:tcPr>
          <w:p w14:paraId="1FC7CFE6" w14:textId="7AE42362" w:rsidR="00180A94" w:rsidRDefault="00180A94" w:rsidP="00180A94">
            <w:pPr>
              <w:pStyle w:val="Header"/>
            </w:pPr>
            <w:r w:rsidRPr="00350A78">
              <w:t>Entry Point ID(s)</w:t>
            </w:r>
          </w:p>
        </w:tc>
        <w:tc>
          <w:tcPr>
            <w:tcW w:w="2338" w:type="dxa"/>
            <w:shd w:val="clear" w:color="auto" w:fill="D9D9D9" w:themeFill="background1" w:themeFillShade="D9"/>
          </w:tcPr>
          <w:p w14:paraId="4F7F70E9" w14:textId="1D2E6E73" w:rsidR="00180A94" w:rsidRDefault="00180A94" w:rsidP="00180A94">
            <w:pPr>
              <w:pStyle w:val="Header"/>
            </w:pPr>
            <w:r w:rsidRPr="00350A78">
              <w:t>Frequency</w:t>
            </w:r>
          </w:p>
        </w:tc>
        <w:tc>
          <w:tcPr>
            <w:tcW w:w="2338" w:type="dxa"/>
            <w:shd w:val="clear" w:color="auto" w:fill="D9D9D9" w:themeFill="background1" w:themeFillShade="D9"/>
          </w:tcPr>
          <w:p w14:paraId="671B89FC" w14:textId="194FF165" w:rsidR="00180A94" w:rsidRDefault="00180A94" w:rsidP="00180A94">
            <w:pPr>
              <w:pStyle w:val="Header"/>
            </w:pPr>
            <w:r w:rsidRPr="00350A78">
              <w:t>Comments</w:t>
            </w:r>
          </w:p>
        </w:tc>
      </w:tr>
      <w:tr w:rsidR="00180A94" w14:paraId="5CD594AF" w14:textId="77777777" w:rsidTr="00180A94">
        <w:trPr>
          <w:jc w:val="center"/>
        </w:trPr>
        <w:tc>
          <w:tcPr>
            <w:tcW w:w="2337" w:type="dxa"/>
          </w:tcPr>
          <w:p w14:paraId="04D744DC" w14:textId="6F78D0E9" w:rsidR="00180A94" w:rsidRDefault="00180A94" w:rsidP="00180A94">
            <w:pPr>
              <w:pStyle w:val="TableParagraph"/>
              <w:jc w:val="center"/>
            </w:pPr>
            <w:r w:rsidRPr="00D6323F">
              <w:t>Cyanide</w:t>
            </w:r>
          </w:p>
        </w:tc>
        <w:tc>
          <w:tcPr>
            <w:tcW w:w="2337" w:type="dxa"/>
          </w:tcPr>
          <w:p w14:paraId="51794C37" w14:textId="77777777" w:rsidR="00180A94" w:rsidRDefault="00180A94" w:rsidP="00180A94">
            <w:pPr>
              <w:pStyle w:val="TableParagraph"/>
              <w:jc w:val="center"/>
            </w:pPr>
          </w:p>
        </w:tc>
        <w:tc>
          <w:tcPr>
            <w:tcW w:w="2338" w:type="dxa"/>
          </w:tcPr>
          <w:p w14:paraId="356DBED6" w14:textId="77777777" w:rsidR="00180A94" w:rsidRDefault="00180A94" w:rsidP="00180A94">
            <w:pPr>
              <w:pStyle w:val="TableParagraph"/>
              <w:jc w:val="center"/>
            </w:pPr>
          </w:p>
        </w:tc>
        <w:tc>
          <w:tcPr>
            <w:tcW w:w="2338" w:type="dxa"/>
          </w:tcPr>
          <w:p w14:paraId="4E3EDDF3" w14:textId="77777777" w:rsidR="00180A94" w:rsidRDefault="00180A94" w:rsidP="00180A94">
            <w:pPr>
              <w:pStyle w:val="TableParagraph"/>
              <w:jc w:val="center"/>
            </w:pPr>
          </w:p>
        </w:tc>
      </w:tr>
      <w:tr w:rsidR="00180A94" w14:paraId="3B6E0755" w14:textId="77777777" w:rsidTr="00180A94">
        <w:trPr>
          <w:jc w:val="center"/>
        </w:trPr>
        <w:tc>
          <w:tcPr>
            <w:tcW w:w="2337" w:type="dxa"/>
          </w:tcPr>
          <w:p w14:paraId="08B5DC83" w14:textId="08F35BFB" w:rsidR="00180A94" w:rsidRDefault="00180A94" w:rsidP="00180A94">
            <w:pPr>
              <w:pStyle w:val="TableParagraph"/>
              <w:jc w:val="center"/>
            </w:pPr>
            <w:r w:rsidRPr="00D6323F">
              <w:t>Nitrate</w:t>
            </w:r>
          </w:p>
        </w:tc>
        <w:tc>
          <w:tcPr>
            <w:tcW w:w="2337" w:type="dxa"/>
          </w:tcPr>
          <w:p w14:paraId="43D94663" w14:textId="77777777" w:rsidR="00180A94" w:rsidRDefault="00180A94" w:rsidP="00180A94">
            <w:pPr>
              <w:pStyle w:val="TableParagraph"/>
              <w:jc w:val="center"/>
            </w:pPr>
          </w:p>
        </w:tc>
        <w:tc>
          <w:tcPr>
            <w:tcW w:w="2338" w:type="dxa"/>
          </w:tcPr>
          <w:p w14:paraId="016E11AB" w14:textId="77777777" w:rsidR="00180A94" w:rsidRDefault="00180A94" w:rsidP="00180A94">
            <w:pPr>
              <w:pStyle w:val="TableParagraph"/>
              <w:jc w:val="center"/>
            </w:pPr>
          </w:p>
        </w:tc>
        <w:tc>
          <w:tcPr>
            <w:tcW w:w="2338" w:type="dxa"/>
          </w:tcPr>
          <w:p w14:paraId="76A88E75" w14:textId="77777777" w:rsidR="00180A94" w:rsidRDefault="00180A94" w:rsidP="00180A94">
            <w:pPr>
              <w:pStyle w:val="TableParagraph"/>
              <w:jc w:val="center"/>
            </w:pPr>
          </w:p>
        </w:tc>
      </w:tr>
      <w:tr w:rsidR="00180A94" w14:paraId="5BA229F4" w14:textId="77777777" w:rsidTr="00180A94">
        <w:trPr>
          <w:jc w:val="center"/>
        </w:trPr>
        <w:tc>
          <w:tcPr>
            <w:tcW w:w="2337" w:type="dxa"/>
          </w:tcPr>
          <w:p w14:paraId="071C0B65" w14:textId="7B1C5DDC" w:rsidR="00180A94" w:rsidRDefault="00180A94" w:rsidP="00180A94">
            <w:pPr>
              <w:pStyle w:val="TableParagraph"/>
              <w:jc w:val="center"/>
            </w:pPr>
            <w:r w:rsidRPr="00D6323F">
              <w:t>Nitrite</w:t>
            </w:r>
          </w:p>
        </w:tc>
        <w:tc>
          <w:tcPr>
            <w:tcW w:w="2337" w:type="dxa"/>
          </w:tcPr>
          <w:p w14:paraId="59EDC80E" w14:textId="77777777" w:rsidR="00180A94" w:rsidRDefault="00180A94" w:rsidP="00180A94">
            <w:pPr>
              <w:pStyle w:val="TableParagraph"/>
              <w:jc w:val="center"/>
            </w:pPr>
          </w:p>
        </w:tc>
        <w:tc>
          <w:tcPr>
            <w:tcW w:w="2338" w:type="dxa"/>
          </w:tcPr>
          <w:p w14:paraId="12209AEE" w14:textId="77777777" w:rsidR="00180A94" w:rsidRDefault="00180A94" w:rsidP="00180A94">
            <w:pPr>
              <w:pStyle w:val="TableParagraph"/>
              <w:jc w:val="center"/>
            </w:pPr>
          </w:p>
        </w:tc>
        <w:tc>
          <w:tcPr>
            <w:tcW w:w="2338" w:type="dxa"/>
          </w:tcPr>
          <w:p w14:paraId="07E447C6" w14:textId="77777777" w:rsidR="00180A94" w:rsidRDefault="00180A94" w:rsidP="00180A94">
            <w:pPr>
              <w:pStyle w:val="TableParagraph"/>
              <w:jc w:val="center"/>
            </w:pPr>
          </w:p>
        </w:tc>
      </w:tr>
      <w:tr w:rsidR="00180A94" w14:paraId="40326FBD" w14:textId="77777777" w:rsidTr="00180A94">
        <w:trPr>
          <w:jc w:val="center"/>
        </w:trPr>
        <w:tc>
          <w:tcPr>
            <w:tcW w:w="2337" w:type="dxa"/>
          </w:tcPr>
          <w:p w14:paraId="77306A3A" w14:textId="77777777" w:rsidR="00180A94" w:rsidRDefault="00180A94" w:rsidP="00180A94">
            <w:pPr>
              <w:pStyle w:val="TableParagraph"/>
              <w:jc w:val="center"/>
            </w:pPr>
          </w:p>
        </w:tc>
        <w:tc>
          <w:tcPr>
            <w:tcW w:w="2337" w:type="dxa"/>
          </w:tcPr>
          <w:p w14:paraId="17682530" w14:textId="77777777" w:rsidR="00180A94" w:rsidRDefault="00180A94" w:rsidP="00180A94">
            <w:pPr>
              <w:pStyle w:val="TableParagraph"/>
              <w:jc w:val="center"/>
            </w:pPr>
          </w:p>
        </w:tc>
        <w:tc>
          <w:tcPr>
            <w:tcW w:w="2338" w:type="dxa"/>
          </w:tcPr>
          <w:p w14:paraId="11676E7E" w14:textId="77777777" w:rsidR="00180A94" w:rsidRDefault="00180A94" w:rsidP="00180A94">
            <w:pPr>
              <w:pStyle w:val="TableParagraph"/>
              <w:jc w:val="center"/>
            </w:pPr>
          </w:p>
        </w:tc>
        <w:tc>
          <w:tcPr>
            <w:tcW w:w="2338" w:type="dxa"/>
          </w:tcPr>
          <w:p w14:paraId="48069943" w14:textId="77777777" w:rsidR="00180A94" w:rsidRDefault="00180A94" w:rsidP="00180A94">
            <w:pPr>
              <w:pStyle w:val="TableParagraph"/>
              <w:jc w:val="center"/>
            </w:pPr>
          </w:p>
        </w:tc>
      </w:tr>
    </w:tbl>
    <w:p w14:paraId="50629B14" w14:textId="7211C39A" w:rsidR="00361E02" w:rsidRDefault="00630859" w:rsidP="00180A94">
      <w:pPr>
        <w:pStyle w:val="Heading2"/>
      </w:pPr>
      <w:r w:rsidRPr="00180A94">
        <w:t>Group Analytes</w:t>
      </w:r>
    </w:p>
    <w:tbl>
      <w:tblPr>
        <w:tblStyle w:val="TableGrid"/>
        <w:tblW w:w="0" w:type="auto"/>
        <w:tblLook w:val="04A0" w:firstRow="1" w:lastRow="0" w:firstColumn="1" w:lastColumn="0" w:noHBand="0" w:noVBand="1"/>
      </w:tblPr>
      <w:tblGrid>
        <w:gridCol w:w="2337"/>
        <w:gridCol w:w="2337"/>
        <w:gridCol w:w="2338"/>
        <w:gridCol w:w="2338"/>
      </w:tblGrid>
      <w:tr w:rsidR="00180A94" w14:paraId="3395E304" w14:textId="77777777" w:rsidTr="00EA00A9">
        <w:trPr>
          <w:tblHeader/>
        </w:trPr>
        <w:tc>
          <w:tcPr>
            <w:tcW w:w="2337" w:type="dxa"/>
            <w:shd w:val="clear" w:color="auto" w:fill="D9D9D9" w:themeFill="background1" w:themeFillShade="D9"/>
          </w:tcPr>
          <w:p w14:paraId="167C5691" w14:textId="7FA95C1E" w:rsidR="00180A94" w:rsidRDefault="00180A94" w:rsidP="00180A94">
            <w:pPr>
              <w:pStyle w:val="Header"/>
            </w:pPr>
            <w:r w:rsidRPr="00944CD1">
              <w:t>Group</w:t>
            </w:r>
          </w:p>
        </w:tc>
        <w:tc>
          <w:tcPr>
            <w:tcW w:w="2337" w:type="dxa"/>
            <w:shd w:val="clear" w:color="auto" w:fill="D9D9D9" w:themeFill="background1" w:themeFillShade="D9"/>
          </w:tcPr>
          <w:p w14:paraId="3B11B30C" w14:textId="1F3FEB67" w:rsidR="00180A94" w:rsidRDefault="00180A94" w:rsidP="00180A94">
            <w:pPr>
              <w:pStyle w:val="Header"/>
            </w:pPr>
            <w:r w:rsidRPr="00944CD1">
              <w:t>Entry Point ID(s)</w:t>
            </w:r>
          </w:p>
        </w:tc>
        <w:tc>
          <w:tcPr>
            <w:tcW w:w="2338" w:type="dxa"/>
            <w:shd w:val="clear" w:color="auto" w:fill="D9D9D9" w:themeFill="background1" w:themeFillShade="D9"/>
          </w:tcPr>
          <w:p w14:paraId="310E99F1" w14:textId="723695AC" w:rsidR="00180A94" w:rsidRDefault="00180A94" w:rsidP="00180A94">
            <w:pPr>
              <w:pStyle w:val="Header"/>
            </w:pPr>
            <w:r w:rsidRPr="00944CD1">
              <w:t>Frequency</w:t>
            </w:r>
          </w:p>
        </w:tc>
        <w:tc>
          <w:tcPr>
            <w:tcW w:w="2338" w:type="dxa"/>
            <w:shd w:val="clear" w:color="auto" w:fill="D9D9D9" w:themeFill="background1" w:themeFillShade="D9"/>
          </w:tcPr>
          <w:p w14:paraId="18349070" w14:textId="3318DDB9" w:rsidR="00180A94" w:rsidRDefault="00180A94" w:rsidP="00180A94">
            <w:pPr>
              <w:pStyle w:val="Header"/>
            </w:pPr>
            <w:r w:rsidRPr="00944CD1">
              <w:t>Comments</w:t>
            </w:r>
          </w:p>
        </w:tc>
      </w:tr>
      <w:tr w:rsidR="00180A94" w14:paraId="515D6639" w14:textId="77777777" w:rsidTr="00180A94">
        <w:tc>
          <w:tcPr>
            <w:tcW w:w="2337" w:type="dxa"/>
          </w:tcPr>
          <w:p w14:paraId="1832F17D" w14:textId="10AEB4C1" w:rsidR="00180A94" w:rsidRDefault="00180A94" w:rsidP="00180A94">
            <w:pPr>
              <w:pStyle w:val="TableParagraph"/>
              <w:jc w:val="center"/>
            </w:pPr>
            <w:r w:rsidRPr="00B84B07">
              <w:t>Minerals</w:t>
            </w:r>
          </w:p>
        </w:tc>
        <w:tc>
          <w:tcPr>
            <w:tcW w:w="2337" w:type="dxa"/>
          </w:tcPr>
          <w:p w14:paraId="75670480" w14:textId="77777777" w:rsidR="00180A94" w:rsidRDefault="00180A94" w:rsidP="00180A94">
            <w:pPr>
              <w:pStyle w:val="TableParagraph"/>
              <w:jc w:val="center"/>
            </w:pPr>
          </w:p>
        </w:tc>
        <w:tc>
          <w:tcPr>
            <w:tcW w:w="2338" w:type="dxa"/>
          </w:tcPr>
          <w:p w14:paraId="0C249645" w14:textId="77777777" w:rsidR="00180A94" w:rsidRDefault="00180A94" w:rsidP="00180A94">
            <w:pPr>
              <w:pStyle w:val="TableParagraph"/>
              <w:jc w:val="center"/>
            </w:pPr>
          </w:p>
        </w:tc>
        <w:tc>
          <w:tcPr>
            <w:tcW w:w="2338" w:type="dxa"/>
          </w:tcPr>
          <w:p w14:paraId="72A57A9A" w14:textId="77777777" w:rsidR="00180A94" w:rsidRDefault="00180A94" w:rsidP="00180A94">
            <w:pPr>
              <w:pStyle w:val="TableParagraph"/>
              <w:jc w:val="center"/>
            </w:pPr>
          </w:p>
        </w:tc>
      </w:tr>
      <w:tr w:rsidR="00180A94" w14:paraId="2411B118" w14:textId="77777777" w:rsidTr="00180A94">
        <w:tc>
          <w:tcPr>
            <w:tcW w:w="2337" w:type="dxa"/>
          </w:tcPr>
          <w:p w14:paraId="0727715A" w14:textId="19590D55" w:rsidR="00180A94" w:rsidRDefault="00180A94" w:rsidP="00180A94">
            <w:pPr>
              <w:pStyle w:val="TableParagraph"/>
              <w:jc w:val="center"/>
            </w:pPr>
            <w:r w:rsidRPr="00B84B07">
              <w:t>Metals</w:t>
            </w:r>
          </w:p>
        </w:tc>
        <w:tc>
          <w:tcPr>
            <w:tcW w:w="2337" w:type="dxa"/>
          </w:tcPr>
          <w:p w14:paraId="0F34389B" w14:textId="77777777" w:rsidR="00180A94" w:rsidRDefault="00180A94" w:rsidP="00180A94">
            <w:pPr>
              <w:pStyle w:val="TableParagraph"/>
              <w:jc w:val="center"/>
            </w:pPr>
          </w:p>
        </w:tc>
        <w:tc>
          <w:tcPr>
            <w:tcW w:w="2338" w:type="dxa"/>
          </w:tcPr>
          <w:p w14:paraId="616C3A8B" w14:textId="77777777" w:rsidR="00180A94" w:rsidRDefault="00180A94" w:rsidP="00180A94">
            <w:pPr>
              <w:pStyle w:val="TableParagraph"/>
              <w:jc w:val="center"/>
            </w:pPr>
          </w:p>
        </w:tc>
        <w:tc>
          <w:tcPr>
            <w:tcW w:w="2338" w:type="dxa"/>
          </w:tcPr>
          <w:p w14:paraId="100ED518" w14:textId="77777777" w:rsidR="00180A94" w:rsidRDefault="00180A94" w:rsidP="00180A94">
            <w:pPr>
              <w:pStyle w:val="TableParagraph"/>
              <w:jc w:val="center"/>
            </w:pPr>
          </w:p>
        </w:tc>
      </w:tr>
      <w:tr w:rsidR="00180A94" w14:paraId="5BAB9B6D" w14:textId="77777777" w:rsidTr="00180A94">
        <w:tc>
          <w:tcPr>
            <w:tcW w:w="2337" w:type="dxa"/>
          </w:tcPr>
          <w:p w14:paraId="55C3A21C" w14:textId="086138B8" w:rsidR="00180A94" w:rsidRDefault="00180A94" w:rsidP="00180A94">
            <w:pPr>
              <w:pStyle w:val="TableParagraph"/>
              <w:jc w:val="center"/>
            </w:pPr>
            <w:r w:rsidRPr="00B84B07">
              <w:t>SOC Method 504</w:t>
            </w:r>
          </w:p>
        </w:tc>
        <w:tc>
          <w:tcPr>
            <w:tcW w:w="2337" w:type="dxa"/>
          </w:tcPr>
          <w:p w14:paraId="4D2EF572" w14:textId="77777777" w:rsidR="00180A94" w:rsidRDefault="00180A94" w:rsidP="00180A94">
            <w:pPr>
              <w:pStyle w:val="TableParagraph"/>
              <w:jc w:val="center"/>
            </w:pPr>
          </w:p>
        </w:tc>
        <w:tc>
          <w:tcPr>
            <w:tcW w:w="2338" w:type="dxa"/>
          </w:tcPr>
          <w:p w14:paraId="1D8AF81F" w14:textId="77777777" w:rsidR="00180A94" w:rsidRDefault="00180A94" w:rsidP="00180A94">
            <w:pPr>
              <w:pStyle w:val="TableParagraph"/>
              <w:jc w:val="center"/>
            </w:pPr>
          </w:p>
        </w:tc>
        <w:tc>
          <w:tcPr>
            <w:tcW w:w="2338" w:type="dxa"/>
          </w:tcPr>
          <w:p w14:paraId="775D91B4" w14:textId="77777777" w:rsidR="00180A94" w:rsidRDefault="00180A94" w:rsidP="00180A94">
            <w:pPr>
              <w:pStyle w:val="TableParagraph"/>
              <w:jc w:val="center"/>
            </w:pPr>
          </w:p>
        </w:tc>
      </w:tr>
      <w:tr w:rsidR="00180A94" w14:paraId="06A98D68" w14:textId="77777777" w:rsidTr="00180A94">
        <w:tc>
          <w:tcPr>
            <w:tcW w:w="2337" w:type="dxa"/>
          </w:tcPr>
          <w:p w14:paraId="61769A4F" w14:textId="14C99F39" w:rsidR="00180A94" w:rsidRDefault="00180A94" w:rsidP="00180A94">
            <w:pPr>
              <w:pStyle w:val="TableParagraph"/>
              <w:jc w:val="center"/>
            </w:pPr>
            <w:r w:rsidRPr="00B84B07">
              <w:t>SOC Method 515</w:t>
            </w:r>
          </w:p>
        </w:tc>
        <w:tc>
          <w:tcPr>
            <w:tcW w:w="2337" w:type="dxa"/>
          </w:tcPr>
          <w:p w14:paraId="1E0AB041" w14:textId="77777777" w:rsidR="00180A94" w:rsidRDefault="00180A94" w:rsidP="00180A94">
            <w:pPr>
              <w:pStyle w:val="TableParagraph"/>
              <w:jc w:val="center"/>
            </w:pPr>
          </w:p>
        </w:tc>
        <w:tc>
          <w:tcPr>
            <w:tcW w:w="2338" w:type="dxa"/>
          </w:tcPr>
          <w:p w14:paraId="1B186224" w14:textId="77777777" w:rsidR="00180A94" w:rsidRDefault="00180A94" w:rsidP="00180A94">
            <w:pPr>
              <w:pStyle w:val="TableParagraph"/>
              <w:jc w:val="center"/>
            </w:pPr>
          </w:p>
        </w:tc>
        <w:tc>
          <w:tcPr>
            <w:tcW w:w="2338" w:type="dxa"/>
          </w:tcPr>
          <w:p w14:paraId="1179BF38" w14:textId="77777777" w:rsidR="00180A94" w:rsidRDefault="00180A94" w:rsidP="00180A94">
            <w:pPr>
              <w:pStyle w:val="TableParagraph"/>
              <w:jc w:val="center"/>
            </w:pPr>
          </w:p>
        </w:tc>
      </w:tr>
      <w:tr w:rsidR="00180A94" w14:paraId="6E41B237" w14:textId="77777777" w:rsidTr="00180A94">
        <w:tc>
          <w:tcPr>
            <w:tcW w:w="2337" w:type="dxa"/>
          </w:tcPr>
          <w:p w14:paraId="31A27BE4" w14:textId="15EDFFE9" w:rsidR="00180A94" w:rsidRDefault="00180A94" w:rsidP="00180A94">
            <w:pPr>
              <w:pStyle w:val="TableParagraph"/>
              <w:jc w:val="center"/>
            </w:pPr>
            <w:r w:rsidRPr="00B84B07">
              <w:t>SOC Method 531</w:t>
            </w:r>
          </w:p>
        </w:tc>
        <w:tc>
          <w:tcPr>
            <w:tcW w:w="2337" w:type="dxa"/>
          </w:tcPr>
          <w:p w14:paraId="41779AA4" w14:textId="77777777" w:rsidR="00180A94" w:rsidRDefault="00180A94" w:rsidP="00180A94">
            <w:pPr>
              <w:pStyle w:val="TableParagraph"/>
              <w:jc w:val="center"/>
            </w:pPr>
          </w:p>
        </w:tc>
        <w:tc>
          <w:tcPr>
            <w:tcW w:w="2338" w:type="dxa"/>
          </w:tcPr>
          <w:p w14:paraId="247463FD" w14:textId="77777777" w:rsidR="00180A94" w:rsidRDefault="00180A94" w:rsidP="00180A94">
            <w:pPr>
              <w:pStyle w:val="TableParagraph"/>
              <w:jc w:val="center"/>
            </w:pPr>
          </w:p>
        </w:tc>
        <w:tc>
          <w:tcPr>
            <w:tcW w:w="2338" w:type="dxa"/>
          </w:tcPr>
          <w:p w14:paraId="202CB5A8" w14:textId="77777777" w:rsidR="00180A94" w:rsidRDefault="00180A94" w:rsidP="00180A94">
            <w:pPr>
              <w:pStyle w:val="TableParagraph"/>
              <w:jc w:val="center"/>
            </w:pPr>
          </w:p>
        </w:tc>
      </w:tr>
      <w:tr w:rsidR="00180A94" w14:paraId="7F768AB1" w14:textId="77777777" w:rsidTr="00180A94">
        <w:tc>
          <w:tcPr>
            <w:tcW w:w="2337" w:type="dxa"/>
          </w:tcPr>
          <w:p w14:paraId="695ECD0E" w14:textId="667F5BF1" w:rsidR="00180A94" w:rsidRDefault="00180A94" w:rsidP="00180A94">
            <w:pPr>
              <w:pStyle w:val="TableParagraph"/>
              <w:jc w:val="center"/>
            </w:pPr>
            <w:r w:rsidRPr="00B84B07">
              <w:t>VOC</w:t>
            </w:r>
          </w:p>
        </w:tc>
        <w:tc>
          <w:tcPr>
            <w:tcW w:w="2337" w:type="dxa"/>
          </w:tcPr>
          <w:p w14:paraId="74ED93A2" w14:textId="77777777" w:rsidR="00180A94" w:rsidRDefault="00180A94" w:rsidP="00180A94">
            <w:pPr>
              <w:pStyle w:val="TableParagraph"/>
              <w:jc w:val="center"/>
            </w:pPr>
          </w:p>
        </w:tc>
        <w:tc>
          <w:tcPr>
            <w:tcW w:w="2338" w:type="dxa"/>
          </w:tcPr>
          <w:p w14:paraId="5945B03A" w14:textId="77777777" w:rsidR="00180A94" w:rsidRDefault="00180A94" w:rsidP="00180A94">
            <w:pPr>
              <w:pStyle w:val="TableParagraph"/>
              <w:jc w:val="center"/>
            </w:pPr>
          </w:p>
        </w:tc>
        <w:tc>
          <w:tcPr>
            <w:tcW w:w="2338" w:type="dxa"/>
          </w:tcPr>
          <w:p w14:paraId="61867D01" w14:textId="77777777" w:rsidR="00180A94" w:rsidRDefault="00180A94" w:rsidP="00180A94">
            <w:pPr>
              <w:pStyle w:val="TableParagraph"/>
              <w:jc w:val="center"/>
            </w:pPr>
          </w:p>
        </w:tc>
      </w:tr>
      <w:tr w:rsidR="00180A94" w14:paraId="79E325D2" w14:textId="77777777" w:rsidTr="00180A94">
        <w:tc>
          <w:tcPr>
            <w:tcW w:w="2337" w:type="dxa"/>
          </w:tcPr>
          <w:p w14:paraId="01B3A7C2" w14:textId="3EF725A3" w:rsidR="00180A94" w:rsidRDefault="00180A94" w:rsidP="00180A94">
            <w:pPr>
              <w:pStyle w:val="TableParagraph"/>
              <w:jc w:val="center"/>
            </w:pPr>
            <w:r w:rsidRPr="00B84B07">
              <w:t>SOC5</w:t>
            </w:r>
          </w:p>
        </w:tc>
        <w:tc>
          <w:tcPr>
            <w:tcW w:w="2337" w:type="dxa"/>
          </w:tcPr>
          <w:p w14:paraId="64376FE7" w14:textId="77777777" w:rsidR="00180A94" w:rsidRDefault="00180A94" w:rsidP="00180A94">
            <w:pPr>
              <w:pStyle w:val="TableParagraph"/>
              <w:jc w:val="center"/>
            </w:pPr>
          </w:p>
        </w:tc>
        <w:tc>
          <w:tcPr>
            <w:tcW w:w="2338" w:type="dxa"/>
          </w:tcPr>
          <w:p w14:paraId="3DCCD420" w14:textId="77777777" w:rsidR="00180A94" w:rsidRDefault="00180A94" w:rsidP="00180A94">
            <w:pPr>
              <w:pStyle w:val="TableParagraph"/>
              <w:jc w:val="center"/>
            </w:pPr>
          </w:p>
        </w:tc>
        <w:tc>
          <w:tcPr>
            <w:tcW w:w="2338" w:type="dxa"/>
          </w:tcPr>
          <w:p w14:paraId="75F2ACFC" w14:textId="77777777" w:rsidR="00180A94" w:rsidRDefault="00180A94" w:rsidP="00180A94">
            <w:pPr>
              <w:pStyle w:val="TableParagraph"/>
              <w:jc w:val="center"/>
            </w:pPr>
          </w:p>
        </w:tc>
      </w:tr>
      <w:tr w:rsidR="00180A94" w14:paraId="5988ABA7" w14:textId="77777777" w:rsidTr="00180A94">
        <w:tc>
          <w:tcPr>
            <w:tcW w:w="2337" w:type="dxa"/>
          </w:tcPr>
          <w:p w14:paraId="5BC5B3B2" w14:textId="2A6BA613" w:rsidR="00180A94" w:rsidRDefault="00180A94" w:rsidP="00180A94">
            <w:pPr>
              <w:pStyle w:val="TableParagraph"/>
              <w:jc w:val="center"/>
            </w:pPr>
            <w:r w:rsidRPr="00B84B07">
              <w:t>RADs</w:t>
            </w:r>
          </w:p>
        </w:tc>
        <w:tc>
          <w:tcPr>
            <w:tcW w:w="2337" w:type="dxa"/>
          </w:tcPr>
          <w:p w14:paraId="4A8BA6D4" w14:textId="77777777" w:rsidR="00180A94" w:rsidRDefault="00180A94" w:rsidP="00180A94">
            <w:pPr>
              <w:pStyle w:val="TableParagraph"/>
              <w:jc w:val="center"/>
            </w:pPr>
          </w:p>
        </w:tc>
        <w:tc>
          <w:tcPr>
            <w:tcW w:w="2338" w:type="dxa"/>
          </w:tcPr>
          <w:p w14:paraId="6A8BF3D2" w14:textId="77777777" w:rsidR="00180A94" w:rsidRDefault="00180A94" w:rsidP="00180A94">
            <w:pPr>
              <w:pStyle w:val="TableParagraph"/>
              <w:jc w:val="center"/>
            </w:pPr>
          </w:p>
        </w:tc>
        <w:tc>
          <w:tcPr>
            <w:tcW w:w="2338" w:type="dxa"/>
          </w:tcPr>
          <w:p w14:paraId="1615B335" w14:textId="77777777" w:rsidR="00180A94" w:rsidRDefault="00180A94" w:rsidP="00180A94">
            <w:pPr>
              <w:pStyle w:val="TableParagraph"/>
              <w:jc w:val="center"/>
            </w:pPr>
          </w:p>
        </w:tc>
      </w:tr>
      <w:tr w:rsidR="00180A94" w14:paraId="383E6A83" w14:textId="77777777" w:rsidTr="00180A94">
        <w:tc>
          <w:tcPr>
            <w:tcW w:w="2337" w:type="dxa"/>
          </w:tcPr>
          <w:p w14:paraId="0AB40239" w14:textId="77777777" w:rsidR="00180A94" w:rsidRDefault="00180A94" w:rsidP="00180A94">
            <w:pPr>
              <w:pStyle w:val="TableParagraph"/>
              <w:jc w:val="center"/>
            </w:pPr>
          </w:p>
        </w:tc>
        <w:tc>
          <w:tcPr>
            <w:tcW w:w="2337" w:type="dxa"/>
          </w:tcPr>
          <w:p w14:paraId="36C5FD5B" w14:textId="77777777" w:rsidR="00180A94" w:rsidRDefault="00180A94" w:rsidP="00180A94">
            <w:pPr>
              <w:pStyle w:val="TableParagraph"/>
              <w:jc w:val="center"/>
            </w:pPr>
          </w:p>
        </w:tc>
        <w:tc>
          <w:tcPr>
            <w:tcW w:w="2338" w:type="dxa"/>
          </w:tcPr>
          <w:p w14:paraId="64954BD2" w14:textId="77777777" w:rsidR="00180A94" w:rsidRDefault="00180A94" w:rsidP="00180A94">
            <w:pPr>
              <w:pStyle w:val="TableParagraph"/>
              <w:jc w:val="center"/>
            </w:pPr>
          </w:p>
        </w:tc>
        <w:tc>
          <w:tcPr>
            <w:tcW w:w="2338" w:type="dxa"/>
          </w:tcPr>
          <w:p w14:paraId="4E8AA73B" w14:textId="77777777" w:rsidR="00180A94" w:rsidRDefault="00180A94" w:rsidP="00180A94">
            <w:pPr>
              <w:pStyle w:val="TableParagraph"/>
              <w:jc w:val="center"/>
            </w:pPr>
          </w:p>
        </w:tc>
      </w:tr>
    </w:tbl>
    <w:p w14:paraId="6D5683DA" w14:textId="4A07A0C6" w:rsidR="00630859" w:rsidRPr="00180A94" w:rsidRDefault="00D317C2" w:rsidP="00180A94">
      <w:pPr>
        <w:pStyle w:val="BodyText"/>
      </w:pPr>
      <w:r w:rsidRPr="00180A94">
        <w:t>Samples collected by TCEQ contractors will be sent to a NELAP accredited compliance laboratory</w:t>
      </w:r>
      <w:r w:rsidR="006074BF" w:rsidRPr="00180A94">
        <w:t xml:space="preserve"> for analysis,</w:t>
      </w:r>
      <w:r w:rsidRPr="00180A94">
        <w:t xml:space="preserve"> either the Department of State Health Services (DSHS) or Lower </w:t>
      </w:r>
      <w:r w:rsidRPr="00180A94">
        <w:lastRenderedPageBreak/>
        <w:t>Colorado River Authority (LCRA).</w:t>
      </w:r>
    </w:p>
    <w:p w14:paraId="3C3E380A" w14:textId="105E83CC" w:rsidR="00A44917" w:rsidRPr="00E23D06" w:rsidRDefault="00E634CF" w:rsidP="00E23D06">
      <w:pPr>
        <w:pStyle w:val="Heading3"/>
      </w:pPr>
      <w:r w:rsidRPr="00E23D06">
        <w:t>MCL Compliance Determination</w:t>
      </w:r>
    </w:p>
    <w:p w14:paraId="39F8AD34" w14:textId="6754BCB2" w:rsidR="00A44917" w:rsidRPr="00E23D06" w:rsidRDefault="00E634CF" w:rsidP="00E23D06">
      <w:pPr>
        <w:pStyle w:val="BodyText"/>
      </w:pPr>
      <w:r w:rsidRPr="00E23D06">
        <w:rPr>
          <w:rStyle w:val="Strong"/>
        </w:rPr>
        <w:t>Inorganic chemical, organic chemicals, and radionuclides</w:t>
      </w:r>
      <w:r w:rsidR="00E23D06" w:rsidRPr="00E23D06">
        <w:rPr>
          <w:rStyle w:val="Strong"/>
        </w:rPr>
        <w:t>:</w:t>
      </w:r>
      <w:r w:rsidR="00E23D06">
        <w:t xml:space="preserve"> </w:t>
      </w:r>
      <w:r w:rsidRPr="00E23D06">
        <w:t>Compliance is determined at each entry point for each individual chemical or radionuclide based on a running annual average of quarterly samples. Each entry point is evaluated independently for each chemical or radionuclide.</w:t>
      </w:r>
    </w:p>
    <w:p w14:paraId="36C2F46B" w14:textId="4F483BC5" w:rsidR="00E634CF" w:rsidRPr="00E23D06" w:rsidRDefault="00E634CF" w:rsidP="00E23D06">
      <w:pPr>
        <w:pStyle w:val="BodyText"/>
      </w:pPr>
      <w:r w:rsidRPr="00E23D06">
        <w:rPr>
          <w:rStyle w:val="Strong"/>
        </w:rPr>
        <w:t>Nitrate and nitrite</w:t>
      </w:r>
      <w:r w:rsidR="00E23D06" w:rsidRPr="00E23D06">
        <w:rPr>
          <w:rStyle w:val="Strong"/>
        </w:rPr>
        <w:t>:</w:t>
      </w:r>
      <w:r w:rsidR="00E23D06">
        <w:t xml:space="preserve"> </w:t>
      </w:r>
      <w:r w:rsidRPr="00E23D06">
        <w:t>Compliance is based on an average of the original sample and the confirmation sample unless a confirmation sample is not taken within the required time frame, in which case it is based only on the original sample. All nitrate and nitrite violations require immediate consultation with TCEQ.</w:t>
      </w:r>
    </w:p>
    <w:p w14:paraId="64423DEA" w14:textId="19725658" w:rsidR="00A7782C" w:rsidRPr="00E23D06" w:rsidRDefault="00A7782C" w:rsidP="00E23D06">
      <w:pPr>
        <w:pStyle w:val="Heading1"/>
      </w:pPr>
      <w:r w:rsidRPr="00E23D06">
        <w:t>Revised Total Coliform Rule (RTCR)</w:t>
      </w:r>
    </w:p>
    <w:p w14:paraId="61CA24D9" w14:textId="5F7B8F7D" w:rsidR="00AA4292" w:rsidRPr="00E23D06" w:rsidRDefault="00AE02A1" w:rsidP="00E23D06">
      <w:pPr>
        <w:pStyle w:val="BodyText"/>
      </w:pPr>
      <w:bookmarkStart w:id="20" w:name="_Hlk97732667"/>
      <w:r w:rsidRPr="00E23D06">
        <w:t>E</w:t>
      </w:r>
      <w:r w:rsidR="00FA10FB" w:rsidRPr="00E23D06">
        <w:t xml:space="preserve">very public water system must </w:t>
      </w:r>
      <w:r w:rsidRPr="00E23D06">
        <w:t>identify</w:t>
      </w:r>
      <w:r w:rsidR="00FA10FB" w:rsidRPr="00E23D06">
        <w:t xml:space="preserve"> and maintain sampling sites for their routine as well as their repeat sample locations. The sample siting plan shows where a system intends to complete their repeat requirements in the event of a distribution system positive.</w:t>
      </w:r>
    </w:p>
    <w:p w14:paraId="294CA856" w14:textId="3137F443" w:rsidR="00FA10FB" w:rsidRPr="00B35693" w:rsidRDefault="00FA10FB" w:rsidP="00E23D06">
      <w:pPr>
        <w:pStyle w:val="BodyText"/>
        <w:rPr>
          <w:rStyle w:val="Strong"/>
        </w:rPr>
      </w:pPr>
      <w:r w:rsidRPr="00B35693">
        <w:rPr>
          <w:rStyle w:val="Strong"/>
        </w:rPr>
        <w:t xml:space="preserve">Be sure to </w:t>
      </w:r>
      <w:r w:rsidR="00D71673" w:rsidRPr="00B35693">
        <w:rPr>
          <w:rStyle w:val="Strong"/>
        </w:rPr>
        <w:t>include the system’s sample siting plan as an attachment to the monitoring plan to indicate</w:t>
      </w:r>
      <w:r w:rsidR="00F50B31" w:rsidRPr="00B35693">
        <w:rPr>
          <w:rStyle w:val="Strong"/>
        </w:rPr>
        <w:t xml:space="preserve"> all</w:t>
      </w:r>
      <w:r w:rsidR="00D71673" w:rsidRPr="00B35693">
        <w:rPr>
          <w:rStyle w:val="Strong"/>
        </w:rPr>
        <w:t xml:space="preserve"> routine and repeat sample locations a system </w:t>
      </w:r>
      <w:r w:rsidR="00F50B31" w:rsidRPr="00B35693">
        <w:rPr>
          <w:rStyle w:val="Strong"/>
        </w:rPr>
        <w:t>may</w:t>
      </w:r>
      <w:r w:rsidR="00D71673" w:rsidRPr="00B35693">
        <w:rPr>
          <w:rStyle w:val="Strong"/>
        </w:rPr>
        <w:t xml:space="preserve"> collect a bacteriological sample from.</w:t>
      </w:r>
    </w:p>
    <w:tbl>
      <w:tblPr>
        <w:tblStyle w:val="TableGrid"/>
        <w:tblW w:w="0" w:type="auto"/>
        <w:tblLook w:val="04A0" w:firstRow="1" w:lastRow="0" w:firstColumn="1" w:lastColumn="0" w:noHBand="0" w:noVBand="1"/>
      </w:tblPr>
      <w:tblGrid>
        <w:gridCol w:w="5035"/>
        <w:gridCol w:w="4315"/>
      </w:tblGrid>
      <w:tr w:rsidR="001A795E" w14:paraId="31250944" w14:textId="77777777" w:rsidTr="00E23D06">
        <w:trPr>
          <w:trHeight w:val="360"/>
        </w:trPr>
        <w:tc>
          <w:tcPr>
            <w:tcW w:w="5035" w:type="dxa"/>
            <w:shd w:val="clear" w:color="auto" w:fill="D9D9D9" w:themeFill="background1" w:themeFillShade="D9"/>
          </w:tcPr>
          <w:bookmarkEnd w:id="20"/>
          <w:p w14:paraId="64180966" w14:textId="2B84EC6F" w:rsidR="001A795E" w:rsidRPr="00EC15E9" w:rsidRDefault="001A795E" w:rsidP="00E23D06">
            <w:pPr>
              <w:pStyle w:val="TableParagraph"/>
              <w:rPr>
                <w:rStyle w:val="Strong"/>
              </w:rPr>
            </w:pPr>
            <w:r w:rsidRPr="00EC15E9">
              <w:rPr>
                <w:rStyle w:val="Strong"/>
              </w:rPr>
              <w:t>Number of coliform samples taken monthly:</w:t>
            </w:r>
          </w:p>
        </w:tc>
        <w:tc>
          <w:tcPr>
            <w:tcW w:w="4315" w:type="dxa"/>
            <w:shd w:val="clear" w:color="auto" w:fill="FFFFFF" w:themeFill="background1"/>
          </w:tcPr>
          <w:p w14:paraId="092D7D1A" w14:textId="77777777" w:rsidR="001A795E" w:rsidRDefault="001A795E" w:rsidP="00E23D06">
            <w:pPr>
              <w:pStyle w:val="TableParagraph"/>
            </w:pPr>
          </w:p>
        </w:tc>
      </w:tr>
    </w:tbl>
    <w:p w14:paraId="1A348FA5" w14:textId="2D458B6C" w:rsidR="00D71673" w:rsidRPr="00E23D06" w:rsidRDefault="00DC162B" w:rsidP="00E23D06">
      <w:pPr>
        <w:pStyle w:val="BodyText"/>
      </w:pPr>
      <w:bookmarkStart w:id="21" w:name="_Hlk97732689"/>
      <w:r w:rsidRPr="00E23D06">
        <w:t xml:space="preserve">In the first table of the Laboratory Information section, please </w:t>
      </w:r>
      <w:r w:rsidR="00D71673" w:rsidRPr="00E23D06">
        <w:t>note the lab of analysis for all coliform samples</w:t>
      </w:r>
      <w:r w:rsidRPr="00E23D06">
        <w:t>.</w:t>
      </w:r>
    </w:p>
    <w:bookmarkEnd w:id="21"/>
    <w:p w14:paraId="554CD6AE" w14:textId="37E6FE6E" w:rsidR="009E23FD" w:rsidRPr="00E23D06" w:rsidRDefault="009E23FD" w:rsidP="00E23D06">
      <w:pPr>
        <w:pStyle w:val="BodyText"/>
      </w:pPr>
      <w:r w:rsidRPr="00E23D06">
        <w:t>Compliance with the RTCR is met when no more than one routine/repeat sample is total coliform positive and none of the repeats are E. coli positive for systems collecting less than 40 samples per month. If a system collects 40 or more samples per month, compliance is met when no more than 5% of all routine/repeat samples are total coliform positive and none of the repeats are E. coli positive. There must be no combination of an E. coli positive sample result with a routine/repeat total coliform or E. coli positive sample result.</w:t>
      </w:r>
    </w:p>
    <w:p w14:paraId="72DCCEB6" w14:textId="2D552F5A" w:rsidR="00484FB3" w:rsidRDefault="00CF39D4" w:rsidP="00E23D06">
      <w:pPr>
        <w:pStyle w:val="BodyText"/>
      </w:pPr>
      <w:r w:rsidRPr="00E23D06">
        <w:t xml:space="preserve">Any </w:t>
      </w:r>
      <w:r w:rsidR="000C121A" w:rsidRPr="00E23D06">
        <w:t>L</w:t>
      </w:r>
      <w:r w:rsidRPr="00E23D06">
        <w:t>evel 1 or Level 2 Assessment must be conducted and completed, and the assessment form must be submitted to the TCEQ within 30 days of a trigger. Any corrective action(s) associated with sanitary defects identified during an assessment shall be corrected by the time of submission of the assessment form or within a time frame approved by the TCEQ in consultation with the public water system.</w:t>
      </w:r>
    </w:p>
    <w:p w14:paraId="00CF4AC3" w14:textId="04055B73" w:rsidR="00EE15D8" w:rsidRPr="00E23D06" w:rsidRDefault="00EE15D8" w:rsidP="00E23D06">
      <w:pPr>
        <w:pStyle w:val="Heading1"/>
      </w:pPr>
      <w:r w:rsidRPr="00E23D06">
        <w:t>Disinfectant Residual Monitoring in the Distribution System</w:t>
      </w:r>
    </w:p>
    <w:p w14:paraId="5C91F662" w14:textId="3144E704" w:rsidR="00C53499" w:rsidRPr="00E23D06" w:rsidRDefault="00C53499" w:rsidP="00E23D06">
      <w:pPr>
        <w:pStyle w:val="BodyText"/>
      </w:pPr>
      <w:r w:rsidRPr="00E23D06">
        <w:t>The disinfectant residual must be measured at the same time and location as each total coliform sample in addition to the system’s regular schedule. Disinfectant residual measurements must be indicated on each total coliform monitoring form submitting to the lab.</w:t>
      </w:r>
    </w:p>
    <w:p w14:paraId="3B5F59F2" w14:textId="7A5BBA96" w:rsidR="00C53499" w:rsidRPr="00E23D06" w:rsidRDefault="00C53499" w:rsidP="00E23D06">
      <w:pPr>
        <w:pStyle w:val="Heading4"/>
      </w:pPr>
      <w:r w:rsidRPr="00E23D06">
        <w:t>Disinfectant used:</w:t>
      </w:r>
    </w:p>
    <w:tbl>
      <w:tblPr>
        <w:tblStyle w:val="TableGrid"/>
        <w:tblW w:w="0" w:type="auto"/>
        <w:tblLook w:val="04A0" w:firstRow="1" w:lastRow="0" w:firstColumn="1" w:lastColumn="0" w:noHBand="0" w:noVBand="1"/>
      </w:tblPr>
      <w:tblGrid>
        <w:gridCol w:w="805"/>
        <w:gridCol w:w="8545"/>
      </w:tblGrid>
      <w:tr w:rsidR="00E23D06" w:rsidRPr="00E23D06" w14:paraId="19F5EA1E" w14:textId="77777777" w:rsidTr="002D6CEB">
        <w:tc>
          <w:tcPr>
            <w:tcW w:w="805" w:type="dxa"/>
            <w:vAlign w:val="center"/>
          </w:tcPr>
          <w:p w14:paraId="7577F6C4" w14:textId="4318EF31" w:rsidR="00E23D06" w:rsidRPr="00E23D06" w:rsidRDefault="00E23D06" w:rsidP="00E23D06">
            <w:pPr>
              <w:pStyle w:val="TableParagraph"/>
              <w:jc w:val="center"/>
            </w:pPr>
            <w:r>
              <w:fldChar w:fldCharType="begin">
                <w:ffData>
                  <w:name w:val="Check16"/>
                  <w:enabled/>
                  <w:calcOnExit w:val="0"/>
                  <w:checkBox>
                    <w:sizeAuto/>
                    <w:default w:val="0"/>
                  </w:checkBox>
                </w:ffData>
              </w:fldChar>
            </w:r>
            <w:bookmarkStart w:id="22" w:name="Check16"/>
            <w:r>
              <w:instrText xml:space="preserve"> FORMCHECKBOX </w:instrText>
            </w:r>
            <w:r w:rsidR="00083934">
              <w:fldChar w:fldCharType="separate"/>
            </w:r>
            <w:r>
              <w:fldChar w:fldCharType="end"/>
            </w:r>
            <w:bookmarkEnd w:id="22"/>
          </w:p>
        </w:tc>
        <w:tc>
          <w:tcPr>
            <w:tcW w:w="8545" w:type="dxa"/>
            <w:vAlign w:val="center"/>
          </w:tcPr>
          <w:p w14:paraId="1642C114" w14:textId="009ED099" w:rsidR="00E23D06" w:rsidRPr="00E23D06" w:rsidRDefault="00E23D06" w:rsidP="00E23D06">
            <w:pPr>
              <w:pStyle w:val="TableParagraph"/>
            </w:pPr>
            <w:r w:rsidRPr="00E23D06">
              <w:t>Chlorine (residual must be measured as free chlorine ≥ 0.2 mg/L)</w:t>
            </w:r>
          </w:p>
        </w:tc>
      </w:tr>
      <w:tr w:rsidR="00E23D06" w:rsidRPr="00E23D06" w14:paraId="0CCF01B0" w14:textId="77777777" w:rsidTr="002D6CEB">
        <w:tc>
          <w:tcPr>
            <w:tcW w:w="805" w:type="dxa"/>
            <w:vAlign w:val="center"/>
          </w:tcPr>
          <w:p w14:paraId="0A23502D" w14:textId="46BC9721" w:rsidR="00E23D06" w:rsidRPr="00E23D06" w:rsidRDefault="00E23D06" w:rsidP="00E23D06">
            <w:pPr>
              <w:pStyle w:val="TableParagraph"/>
              <w:jc w:val="center"/>
            </w:pPr>
            <w:r>
              <w:fldChar w:fldCharType="begin">
                <w:ffData>
                  <w:name w:val="Check17"/>
                  <w:enabled/>
                  <w:calcOnExit w:val="0"/>
                  <w:checkBox>
                    <w:sizeAuto/>
                    <w:default w:val="0"/>
                  </w:checkBox>
                </w:ffData>
              </w:fldChar>
            </w:r>
            <w:bookmarkStart w:id="23" w:name="Check17"/>
            <w:r>
              <w:instrText xml:space="preserve"> FORMCHECKBOX </w:instrText>
            </w:r>
            <w:r w:rsidR="00083934">
              <w:fldChar w:fldCharType="separate"/>
            </w:r>
            <w:r>
              <w:fldChar w:fldCharType="end"/>
            </w:r>
            <w:bookmarkEnd w:id="23"/>
          </w:p>
        </w:tc>
        <w:tc>
          <w:tcPr>
            <w:tcW w:w="8545" w:type="dxa"/>
            <w:vAlign w:val="center"/>
          </w:tcPr>
          <w:p w14:paraId="07C78892" w14:textId="6FD296BA" w:rsidR="00E23D06" w:rsidRPr="00E23D06" w:rsidRDefault="00E23D06" w:rsidP="00E23D06">
            <w:pPr>
              <w:pStyle w:val="TableParagraph"/>
            </w:pPr>
            <w:r w:rsidRPr="00E23D06">
              <w:t>Chloramines (residual must be measured as total chlorine ≥ 0.5 mg/L)</w:t>
            </w:r>
          </w:p>
        </w:tc>
      </w:tr>
    </w:tbl>
    <w:p w14:paraId="131993FB" w14:textId="7163991C" w:rsidR="00C53499" w:rsidRDefault="00C53499" w:rsidP="00E23D06">
      <w:pPr>
        <w:pStyle w:val="Heading4"/>
      </w:pPr>
      <w:r w:rsidRPr="00E23D06">
        <w:lastRenderedPageBreak/>
        <w:t>Residual monitored:</w:t>
      </w:r>
    </w:p>
    <w:tbl>
      <w:tblPr>
        <w:tblStyle w:val="TableGrid"/>
        <w:tblW w:w="0" w:type="auto"/>
        <w:tblLook w:val="04A0" w:firstRow="1" w:lastRow="0" w:firstColumn="1" w:lastColumn="0" w:noHBand="0" w:noVBand="1"/>
      </w:tblPr>
      <w:tblGrid>
        <w:gridCol w:w="805"/>
        <w:gridCol w:w="8545"/>
      </w:tblGrid>
      <w:tr w:rsidR="002D6CEB" w:rsidRPr="002D6CEB" w14:paraId="440FFEB1" w14:textId="77777777" w:rsidTr="002D6CEB">
        <w:tc>
          <w:tcPr>
            <w:tcW w:w="805" w:type="dxa"/>
            <w:vAlign w:val="center"/>
          </w:tcPr>
          <w:p w14:paraId="31064E47" w14:textId="7F14CE6F" w:rsidR="002D6CEB" w:rsidRPr="002D6CEB" w:rsidRDefault="002D6CEB" w:rsidP="002D6CEB">
            <w:pPr>
              <w:pStyle w:val="TableParagraph"/>
              <w:jc w:val="center"/>
            </w:pPr>
            <w:r>
              <w:fldChar w:fldCharType="begin">
                <w:ffData>
                  <w:name w:val="Check18"/>
                  <w:enabled/>
                  <w:calcOnExit w:val="0"/>
                  <w:checkBox>
                    <w:sizeAuto/>
                    <w:default w:val="0"/>
                  </w:checkBox>
                </w:ffData>
              </w:fldChar>
            </w:r>
            <w:bookmarkStart w:id="24" w:name="Check18"/>
            <w:r>
              <w:instrText xml:space="preserve"> FORMCHECKBOX </w:instrText>
            </w:r>
            <w:r w:rsidR="00083934">
              <w:fldChar w:fldCharType="separate"/>
            </w:r>
            <w:r>
              <w:fldChar w:fldCharType="end"/>
            </w:r>
            <w:bookmarkEnd w:id="24"/>
          </w:p>
        </w:tc>
        <w:tc>
          <w:tcPr>
            <w:tcW w:w="8545" w:type="dxa"/>
            <w:vAlign w:val="center"/>
          </w:tcPr>
          <w:p w14:paraId="59F5C193" w14:textId="77D33B33" w:rsidR="002D6CEB" w:rsidRPr="002D6CEB" w:rsidRDefault="002D6CEB" w:rsidP="002D6CEB">
            <w:pPr>
              <w:pStyle w:val="TableParagraph"/>
            </w:pPr>
            <w:r w:rsidRPr="002D6CEB">
              <w:t>Every seven days (GW or Purchase systems with less than 250 connections and 750 population</w:t>
            </w:r>
            <w:r>
              <w:t>)</w:t>
            </w:r>
          </w:p>
        </w:tc>
      </w:tr>
      <w:tr w:rsidR="002D6CEB" w:rsidRPr="002D6CEB" w14:paraId="32018407" w14:textId="77777777" w:rsidTr="002D6CEB">
        <w:tc>
          <w:tcPr>
            <w:tcW w:w="805" w:type="dxa"/>
            <w:vAlign w:val="center"/>
          </w:tcPr>
          <w:p w14:paraId="34AAA16C" w14:textId="7713E035" w:rsidR="002D6CEB" w:rsidRPr="002D6CEB" w:rsidRDefault="002D6CEB" w:rsidP="002D6CEB">
            <w:pPr>
              <w:pStyle w:val="TableParagraph"/>
              <w:jc w:val="center"/>
            </w:pPr>
            <w:r>
              <w:fldChar w:fldCharType="begin">
                <w:ffData>
                  <w:name w:val="Check19"/>
                  <w:enabled/>
                  <w:calcOnExit w:val="0"/>
                  <w:checkBox>
                    <w:sizeAuto/>
                    <w:default w:val="0"/>
                  </w:checkBox>
                </w:ffData>
              </w:fldChar>
            </w:r>
            <w:bookmarkStart w:id="25" w:name="Check19"/>
            <w:r>
              <w:instrText xml:space="preserve"> FORMCHECKBOX </w:instrText>
            </w:r>
            <w:r w:rsidR="00083934">
              <w:fldChar w:fldCharType="separate"/>
            </w:r>
            <w:r>
              <w:fldChar w:fldCharType="end"/>
            </w:r>
            <w:bookmarkEnd w:id="25"/>
          </w:p>
        </w:tc>
        <w:tc>
          <w:tcPr>
            <w:tcW w:w="8545" w:type="dxa"/>
            <w:vAlign w:val="center"/>
          </w:tcPr>
          <w:p w14:paraId="10FF6CE7" w14:textId="7CD73D19" w:rsidR="002D6CEB" w:rsidRPr="002D6CEB" w:rsidRDefault="002D6CEB" w:rsidP="002D6CEB">
            <w:pPr>
              <w:pStyle w:val="TableParagraph"/>
            </w:pPr>
            <w:r w:rsidRPr="002D6CEB">
              <w:t>Daily</w:t>
            </w:r>
          </w:p>
        </w:tc>
      </w:tr>
    </w:tbl>
    <w:p w14:paraId="238DAF9B" w14:textId="7DDD18DA" w:rsidR="007549D9" w:rsidRDefault="00917170" w:rsidP="002D6CEB">
      <w:pPr>
        <w:pStyle w:val="BodyText"/>
      </w:pPr>
      <w:r w:rsidRPr="002D6CEB">
        <w:t xml:space="preserve">Disinfectant residual sample locations are inherently the same as bacteriological locations </w:t>
      </w:r>
      <w:r w:rsidR="00FD6EEF" w:rsidRPr="002D6CEB">
        <w:t>since</w:t>
      </w:r>
      <w:r w:rsidRPr="002D6CEB">
        <w:t xml:space="preserve"> a residual must be collected at the same time. However, a system may have additional locations used for residual monitoring either to represent the distribution system further or due to taking more residual samples than bacteriological. If the system has any additional locations used for </w:t>
      </w:r>
      <w:r w:rsidR="00307BBB" w:rsidRPr="002D6CEB">
        <w:t>residual compliance sampl</w:t>
      </w:r>
      <w:r w:rsidR="00FD6EEF" w:rsidRPr="002D6CEB">
        <w:t>ing</w:t>
      </w:r>
      <w:r w:rsidR="00307BBB" w:rsidRPr="002D6CEB">
        <w:t>, list them below:</w:t>
      </w:r>
    </w:p>
    <w:tbl>
      <w:tblPr>
        <w:tblStyle w:val="TableGrid"/>
        <w:tblW w:w="0" w:type="auto"/>
        <w:tblLook w:val="04A0" w:firstRow="1" w:lastRow="0" w:firstColumn="1" w:lastColumn="0" w:noHBand="0" w:noVBand="1"/>
      </w:tblPr>
      <w:tblGrid>
        <w:gridCol w:w="4675"/>
        <w:gridCol w:w="4675"/>
      </w:tblGrid>
      <w:tr w:rsidR="002D6CEB" w14:paraId="117DE2B3" w14:textId="77777777" w:rsidTr="002D6CEB">
        <w:tc>
          <w:tcPr>
            <w:tcW w:w="4675" w:type="dxa"/>
            <w:shd w:val="clear" w:color="auto" w:fill="D9D9D9" w:themeFill="background1" w:themeFillShade="D9"/>
          </w:tcPr>
          <w:p w14:paraId="6DA438FA" w14:textId="66BB9B0C" w:rsidR="002D6CEB" w:rsidRDefault="002D6CEB" w:rsidP="002D6CEB">
            <w:pPr>
              <w:pStyle w:val="Header"/>
            </w:pPr>
            <w:r w:rsidRPr="00AE325A">
              <w:t>Sampling Location</w:t>
            </w:r>
          </w:p>
        </w:tc>
        <w:tc>
          <w:tcPr>
            <w:tcW w:w="4675" w:type="dxa"/>
            <w:shd w:val="clear" w:color="auto" w:fill="D9D9D9" w:themeFill="background1" w:themeFillShade="D9"/>
          </w:tcPr>
          <w:p w14:paraId="502AB566" w14:textId="4638095B" w:rsidR="002D6CEB" w:rsidRDefault="002D6CEB" w:rsidP="002D6CEB">
            <w:pPr>
              <w:pStyle w:val="Header"/>
            </w:pPr>
            <w:r w:rsidRPr="00AE325A">
              <w:t>Sampling Frequency</w:t>
            </w:r>
          </w:p>
        </w:tc>
      </w:tr>
      <w:tr w:rsidR="002D6CEB" w14:paraId="64A793D4" w14:textId="77777777" w:rsidTr="00EA00A9">
        <w:trPr>
          <w:trHeight w:val="899"/>
        </w:trPr>
        <w:tc>
          <w:tcPr>
            <w:tcW w:w="4675" w:type="dxa"/>
          </w:tcPr>
          <w:p w14:paraId="256E9BEF" w14:textId="77777777" w:rsidR="002D6CEB" w:rsidRDefault="002D6CEB" w:rsidP="002D6CEB">
            <w:pPr>
              <w:pStyle w:val="TableParagraph"/>
              <w:jc w:val="center"/>
            </w:pPr>
          </w:p>
        </w:tc>
        <w:tc>
          <w:tcPr>
            <w:tcW w:w="4675" w:type="dxa"/>
          </w:tcPr>
          <w:p w14:paraId="1F60EE6D" w14:textId="77777777" w:rsidR="002D6CEB" w:rsidRDefault="002D6CEB" w:rsidP="002D6CEB">
            <w:pPr>
              <w:pStyle w:val="TableParagraph"/>
              <w:jc w:val="center"/>
            </w:pPr>
          </w:p>
        </w:tc>
      </w:tr>
    </w:tbl>
    <w:p w14:paraId="7F727CF1" w14:textId="508543FA" w:rsidR="00C23CA7" w:rsidRPr="002D6CEB" w:rsidRDefault="00194D91" w:rsidP="002D6CEB">
      <w:pPr>
        <w:pStyle w:val="BodyText"/>
      </w:pPr>
      <w:r w:rsidRPr="002D6CEB">
        <w:rPr>
          <w:rStyle w:val="Strong"/>
        </w:rPr>
        <w:t>Note:</w:t>
      </w:r>
      <w:r w:rsidRPr="002D6CEB">
        <w:t xml:space="preserve"> Chlorine analyzers shall use an EPA approved analytical method. The analyzer must adhere to quality control procedures that demonstrate accuracy (§290.46(s)(2)(C)). The accuracy of manual analyzers shall be verified at least once every 90 days using chlorine solutions of known concentrations. Online analyzers shall be checked at least once every seven days with a chlorine solution of known concentration or by comparing the results with the result of </w:t>
      </w:r>
      <w:r w:rsidR="008F68B3" w:rsidRPr="002D6CEB">
        <w:t xml:space="preserve">an </w:t>
      </w:r>
      <w:r w:rsidRPr="002D6CEB">
        <w:t>approved bench top method</w:t>
      </w:r>
      <w:r w:rsidR="008F68B3" w:rsidRPr="002D6CEB">
        <w:t>. Online chlorine analyzers that do not use an approved EPA method must be approved by TCEQ using EPA method 334.0 form (Initial Demonstration of Capability).</w:t>
      </w:r>
    </w:p>
    <w:p w14:paraId="4E8A67FF" w14:textId="69E47C5B" w:rsidR="00C53499" w:rsidRPr="002D6CEB" w:rsidRDefault="00C23CA7" w:rsidP="002D6CEB">
      <w:pPr>
        <w:pStyle w:val="BodyText"/>
      </w:pPr>
      <w:r w:rsidRPr="002D6CEB">
        <w:t>Public water systems must maintain a minimum 0.2 mg/L of free chlorine or 0.5 mg/L total chlorine at all times. Systems must also be in compliance with the running annual average for the maximum residual disinfectant level (MRDL) of 4.0 mg/L for disinfectant used throughout the distribution system.</w:t>
      </w:r>
    </w:p>
    <w:p w14:paraId="7D83AF2F" w14:textId="70ADB9E7" w:rsidR="009E6741" w:rsidRPr="002D6CEB" w:rsidRDefault="009E6741" w:rsidP="002D6CEB">
      <w:pPr>
        <w:pStyle w:val="Heading3"/>
      </w:pPr>
      <w:r w:rsidRPr="002D6CEB">
        <w:t>Alternative Disinfection Monitoring</w:t>
      </w:r>
    </w:p>
    <w:p w14:paraId="53C1D91D" w14:textId="7A0ED2C4" w:rsidR="009E6741" w:rsidRPr="002D6CEB" w:rsidRDefault="009E6741" w:rsidP="002D6CEB">
      <w:pPr>
        <w:pStyle w:val="BodyText"/>
      </w:pPr>
      <w:r w:rsidRPr="002D6CEB">
        <w:t>Systems with chloramines within their distribution system at any point must include a copy of their Nitrification Action Plan (NAP) to their overall monitoring plan.</w:t>
      </w:r>
    </w:p>
    <w:p w14:paraId="10526270" w14:textId="6B320C4D" w:rsidR="009E6741" w:rsidRPr="002D6CEB" w:rsidRDefault="009E6741" w:rsidP="002D6CEB">
      <w:pPr>
        <w:pStyle w:val="BodyText"/>
      </w:pPr>
      <w:r w:rsidRPr="002D6CEB">
        <w:t xml:space="preserve">Systems utilizing chlorine dioxide or ozone as part of their overall treatment process must include the appropriate information </w:t>
      </w:r>
      <w:r w:rsidR="006E2E24" w:rsidRPr="002D6CEB">
        <w:t>under the Disinfection Byproducts section.</w:t>
      </w:r>
    </w:p>
    <w:p w14:paraId="63019FCC" w14:textId="1C3DEDEB" w:rsidR="009B31DB" w:rsidRPr="002D6CEB" w:rsidRDefault="009B31DB" w:rsidP="002D6CEB">
      <w:pPr>
        <w:pStyle w:val="Heading1"/>
      </w:pPr>
      <w:r w:rsidRPr="002D6CEB">
        <w:t>Disinfection Byproducts</w:t>
      </w:r>
    </w:p>
    <w:p w14:paraId="64D19038" w14:textId="5C8FFEDB" w:rsidR="0067416C" w:rsidRPr="002D6CEB" w:rsidRDefault="0067416C" w:rsidP="002D6CEB">
      <w:pPr>
        <w:pStyle w:val="BodyText"/>
      </w:pPr>
      <w:bookmarkStart w:id="26" w:name="_Hlk97732836"/>
      <w:r w:rsidRPr="002D6CEB">
        <w:t xml:space="preserve">Disinfection byproducts (DBPs) are chemicals that form during drinking water treatment and in the distribution when naturally occurring organic matter reacts with chlorine or other disinfectants used to kill pathogenic organisms. Of all the DBPs, four types of DBPs are regulated due to the health effects caused by them: Chlorite, Bromate, Total Trihalomethanes (TTHM), and Total haloacetic acids (HAA5). Alternative disinfectants like chlorine dioxide or ozone can form chlorite or bromate, respectively, while free chlorine and chloramine can form TTHMs and/or HAA5s. TTHM and HAA5 are collected by a contracted third-party sample collector on behalf of TCEQ, then sent to one of two labs, </w:t>
      </w:r>
      <w:r w:rsidR="00337D9C" w:rsidRPr="002D6CEB">
        <w:t xml:space="preserve">the Department of State Health Services (DSHS) or </w:t>
      </w:r>
      <w:r w:rsidRPr="002D6CEB">
        <w:t>Lower Colorado River Authority (LCRA)</w:t>
      </w:r>
      <w:r w:rsidR="00337D9C" w:rsidRPr="002D6CEB">
        <w:t xml:space="preserve">. </w:t>
      </w:r>
      <w:r w:rsidRPr="002D6CEB">
        <w:t>Even though water systems are not collecting the samples, the sample locations are still determined by the water system. The TTHM and HAA5 samples sites need to be in the distribution and represent a population that’s in an area with the highest potential of DBP formation.</w:t>
      </w:r>
    </w:p>
    <w:tbl>
      <w:tblPr>
        <w:tblStyle w:val="TableGrid"/>
        <w:tblW w:w="0" w:type="auto"/>
        <w:tblLook w:val="04A0" w:firstRow="1" w:lastRow="0" w:firstColumn="1" w:lastColumn="0" w:noHBand="0" w:noVBand="1"/>
      </w:tblPr>
      <w:tblGrid>
        <w:gridCol w:w="3595"/>
        <w:gridCol w:w="5755"/>
      </w:tblGrid>
      <w:tr w:rsidR="00B54FEE" w:rsidRPr="002D6CEB" w14:paraId="1F76CCB4" w14:textId="77777777" w:rsidTr="002D6CEB">
        <w:trPr>
          <w:trHeight w:val="360"/>
        </w:trPr>
        <w:tc>
          <w:tcPr>
            <w:tcW w:w="3595" w:type="dxa"/>
            <w:shd w:val="clear" w:color="auto" w:fill="D9D9D9" w:themeFill="background1" w:themeFillShade="D9"/>
          </w:tcPr>
          <w:bookmarkEnd w:id="26"/>
          <w:p w14:paraId="0E0202C1" w14:textId="3DEC5921" w:rsidR="00B54FEE" w:rsidRPr="00EC15E9" w:rsidRDefault="00B54FEE" w:rsidP="00EC15E9">
            <w:pPr>
              <w:pStyle w:val="TableParagraph"/>
              <w:rPr>
                <w:rStyle w:val="Strong"/>
              </w:rPr>
            </w:pPr>
            <w:r w:rsidRPr="00EC15E9">
              <w:rPr>
                <w:rStyle w:val="Strong"/>
              </w:rPr>
              <w:lastRenderedPageBreak/>
              <w:t>Monitoring Frequency Required:</w:t>
            </w:r>
          </w:p>
        </w:tc>
        <w:tc>
          <w:tcPr>
            <w:tcW w:w="5755" w:type="dxa"/>
            <w:shd w:val="clear" w:color="auto" w:fill="FFFFFF" w:themeFill="background1"/>
          </w:tcPr>
          <w:p w14:paraId="7E305697" w14:textId="77777777" w:rsidR="00B54FEE" w:rsidRPr="002D6CEB" w:rsidRDefault="00B54FEE" w:rsidP="00EC15E9">
            <w:pPr>
              <w:pStyle w:val="TableParagraph"/>
            </w:pPr>
          </w:p>
        </w:tc>
      </w:tr>
    </w:tbl>
    <w:p w14:paraId="122803FC" w14:textId="4F190526" w:rsidR="00B54FEE" w:rsidRDefault="002D6CEB" w:rsidP="002D6CEB">
      <w:pPr>
        <w:pStyle w:val="Heading4"/>
      </w:pPr>
      <w:r w:rsidRPr="002D6CEB">
        <w:t>Disinfection Byproducts</w:t>
      </w:r>
      <w:r>
        <w:t xml:space="preserve"> Samples Site Locations:</w:t>
      </w:r>
    </w:p>
    <w:tbl>
      <w:tblPr>
        <w:tblStyle w:val="TableGrid"/>
        <w:tblW w:w="0" w:type="auto"/>
        <w:tblLook w:val="04A0" w:firstRow="1" w:lastRow="0" w:firstColumn="1" w:lastColumn="0" w:noHBand="0" w:noVBand="1"/>
      </w:tblPr>
      <w:tblGrid>
        <w:gridCol w:w="2335"/>
        <w:gridCol w:w="5130"/>
        <w:gridCol w:w="1885"/>
      </w:tblGrid>
      <w:tr w:rsidR="002D6CEB" w14:paraId="74EFC67A" w14:textId="77777777" w:rsidTr="00EC15E9">
        <w:tc>
          <w:tcPr>
            <w:tcW w:w="2335" w:type="dxa"/>
            <w:shd w:val="clear" w:color="auto" w:fill="D9D9D9" w:themeFill="background1" w:themeFillShade="D9"/>
            <w:vAlign w:val="center"/>
          </w:tcPr>
          <w:p w14:paraId="308488B9" w14:textId="5D62CA31" w:rsidR="002D6CEB" w:rsidRDefault="002D6CEB" w:rsidP="002D6CEB">
            <w:pPr>
              <w:pStyle w:val="Header"/>
            </w:pPr>
            <w:r w:rsidRPr="00FB4C3E">
              <w:t>Site ID</w:t>
            </w:r>
          </w:p>
        </w:tc>
        <w:tc>
          <w:tcPr>
            <w:tcW w:w="5130" w:type="dxa"/>
            <w:shd w:val="clear" w:color="auto" w:fill="D9D9D9" w:themeFill="background1" w:themeFillShade="D9"/>
            <w:vAlign w:val="center"/>
          </w:tcPr>
          <w:p w14:paraId="677DF4C0" w14:textId="31F3A95F" w:rsidR="002D6CEB" w:rsidRDefault="002D6CEB" w:rsidP="002D6CEB">
            <w:pPr>
              <w:pStyle w:val="Header"/>
            </w:pPr>
            <w:r w:rsidRPr="00FB4C3E">
              <w:t>Sample Location</w:t>
            </w:r>
          </w:p>
        </w:tc>
        <w:tc>
          <w:tcPr>
            <w:tcW w:w="1885" w:type="dxa"/>
            <w:shd w:val="clear" w:color="auto" w:fill="D9D9D9" w:themeFill="background1" w:themeFillShade="D9"/>
            <w:vAlign w:val="center"/>
          </w:tcPr>
          <w:p w14:paraId="662357E5" w14:textId="6BB566BE" w:rsidR="002D6CEB" w:rsidRDefault="002D6CEB" w:rsidP="002D6CEB">
            <w:pPr>
              <w:pStyle w:val="Header"/>
            </w:pPr>
            <w:r w:rsidRPr="00FB4C3E">
              <w:t>TTHM, HAA5, or Both</w:t>
            </w:r>
          </w:p>
        </w:tc>
      </w:tr>
      <w:tr w:rsidR="002D6CEB" w14:paraId="3D873F72" w14:textId="77777777" w:rsidTr="00EC15E9">
        <w:tc>
          <w:tcPr>
            <w:tcW w:w="2335" w:type="dxa"/>
            <w:vAlign w:val="center"/>
          </w:tcPr>
          <w:p w14:paraId="2D9E31CE" w14:textId="77777777" w:rsidR="002D6CEB" w:rsidRDefault="002D6CEB" w:rsidP="002D6CEB">
            <w:pPr>
              <w:pStyle w:val="TableParagraph"/>
              <w:jc w:val="center"/>
            </w:pPr>
          </w:p>
        </w:tc>
        <w:tc>
          <w:tcPr>
            <w:tcW w:w="5130" w:type="dxa"/>
            <w:vAlign w:val="center"/>
          </w:tcPr>
          <w:p w14:paraId="28E96C80" w14:textId="77777777" w:rsidR="002D6CEB" w:rsidRDefault="002D6CEB" w:rsidP="002D6CEB">
            <w:pPr>
              <w:pStyle w:val="TableParagraph"/>
              <w:jc w:val="center"/>
            </w:pPr>
          </w:p>
        </w:tc>
        <w:tc>
          <w:tcPr>
            <w:tcW w:w="1885" w:type="dxa"/>
            <w:vAlign w:val="center"/>
          </w:tcPr>
          <w:p w14:paraId="1DF43AFA" w14:textId="77777777" w:rsidR="002D6CEB" w:rsidRDefault="002D6CEB" w:rsidP="002D6CEB">
            <w:pPr>
              <w:pStyle w:val="TableParagraph"/>
              <w:jc w:val="center"/>
            </w:pPr>
          </w:p>
        </w:tc>
      </w:tr>
      <w:tr w:rsidR="002D6CEB" w14:paraId="2AE2723E" w14:textId="77777777" w:rsidTr="00EC15E9">
        <w:tc>
          <w:tcPr>
            <w:tcW w:w="2335" w:type="dxa"/>
            <w:vAlign w:val="center"/>
          </w:tcPr>
          <w:p w14:paraId="0899BBDA" w14:textId="77777777" w:rsidR="002D6CEB" w:rsidRDefault="002D6CEB" w:rsidP="002D6CEB">
            <w:pPr>
              <w:pStyle w:val="TableParagraph"/>
              <w:jc w:val="center"/>
            </w:pPr>
          </w:p>
        </w:tc>
        <w:tc>
          <w:tcPr>
            <w:tcW w:w="5130" w:type="dxa"/>
            <w:vAlign w:val="center"/>
          </w:tcPr>
          <w:p w14:paraId="0CC85FF5" w14:textId="77777777" w:rsidR="002D6CEB" w:rsidRDefault="002D6CEB" w:rsidP="002D6CEB">
            <w:pPr>
              <w:pStyle w:val="TableParagraph"/>
              <w:jc w:val="center"/>
            </w:pPr>
          </w:p>
        </w:tc>
        <w:tc>
          <w:tcPr>
            <w:tcW w:w="1885" w:type="dxa"/>
            <w:vAlign w:val="center"/>
          </w:tcPr>
          <w:p w14:paraId="7E15F199" w14:textId="77777777" w:rsidR="002D6CEB" w:rsidRDefault="002D6CEB" w:rsidP="002D6CEB">
            <w:pPr>
              <w:pStyle w:val="TableParagraph"/>
              <w:jc w:val="center"/>
            </w:pPr>
          </w:p>
        </w:tc>
      </w:tr>
      <w:tr w:rsidR="002D6CEB" w14:paraId="67EDD3EE" w14:textId="77777777" w:rsidTr="00EC15E9">
        <w:tc>
          <w:tcPr>
            <w:tcW w:w="2335" w:type="dxa"/>
            <w:vAlign w:val="center"/>
          </w:tcPr>
          <w:p w14:paraId="4C459182" w14:textId="77777777" w:rsidR="002D6CEB" w:rsidRDefault="002D6CEB" w:rsidP="002D6CEB">
            <w:pPr>
              <w:pStyle w:val="TableParagraph"/>
              <w:jc w:val="center"/>
            </w:pPr>
          </w:p>
        </w:tc>
        <w:tc>
          <w:tcPr>
            <w:tcW w:w="5130" w:type="dxa"/>
            <w:vAlign w:val="center"/>
          </w:tcPr>
          <w:p w14:paraId="23EC1207" w14:textId="77777777" w:rsidR="002D6CEB" w:rsidRDefault="002D6CEB" w:rsidP="002D6CEB">
            <w:pPr>
              <w:pStyle w:val="TableParagraph"/>
              <w:jc w:val="center"/>
            </w:pPr>
          </w:p>
        </w:tc>
        <w:tc>
          <w:tcPr>
            <w:tcW w:w="1885" w:type="dxa"/>
            <w:vAlign w:val="center"/>
          </w:tcPr>
          <w:p w14:paraId="327C5C4D" w14:textId="77777777" w:rsidR="002D6CEB" w:rsidRDefault="002D6CEB" w:rsidP="002D6CEB">
            <w:pPr>
              <w:pStyle w:val="TableParagraph"/>
              <w:jc w:val="center"/>
            </w:pPr>
          </w:p>
        </w:tc>
      </w:tr>
    </w:tbl>
    <w:p w14:paraId="5BB5FC27" w14:textId="345FFAED" w:rsidR="00B54FEE" w:rsidRPr="002D6CEB" w:rsidRDefault="005B104C" w:rsidP="002D6CEB">
      <w:pPr>
        <w:pStyle w:val="BodyText"/>
      </w:pPr>
      <w:r w:rsidRPr="002D6CEB">
        <w:t>For both TTHM and HAA5, compliance is based on a locational running annual average (LRAA) of quarterly sampling. The running annual average is computed for each sampling location independently. If the LRAA is above the MCL of 0.080 mg/L</w:t>
      </w:r>
      <w:r w:rsidR="007F0DDA" w:rsidRPr="002D6CEB">
        <w:t xml:space="preserve"> for TTHM or 0.060 mg/L for HAA5 at any location, this is considered an MCL violation.</w:t>
      </w:r>
    </w:p>
    <w:p w14:paraId="612A2BF7" w14:textId="4FE818F3" w:rsidR="005667A0" w:rsidRPr="002D6CEB" w:rsidRDefault="005667A0" w:rsidP="002D6CEB">
      <w:pPr>
        <w:pStyle w:val="BodyText"/>
      </w:pPr>
      <w:r w:rsidRPr="002D6CEB">
        <w:t>Any system monitoring less than quarterly must begin quarterly monitoring if any TTHM or HAA5 results are above the MCL at any sampling location. The system will begin quarterly monitoring for both TTHM and HAA5 beginning the next calendar quarter at all sample locations.</w:t>
      </w:r>
    </w:p>
    <w:p w14:paraId="415362C1" w14:textId="2C11D490" w:rsidR="002C0E49" w:rsidRPr="002D6CEB" w:rsidRDefault="002C0E49" w:rsidP="002D6CEB">
      <w:pPr>
        <w:pStyle w:val="Heading2"/>
      </w:pPr>
      <w:r w:rsidRPr="002D6CEB">
        <w:t>Other Disinfection Byproducts</w:t>
      </w:r>
    </w:p>
    <w:p w14:paraId="1611F6F3" w14:textId="0818FA9F" w:rsidR="00BD6577" w:rsidRDefault="002C0E49" w:rsidP="002D6CEB">
      <w:pPr>
        <w:pStyle w:val="Heading4"/>
      </w:pPr>
      <w:r>
        <w:t>Chlorine Dioxide</w:t>
      </w:r>
    </w:p>
    <w:p w14:paraId="02A3F2BE" w14:textId="69385D8A" w:rsidR="00BD6577" w:rsidRDefault="00BD6577" w:rsidP="002D6CEB">
      <w:pPr>
        <w:pStyle w:val="BodyText"/>
      </w:pPr>
      <w:bookmarkStart w:id="27" w:name="_Hlk97732857"/>
      <w:r w:rsidRPr="002D6CEB">
        <w:t xml:space="preserve">For systems using chlorine dioxide (ClO2) treatment, chlorite must be measured at the entry point at least daily. </w:t>
      </w:r>
      <w:r w:rsidR="0054077A" w:rsidRPr="002D6CEB">
        <w:t>T</w:t>
      </w:r>
      <w:r w:rsidRPr="002D6CEB">
        <w:t xml:space="preserve">hree distribution samples, called a three-sample set, must be </w:t>
      </w:r>
      <w:r w:rsidR="0054077A" w:rsidRPr="002D6CEB">
        <w:t xml:space="preserve">additionally </w:t>
      </w:r>
      <w:r w:rsidRPr="002D6CEB">
        <w:t>collected at least once a month for each plant using chlorine dioxide.</w:t>
      </w:r>
      <w:r w:rsidR="00704163" w:rsidRPr="002D6CEB">
        <w:t xml:space="preserve"> In the table below, list any applicable entry point where ClO2 is used and </w:t>
      </w:r>
      <w:r w:rsidR="00374C2F" w:rsidRPr="002D6CEB">
        <w:t xml:space="preserve">chlorite </w:t>
      </w:r>
      <w:r w:rsidR="00704163" w:rsidRPr="002D6CEB">
        <w:t>measured at least once a day, and the appropriate sample locations with the distribution sites listed in order of nearest to farthest.</w:t>
      </w:r>
    </w:p>
    <w:tbl>
      <w:tblPr>
        <w:tblStyle w:val="TableGrid"/>
        <w:tblW w:w="0" w:type="auto"/>
        <w:jc w:val="center"/>
        <w:tblLook w:val="04A0" w:firstRow="1" w:lastRow="0" w:firstColumn="1" w:lastColumn="0" w:noHBand="0" w:noVBand="1"/>
      </w:tblPr>
      <w:tblGrid>
        <w:gridCol w:w="3116"/>
        <w:gridCol w:w="3117"/>
        <w:gridCol w:w="3117"/>
      </w:tblGrid>
      <w:tr w:rsidR="00EC15E9" w14:paraId="4F3E82DF" w14:textId="77777777" w:rsidTr="00EC15E9">
        <w:trPr>
          <w:jc w:val="center"/>
        </w:trPr>
        <w:tc>
          <w:tcPr>
            <w:tcW w:w="3116" w:type="dxa"/>
            <w:shd w:val="clear" w:color="auto" w:fill="D9D9D9" w:themeFill="background1" w:themeFillShade="D9"/>
            <w:vAlign w:val="center"/>
          </w:tcPr>
          <w:p w14:paraId="17797144" w14:textId="65713295" w:rsidR="00EC15E9" w:rsidRDefault="00EC15E9" w:rsidP="00EC15E9">
            <w:pPr>
              <w:pStyle w:val="Header"/>
            </w:pPr>
            <w:r w:rsidRPr="008B1B73">
              <w:t>Entry Point</w:t>
            </w:r>
          </w:p>
        </w:tc>
        <w:tc>
          <w:tcPr>
            <w:tcW w:w="3117" w:type="dxa"/>
            <w:shd w:val="clear" w:color="auto" w:fill="D9D9D9" w:themeFill="background1" w:themeFillShade="D9"/>
            <w:vAlign w:val="center"/>
          </w:tcPr>
          <w:p w14:paraId="28FAFA2C" w14:textId="42AE7C15" w:rsidR="00EC15E9" w:rsidRDefault="00EC15E9" w:rsidP="00EC15E9">
            <w:pPr>
              <w:pStyle w:val="Header"/>
            </w:pPr>
            <w:r w:rsidRPr="008B1B73">
              <w:t>Entry Point Sample Location</w:t>
            </w:r>
          </w:p>
        </w:tc>
        <w:tc>
          <w:tcPr>
            <w:tcW w:w="3117" w:type="dxa"/>
            <w:shd w:val="clear" w:color="auto" w:fill="D9D9D9" w:themeFill="background1" w:themeFillShade="D9"/>
            <w:vAlign w:val="center"/>
          </w:tcPr>
          <w:p w14:paraId="3F5C33DD" w14:textId="3ADB186E" w:rsidR="00EC15E9" w:rsidRDefault="00EC15E9" w:rsidP="00EC15E9">
            <w:pPr>
              <w:pStyle w:val="Header"/>
            </w:pPr>
            <w:r w:rsidRPr="008B1B73">
              <w:t>Distribution System Three-Sample Set</w:t>
            </w:r>
          </w:p>
        </w:tc>
      </w:tr>
      <w:tr w:rsidR="00EC15E9" w14:paraId="36EA0846" w14:textId="77777777" w:rsidTr="00EC15E9">
        <w:trPr>
          <w:jc w:val="center"/>
        </w:trPr>
        <w:tc>
          <w:tcPr>
            <w:tcW w:w="3116" w:type="dxa"/>
            <w:vAlign w:val="center"/>
          </w:tcPr>
          <w:p w14:paraId="2C2F79D5" w14:textId="77777777" w:rsidR="00EC15E9" w:rsidRDefault="00EC15E9" w:rsidP="00EC15E9">
            <w:pPr>
              <w:pStyle w:val="TableParagraph"/>
              <w:jc w:val="center"/>
            </w:pPr>
          </w:p>
        </w:tc>
        <w:tc>
          <w:tcPr>
            <w:tcW w:w="3117" w:type="dxa"/>
            <w:vAlign w:val="center"/>
          </w:tcPr>
          <w:p w14:paraId="3461AB88" w14:textId="77777777" w:rsidR="00EC15E9" w:rsidRDefault="00EC15E9" w:rsidP="00EC15E9">
            <w:pPr>
              <w:pStyle w:val="TableParagraph"/>
              <w:jc w:val="center"/>
            </w:pPr>
          </w:p>
        </w:tc>
        <w:tc>
          <w:tcPr>
            <w:tcW w:w="3117" w:type="dxa"/>
            <w:vAlign w:val="center"/>
          </w:tcPr>
          <w:p w14:paraId="21FE615E" w14:textId="77777777" w:rsidR="00EC15E9" w:rsidRDefault="00EC15E9" w:rsidP="00EC15E9">
            <w:pPr>
              <w:pStyle w:val="TableParagraph"/>
              <w:jc w:val="center"/>
            </w:pPr>
          </w:p>
        </w:tc>
      </w:tr>
    </w:tbl>
    <w:bookmarkEnd w:id="27"/>
    <w:p w14:paraId="21989D3D" w14:textId="6CCA0841" w:rsidR="00704163" w:rsidRPr="00EC15E9" w:rsidRDefault="00704163" w:rsidP="00EC15E9">
      <w:pPr>
        <w:pStyle w:val="BodyText"/>
      </w:pPr>
      <w:r w:rsidRPr="00EC15E9">
        <w:t xml:space="preserve">If the chlorite residual at the entry point exceeds 1.0 mg/L, the system must collect a three-sample set in the distribution </w:t>
      </w:r>
      <w:r w:rsidR="0063704C" w:rsidRPr="00EC15E9">
        <w:t xml:space="preserve">system </w:t>
      </w:r>
      <w:r w:rsidRPr="00EC15E9">
        <w:t>within 24 hours. The locations must be the same as the routine distribution system monitoring.</w:t>
      </w:r>
    </w:p>
    <w:p w14:paraId="1DAB92A3" w14:textId="4CD19A4C" w:rsidR="0063704C" w:rsidRPr="00EC15E9" w:rsidRDefault="0063704C" w:rsidP="00EC15E9">
      <w:pPr>
        <w:pStyle w:val="BodyText"/>
      </w:pPr>
      <w:r w:rsidRPr="00EC15E9">
        <w:t>Compliance is based on the average of the three-sample set collected from the distribution system. If the average is above the MCL, this is considered an MCL violation.</w:t>
      </w:r>
    </w:p>
    <w:p w14:paraId="7E13A5E3" w14:textId="03239902" w:rsidR="002C0E49" w:rsidRPr="002C0E49" w:rsidRDefault="002C0E49" w:rsidP="00EC15E9">
      <w:pPr>
        <w:pStyle w:val="Heading4"/>
      </w:pPr>
      <w:r w:rsidRPr="002C0E49">
        <w:t>Ozone</w:t>
      </w:r>
    </w:p>
    <w:p w14:paraId="1A512019" w14:textId="43145528" w:rsidR="00FE54E3" w:rsidRPr="00EC15E9" w:rsidRDefault="00FE54E3" w:rsidP="00EC15E9">
      <w:pPr>
        <w:pStyle w:val="BodyText"/>
      </w:pPr>
      <w:r w:rsidRPr="00EC15E9">
        <w:t>Each plant using ozone must measure the bromate concentration at the entry point at least once a month.</w:t>
      </w:r>
    </w:p>
    <w:tbl>
      <w:tblPr>
        <w:tblStyle w:val="TableGrid"/>
        <w:tblW w:w="0" w:type="auto"/>
        <w:tblLook w:val="04A0" w:firstRow="1" w:lastRow="0" w:firstColumn="1" w:lastColumn="0" w:noHBand="0" w:noVBand="1"/>
      </w:tblPr>
      <w:tblGrid>
        <w:gridCol w:w="4405"/>
        <w:gridCol w:w="4945"/>
      </w:tblGrid>
      <w:tr w:rsidR="00AC7519" w14:paraId="31E1F846" w14:textId="77777777" w:rsidTr="00EC15E9">
        <w:trPr>
          <w:trHeight w:val="360"/>
        </w:trPr>
        <w:tc>
          <w:tcPr>
            <w:tcW w:w="4405" w:type="dxa"/>
            <w:shd w:val="clear" w:color="auto" w:fill="D9D9D9" w:themeFill="background1" w:themeFillShade="D9"/>
          </w:tcPr>
          <w:p w14:paraId="6E8C99E3" w14:textId="015218BF" w:rsidR="00AC7519" w:rsidRPr="00EC15E9" w:rsidRDefault="00AC7519" w:rsidP="00EC15E9">
            <w:pPr>
              <w:pStyle w:val="TableParagraph"/>
              <w:rPr>
                <w:rStyle w:val="Strong"/>
              </w:rPr>
            </w:pPr>
            <w:r w:rsidRPr="00EC15E9">
              <w:rPr>
                <w:rStyle w:val="Strong"/>
              </w:rPr>
              <w:t>Entry point location sampled monthly for bromate:</w:t>
            </w:r>
          </w:p>
        </w:tc>
        <w:tc>
          <w:tcPr>
            <w:tcW w:w="4945" w:type="dxa"/>
            <w:shd w:val="clear" w:color="auto" w:fill="FFFFFF" w:themeFill="background1"/>
          </w:tcPr>
          <w:p w14:paraId="22F87D0C" w14:textId="77777777" w:rsidR="00AC7519" w:rsidRDefault="00AC7519" w:rsidP="00EC15E9">
            <w:pPr>
              <w:pStyle w:val="TableParagraph"/>
            </w:pPr>
          </w:p>
        </w:tc>
      </w:tr>
    </w:tbl>
    <w:p w14:paraId="34C11698" w14:textId="063E4AEC" w:rsidR="00AC7519" w:rsidRPr="00EC15E9" w:rsidRDefault="00AC7519" w:rsidP="00EC15E9">
      <w:pPr>
        <w:pStyle w:val="BodyText"/>
      </w:pPr>
      <w:r w:rsidRPr="00EC15E9">
        <w:t xml:space="preserve">Bromate levels must be maintained at less than the MCL of 0.010 mg/L. Compliance is based on a running annual average of quarterly sampling. The running annual average is computed for each sampling location independently. If the average is above the MCL at any location, this is </w:t>
      </w:r>
      <w:r w:rsidRPr="00EC15E9">
        <w:lastRenderedPageBreak/>
        <w:t>considered an MCL violation.</w:t>
      </w:r>
    </w:p>
    <w:p w14:paraId="1ECCFF33" w14:textId="63FA1159" w:rsidR="00704163" w:rsidRPr="00EC15E9" w:rsidRDefault="00704163" w:rsidP="00EC15E9">
      <w:pPr>
        <w:pStyle w:val="Heading1"/>
      </w:pPr>
      <w:r w:rsidRPr="00EC15E9">
        <w:t>Lead and Copper Rule</w:t>
      </w:r>
    </w:p>
    <w:p w14:paraId="7D58223D" w14:textId="57D19927" w:rsidR="0023490C" w:rsidRPr="00EC15E9" w:rsidRDefault="0023490C" w:rsidP="00EC15E9">
      <w:pPr>
        <w:pStyle w:val="BodyText"/>
      </w:pPr>
      <w:r w:rsidRPr="00EC15E9">
        <w:t xml:space="preserve">The </w:t>
      </w:r>
      <w:r w:rsidR="00D2012C" w:rsidRPr="00EC15E9">
        <w:t xml:space="preserve">Lead and </w:t>
      </w:r>
      <w:r w:rsidRPr="00EC15E9">
        <w:t>C</w:t>
      </w:r>
      <w:r w:rsidR="00D2012C" w:rsidRPr="00EC15E9">
        <w:t xml:space="preserve">opper </w:t>
      </w:r>
      <w:r w:rsidRPr="00EC15E9">
        <w:t xml:space="preserve">Rule (LCR) applies to all community and NTNC water systems in the state. These systems are responsible for collecting tap samples from homes and buildings that are at highest risk of lead and copper </w:t>
      </w:r>
      <w:r w:rsidR="00427F71" w:rsidRPr="00EC15E9">
        <w:t>contamination and</w:t>
      </w:r>
      <w:r w:rsidRPr="00EC15E9">
        <w:t xml:space="preserve"> submitting these samples for analysis at a NELAP accredited lab. The number of tap samples required is dependent on the size of the system and circumstances for monitoring. The sites used for lead and copper tap sampling must be selected by the water system and submitted to the TCEQ for review and approval. Water systems are required to meet designated lead and copper levels and control the levels of lead and copper in drinking water by controlling the corrosivity of water. Lead and copper </w:t>
      </w:r>
      <w:r w:rsidR="00427F71" w:rsidRPr="00EC15E9">
        <w:t>enter</w:t>
      </w:r>
      <w:r w:rsidRPr="00EC15E9">
        <w:t xml:space="preserve"> drinking water primarily through the corrosion of service lines and internal plumbing materials, and cause health problems ranging from stomach distress to brain damage, depending on age and length of exposure among other factors.</w:t>
      </w:r>
    </w:p>
    <w:tbl>
      <w:tblPr>
        <w:tblStyle w:val="TableGrid"/>
        <w:tblW w:w="0" w:type="auto"/>
        <w:tblLook w:val="04A0" w:firstRow="1" w:lastRow="0" w:firstColumn="1" w:lastColumn="0" w:noHBand="0" w:noVBand="1"/>
      </w:tblPr>
      <w:tblGrid>
        <w:gridCol w:w="3735"/>
        <w:gridCol w:w="5615"/>
      </w:tblGrid>
      <w:tr w:rsidR="00393F7A" w14:paraId="5862DCB2" w14:textId="77777777" w:rsidTr="00EC15E9">
        <w:trPr>
          <w:trHeight w:val="360"/>
        </w:trPr>
        <w:tc>
          <w:tcPr>
            <w:tcW w:w="3829" w:type="dxa"/>
            <w:shd w:val="clear" w:color="auto" w:fill="D9D9D9" w:themeFill="background1" w:themeFillShade="D9"/>
          </w:tcPr>
          <w:p w14:paraId="4A0F7507" w14:textId="77777777" w:rsidR="00393F7A" w:rsidRPr="00EC15E9" w:rsidRDefault="00393F7A" w:rsidP="00EC15E9">
            <w:pPr>
              <w:pStyle w:val="TableParagraph"/>
              <w:rPr>
                <w:rStyle w:val="Strong"/>
              </w:rPr>
            </w:pPr>
            <w:r w:rsidRPr="00EC15E9">
              <w:rPr>
                <w:rStyle w:val="Strong"/>
              </w:rPr>
              <w:t>Monitoring Frequency Required:</w:t>
            </w:r>
          </w:p>
        </w:tc>
        <w:tc>
          <w:tcPr>
            <w:tcW w:w="5825" w:type="dxa"/>
            <w:shd w:val="clear" w:color="auto" w:fill="FFFFFF" w:themeFill="background1"/>
          </w:tcPr>
          <w:p w14:paraId="4E095DDE" w14:textId="77777777" w:rsidR="00393F7A" w:rsidRDefault="00393F7A" w:rsidP="00EC15E9">
            <w:pPr>
              <w:pStyle w:val="TableParagraph"/>
            </w:pPr>
          </w:p>
        </w:tc>
      </w:tr>
    </w:tbl>
    <w:p w14:paraId="39B40423" w14:textId="7891A0F0" w:rsidR="00393F7A" w:rsidRPr="00EC15E9" w:rsidRDefault="00393F7A" w:rsidP="00EC15E9">
      <w:pPr>
        <w:pStyle w:val="BodyText"/>
      </w:pPr>
      <w:r w:rsidRPr="00EC15E9">
        <w:rPr>
          <w:rStyle w:val="Strong"/>
        </w:rPr>
        <w:t>Sample Site Selection:</w:t>
      </w:r>
      <w:r w:rsidRPr="00EC15E9">
        <w:t xml:space="preserve"> </w:t>
      </w:r>
      <w:r w:rsidR="00D2012C" w:rsidRPr="00EC15E9">
        <w:t>Water s</w:t>
      </w:r>
      <w:r w:rsidRPr="00EC15E9">
        <w:t xml:space="preserve">ystems must have a sampling pool, which requires the system to specify a </w:t>
      </w:r>
      <w:r w:rsidRPr="00EC15E9">
        <w:rPr>
          <w:rStyle w:val="Strong"/>
        </w:rPr>
        <w:t>total number of sites equal to their initial monitoring</w:t>
      </w:r>
      <w:r w:rsidRPr="00EC15E9">
        <w:t xml:space="preserve"> (double the amount of reduced sample sites except for systems serving 100 people or less). The system must utilize as many Tier 1 sites as allowable, before using Tier 2 and/or Tier 3. If there are insufficient Tier 1, 2, or 3 sites, the sampling pool may be completed using non-tier sites. If it is not known whether lead is present in the plumbing, the site should be designated as a non-tier site.</w:t>
      </w:r>
    </w:p>
    <w:tbl>
      <w:tblPr>
        <w:tblStyle w:val="TableGrid"/>
        <w:tblW w:w="0" w:type="auto"/>
        <w:tblLook w:val="04A0" w:firstRow="1" w:lastRow="0" w:firstColumn="1" w:lastColumn="0" w:noHBand="0" w:noVBand="1"/>
      </w:tblPr>
      <w:tblGrid>
        <w:gridCol w:w="1671"/>
        <w:gridCol w:w="7679"/>
      </w:tblGrid>
      <w:tr w:rsidR="00393F7A" w:rsidRPr="00EC15E9" w14:paraId="462FD694" w14:textId="77777777" w:rsidTr="00EC15E9">
        <w:tc>
          <w:tcPr>
            <w:tcW w:w="1671" w:type="dxa"/>
            <w:shd w:val="clear" w:color="auto" w:fill="D9D9D9" w:themeFill="background1" w:themeFillShade="D9"/>
            <w:vAlign w:val="center"/>
          </w:tcPr>
          <w:p w14:paraId="1E98E1E7" w14:textId="1C1ED657" w:rsidR="00393F7A" w:rsidRPr="00EC15E9" w:rsidRDefault="00393F7A" w:rsidP="00EC15E9">
            <w:pPr>
              <w:pStyle w:val="TableParagraph"/>
              <w:jc w:val="center"/>
              <w:rPr>
                <w:rStyle w:val="Strong"/>
              </w:rPr>
            </w:pPr>
            <w:r w:rsidRPr="00EC15E9">
              <w:rPr>
                <w:rStyle w:val="Strong"/>
              </w:rPr>
              <w:t>Tier 1</w:t>
            </w:r>
          </w:p>
        </w:tc>
        <w:tc>
          <w:tcPr>
            <w:tcW w:w="7679" w:type="dxa"/>
          </w:tcPr>
          <w:p w14:paraId="4CADBBB1" w14:textId="6F52DFEC" w:rsidR="00393F7A" w:rsidRPr="00EC15E9" w:rsidRDefault="00393F7A" w:rsidP="00EC15E9">
            <w:pPr>
              <w:pStyle w:val="TableParagraph"/>
            </w:pPr>
            <w:r w:rsidRPr="00EC15E9">
              <w:t>For community water systems, it is a single-family structure that contains lead pipes or copper pipes with lead solder and/or is served by lead service lines installed after 1982.</w:t>
            </w:r>
          </w:p>
          <w:p w14:paraId="6A1F19DB" w14:textId="0C96DD57" w:rsidR="00393F7A" w:rsidRPr="00EC15E9" w:rsidRDefault="00393F7A" w:rsidP="00EC15E9">
            <w:pPr>
              <w:pStyle w:val="TableParagraph"/>
            </w:pPr>
            <w:r w:rsidRPr="00EC15E9">
              <w:t>For NTNC systems, it is buildings that contain copper pipes with lead solder installed after 1982 and/or served by lead service lines.</w:t>
            </w:r>
          </w:p>
        </w:tc>
      </w:tr>
      <w:tr w:rsidR="00393F7A" w:rsidRPr="00EC15E9" w14:paraId="2FBA699D" w14:textId="77777777" w:rsidTr="00EC15E9">
        <w:tc>
          <w:tcPr>
            <w:tcW w:w="1671" w:type="dxa"/>
            <w:shd w:val="clear" w:color="auto" w:fill="D9D9D9" w:themeFill="background1" w:themeFillShade="D9"/>
            <w:vAlign w:val="center"/>
          </w:tcPr>
          <w:p w14:paraId="3447B472" w14:textId="184B6175" w:rsidR="00393F7A" w:rsidRPr="00EC15E9" w:rsidRDefault="00393F7A" w:rsidP="00EC15E9">
            <w:pPr>
              <w:pStyle w:val="TableParagraph"/>
              <w:jc w:val="center"/>
              <w:rPr>
                <w:rStyle w:val="Strong"/>
              </w:rPr>
            </w:pPr>
            <w:r w:rsidRPr="00EC15E9">
              <w:rPr>
                <w:rStyle w:val="Strong"/>
              </w:rPr>
              <w:t>Tier 2</w:t>
            </w:r>
          </w:p>
        </w:tc>
        <w:tc>
          <w:tcPr>
            <w:tcW w:w="7679" w:type="dxa"/>
          </w:tcPr>
          <w:p w14:paraId="1A3FE76E" w14:textId="209E1FC2" w:rsidR="00393F7A" w:rsidRPr="00EC15E9" w:rsidRDefault="00393F7A" w:rsidP="00EC15E9">
            <w:pPr>
              <w:pStyle w:val="TableParagraph"/>
            </w:pPr>
            <w:r w:rsidRPr="00EC15E9">
              <w:t>For community systems, it is a building or multiple-family residence that contain lead pipes or copper pipes with lead solder installed after 1982, and/or is served by lead service lines.</w:t>
            </w:r>
          </w:p>
          <w:p w14:paraId="3DE25A99" w14:textId="7A4FD72C" w:rsidR="00393F7A" w:rsidRPr="00EC15E9" w:rsidRDefault="00393F7A" w:rsidP="00EC15E9">
            <w:pPr>
              <w:pStyle w:val="TableParagraph"/>
            </w:pPr>
            <w:r w:rsidRPr="00EC15E9">
              <w:t>For NTNC systems, it is a building that contains copper pipes with lead solder installed before 1983.</w:t>
            </w:r>
          </w:p>
        </w:tc>
      </w:tr>
      <w:tr w:rsidR="00393F7A" w:rsidRPr="00EC15E9" w14:paraId="5FCBDFED" w14:textId="77777777" w:rsidTr="00EC15E9">
        <w:tc>
          <w:tcPr>
            <w:tcW w:w="1671" w:type="dxa"/>
            <w:shd w:val="clear" w:color="auto" w:fill="D9D9D9" w:themeFill="background1" w:themeFillShade="D9"/>
          </w:tcPr>
          <w:p w14:paraId="1D727132" w14:textId="0ABF17CB" w:rsidR="00393F7A" w:rsidRPr="00EC15E9" w:rsidRDefault="00393F7A" w:rsidP="00EC15E9">
            <w:pPr>
              <w:pStyle w:val="TableParagraph"/>
              <w:jc w:val="center"/>
              <w:rPr>
                <w:rStyle w:val="Strong"/>
              </w:rPr>
            </w:pPr>
            <w:r w:rsidRPr="00EC15E9">
              <w:rPr>
                <w:rStyle w:val="Strong"/>
              </w:rPr>
              <w:t>Tier 3</w:t>
            </w:r>
          </w:p>
        </w:tc>
        <w:tc>
          <w:tcPr>
            <w:tcW w:w="7679" w:type="dxa"/>
          </w:tcPr>
          <w:p w14:paraId="4A6D57BE" w14:textId="1CD34B72" w:rsidR="00393F7A" w:rsidRPr="00EC15E9" w:rsidRDefault="00393F7A" w:rsidP="00EC15E9">
            <w:pPr>
              <w:pStyle w:val="TableParagraph"/>
            </w:pPr>
            <w:r w:rsidRPr="00EC15E9">
              <w:t>Applies to community systems only. Single-family structures that contain copper pipes with lead solder installed before 1983.</w:t>
            </w:r>
          </w:p>
        </w:tc>
      </w:tr>
      <w:tr w:rsidR="00393F7A" w:rsidRPr="00EC15E9" w14:paraId="0AB24335" w14:textId="77777777" w:rsidTr="00EC15E9">
        <w:tc>
          <w:tcPr>
            <w:tcW w:w="1671" w:type="dxa"/>
            <w:shd w:val="clear" w:color="auto" w:fill="D9D9D9" w:themeFill="background1" w:themeFillShade="D9"/>
          </w:tcPr>
          <w:p w14:paraId="2B5A6103" w14:textId="4E325CCC" w:rsidR="00393F7A" w:rsidRPr="00EC15E9" w:rsidRDefault="00393F7A" w:rsidP="00EC15E9">
            <w:pPr>
              <w:pStyle w:val="TableParagraph"/>
              <w:jc w:val="center"/>
              <w:rPr>
                <w:rStyle w:val="Strong"/>
              </w:rPr>
            </w:pPr>
            <w:r w:rsidRPr="00EC15E9">
              <w:rPr>
                <w:rStyle w:val="Strong"/>
              </w:rPr>
              <w:t>Other</w:t>
            </w:r>
          </w:p>
        </w:tc>
        <w:tc>
          <w:tcPr>
            <w:tcW w:w="7679" w:type="dxa"/>
          </w:tcPr>
          <w:p w14:paraId="454888BB" w14:textId="5D795DFB" w:rsidR="00393F7A" w:rsidRPr="00EC15E9" w:rsidRDefault="00393F7A" w:rsidP="00EC15E9">
            <w:pPr>
              <w:pStyle w:val="TableParagraph"/>
            </w:pPr>
            <w:r w:rsidRPr="00EC15E9">
              <w:t xml:space="preserve">Sites not defined by </w:t>
            </w:r>
            <w:r w:rsidR="00D24AE7" w:rsidRPr="00EC15E9">
              <w:t>T</w:t>
            </w:r>
            <w:r w:rsidRPr="00EC15E9">
              <w:t>iers 1, 2, or 3.</w:t>
            </w:r>
          </w:p>
        </w:tc>
      </w:tr>
    </w:tbl>
    <w:p w14:paraId="3104286F" w14:textId="7D717706" w:rsidR="00393F7A" w:rsidRDefault="00EC15E9" w:rsidP="00EC15E9">
      <w:pPr>
        <w:pStyle w:val="Heading4"/>
      </w:pPr>
      <w:r w:rsidRPr="00EC15E9">
        <w:t xml:space="preserve">Lead and Copper </w:t>
      </w:r>
      <w:r>
        <w:t xml:space="preserve">Sample </w:t>
      </w:r>
      <w:r w:rsidRPr="00EC15E9">
        <w:t>Site Locations:</w:t>
      </w:r>
    </w:p>
    <w:tbl>
      <w:tblPr>
        <w:tblStyle w:val="TableGrid"/>
        <w:tblW w:w="0" w:type="auto"/>
        <w:tblLook w:val="04A0" w:firstRow="1" w:lastRow="0" w:firstColumn="1" w:lastColumn="0" w:noHBand="0" w:noVBand="1"/>
      </w:tblPr>
      <w:tblGrid>
        <w:gridCol w:w="3116"/>
        <w:gridCol w:w="3117"/>
        <w:gridCol w:w="3117"/>
      </w:tblGrid>
      <w:tr w:rsidR="00EC15E9" w14:paraId="37DDFFAC" w14:textId="77777777" w:rsidTr="00EA00A9">
        <w:trPr>
          <w:tblHeader/>
        </w:trPr>
        <w:tc>
          <w:tcPr>
            <w:tcW w:w="3116" w:type="dxa"/>
            <w:shd w:val="clear" w:color="auto" w:fill="D9D9D9" w:themeFill="background1" w:themeFillShade="D9"/>
          </w:tcPr>
          <w:p w14:paraId="19063920" w14:textId="525295DC" w:rsidR="00EC15E9" w:rsidRDefault="00EC15E9" w:rsidP="00EC15E9">
            <w:pPr>
              <w:pStyle w:val="Header"/>
            </w:pPr>
            <w:r w:rsidRPr="00F57399">
              <w:t>Site ID</w:t>
            </w:r>
          </w:p>
        </w:tc>
        <w:tc>
          <w:tcPr>
            <w:tcW w:w="3117" w:type="dxa"/>
            <w:shd w:val="clear" w:color="auto" w:fill="D9D9D9" w:themeFill="background1" w:themeFillShade="D9"/>
          </w:tcPr>
          <w:p w14:paraId="1ECA444A" w14:textId="454C0CD6" w:rsidR="00EC15E9" w:rsidRDefault="00EC15E9" w:rsidP="00EC15E9">
            <w:pPr>
              <w:pStyle w:val="Header"/>
            </w:pPr>
            <w:r w:rsidRPr="00F57399">
              <w:t>Sample Site Address</w:t>
            </w:r>
          </w:p>
        </w:tc>
        <w:tc>
          <w:tcPr>
            <w:tcW w:w="3117" w:type="dxa"/>
            <w:shd w:val="clear" w:color="auto" w:fill="D9D9D9" w:themeFill="background1" w:themeFillShade="D9"/>
          </w:tcPr>
          <w:p w14:paraId="50AA7F2F" w14:textId="11954782" w:rsidR="00EC15E9" w:rsidRDefault="00EC15E9" w:rsidP="00EC15E9">
            <w:pPr>
              <w:pStyle w:val="Header"/>
            </w:pPr>
            <w:r w:rsidRPr="00F57399">
              <w:t>Tier Level</w:t>
            </w:r>
          </w:p>
        </w:tc>
      </w:tr>
      <w:tr w:rsidR="00EC15E9" w14:paraId="1AEB6026" w14:textId="77777777" w:rsidTr="00EC15E9">
        <w:tc>
          <w:tcPr>
            <w:tcW w:w="3116" w:type="dxa"/>
          </w:tcPr>
          <w:p w14:paraId="5AA63BE7" w14:textId="77777777" w:rsidR="00EC15E9" w:rsidRDefault="00EC15E9" w:rsidP="00EC15E9">
            <w:pPr>
              <w:pStyle w:val="TableParagraph"/>
              <w:jc w:val="center"/>
            </w:pPr>
          </w:p>
        </w:tc>
        <w:tc>
          <w:tcPr>
            <w:tcW w:w="3117" w:type="dxa"/>
          </w:tcPr>
          <w:p w14:paraId="365505A1" w14:textId="77777777" w:rsidR="00EC15E9" w:rsidRDefault="00EC15E9" w:rsidP="00EC15E9">
            <w:pPr>
              <w:pStyle w:val="TableParagraph"/>
              <w:jc w:val="center"/>
            </w:pPr>
          </w:p>
        </w:tc>
        <w:tc>
          <w:tcPr>
            <w:tcW w:w="3117" w:type="dxa"/>
          </w:tcPr>
          <w:p w14:paraId="76C5BCDD" w14:textId="77777777" w:rsidR="00EC15E9" w:rsidRDefault="00EC15E9" w:rsidP="00EC15E9">
            <w:pPr>
              <w:pStyle w:val="TableParagraph"/>
              <w:jc w:val="center"/>
            </w:pPr>
          </w:p>
        </w:tc>
      </w:tr>
      <w:tr w:rsidR="00EC15E9" w14:paraId="0916C109" w14:textId="77777777" w:rsidTr="00EC15E9">
        <w:tc>
          <w:tcPr>
            <w:tcW w:w="3116" w:type="dxa"/>
          </w:tcPr>
          <w:p w14:paraId="52D46101" w14:textId="77777777" w:rsidR="00EC15E9" w:rsidRDefault="00EC15E9" w:rsidP="00EC15E9">
            <w:pPr>
              <w:pStyle w:val="TableParagraph"/>
              <w:jc w:val="center"/>
            </w:pPr>
          </w:p>
        </w:tc>
        <w:tc>
          <w:tcPr>
            <w:tcW w:w="3117" w:type="dxa"/>
          </w:tcPr>
          <w:p w14:paraId="389A3CFA" w14:textId="77777777" w:rsidR="00EC15E9" w:rsidRDefault="00EC15E9" w:rsidP="00EC15E9">
            <w:pPr>
              <w:pStyle w:val="TableParagraph"/>
              <w:jc w:val="center"/>
            </w:pPr>
          </w:p>
        </w:tc>
        <w:tc>
          <w:tcPr>
            <w:tcW w:w="3117" w:type="dxa"/>
          </w:tcPr>
          <w:p w14:paraId="102225F4" w14:textId="77777777" w:rsidR="00EC15E9" w:rsidRDefault="00EC15E9" w:rsidP="00EC15E9">
            <w:pPr>
              <w:pStyle w:val="TableParagraph"/>
              <w:jc w:val="center"/>
            </w:pPr>
          </w:p>
        </w:tc>
      </w:tr>
      <w:tr w:rsidR="00EC15E9" w14:paraId="4F6301EF" w14:textId="77777777" w:rsidTr="00EC15E9">
        <w:tc>
          <w:tcPr>
            <w:tcW w:w="3116" w:type="dxa"/>
          </w:tcPr>
          <w:p w14:paraId="48F81D02" w14:textId="77777777" w:rsidR="00EC15E9" w:rsidRDefault="00EC15E9" w:rsidP="00EC15E9">
            <w:pPr>
              <w:pStyle w:val="TableParagraph"/>
              <w:jc w:val="center"/>
            </w:pPr>
          </w:p>
        </w:tc>
        <w:tc>
          <w:tcPr>
            <w:tcW w:w="3117" w:type="dxa"/>
          </w:tcPr>
          <w:p w14:paraId="717DAC0B" w14:textId="77777777" w:rsidR="00EC15E9" w:rsidRDefault="00EC15E9" w:rsidP="00EC15E9">
            <w:pPr>
              <w:pStyle w:val="TableParagraph"/>
              <w:jc w:val="center"/>
            </w:pPr>
          </w:p>
        </w:tc>
        <w:tc>
          <w:tcPr>
            <w:tcW w:w="3117" w:type="dxa"/>
          </w:tcPr>
          <w:p w14:paraId="7D3E056C" w14:textId="77777777" w:rsidR="00EC15E9" w:rsidRDefault="00EC15E9" w:rsidP="00EC15E9">
            <w:pPr>
              <w:pStyle w:val="TableParagraph"/>
              <w:jc w:val="center"/>
            </w:pPr>
          </w:p>
        </w:tc>
      </w:tr>
      <w:tr w:rsidR="00EC15E9" w14:paraId="1331DDB9" w14:textId="77777777" w:rsidTr="00EC15E9">
        <w:tc>
          <w:tcPr>
            <w:tcW w:w="3116" w:type="dxa"/>
          </w:tcPr>
          <w:p w14:paraId="244E17DA" w14:textId="77777777" w:rsidR="00EC15E9" w:rsidRDefault="00EC15E9" w:rsidP="00EC15E9">
            <w:pPr>
              <w:pStyle w:val="TableParagraph"/>
              <w:jc w:val="center"/>
            </w:pPr>
          </w:p>
        </w:tc>
        <w:tc>
          <w:tcPr>
            <w:tcW w:w="3117" w:type="dxa"/>
          </w:tcPr>
          <w:p w14:paraId="62F5BA7E" w14:textId="77777777" w:rsidR="00EC15E9" w:rsidRDefault="00EC15E9" w:rsidP="00EC15E9">
            <w:pPr>
              <w:pStyle w:val="TableParagraph"/>
              <w:jc w:val="center"/>
            </w:pPr>
          </w:p>
        </w:tc>
        <w:tc>
          <w:tcPr>
            <w:tcW w:w="3117" w:type="dxa"/>
          </w:tcPr>
          <w:p w14:paraId="08006BBD" w14:textId="77777777" w:rsidR="00EC15E9" w:rsidRDefault="00EC15E9" w:rsidP="00EC15E9">
            <w:pPr>
              <w:pStyle w:val="TableParagraph"/>
              <w:jc w:val="center"/>
            </w:pPr>
          </w:p>
        </w:tc>
      </w:tr>
      <w:tr w:rsidR="00EC15E9" w14:paraId="4CF3EB7B" w14:textId="77777777" w:rsidTr="00EC15E9">
        <w:tc>
          <w:tcPr>
            <w:tcW w:w="3116" w:type="dxa"/>
          </w:tcPr>
          <w:p w14:paraId="7B13AE30" w14:textId="77777777" w:rsidR="00EC15E9" w:rsidRDefault="00EC15E9" w:rsidP="00EC15E9">
            <w:pPr>
              <w:pStyle w:val="TableParagraph"/>
              <w:jc w:val="center"/>
            </w:pPr>
          </w:p>
        </w:tc>
        <w:tc>
          <w:tcPr>
            <w:tcW w:w="3117" w:type="dxa"/>
          </w:tcPr>
          <w:p w14:paraId="3D0E592E" w14:textId="77777777" w:rsidR="00EC15E9" w:rsidRDefault="00EC15E9" w:rsidP="00EC15E9">
            <w:pPr>
              <w:pStyle w:val="TableParagraph"/>
              <w:jc w:val="center"/>
            </w:pPr>
          </w:p>
        </w:tc>
        <w:tc>
          <w:tcPr>
            <w:tcW w:w="3117" w:type="dxa"/>
          </w:tcPr>
          <w:p w14:paraId="6A80095C" w14:textId="77777777" w:rsidR="00EC15E9" w:rsidRDefault="00EC15E9" w:rsidP="00EC15E9">
            <w:pPr>
              <w:pStyle w:val="TableParagraph"/>
              <w:jc w:val="center"/>
            </w:pPr>
          </w:p>
        </w:tc>
      </w:tr>
      <w:tr w:rsidR="00EC15E9" w14:paraId="24CC0F57" w14:textId="77777777" w:rsidTr="00EC15E9">
        <w:tc>
          <w:tcPr>
            <w:tcW w:w="3116" w:type="dxa"/>
          </w:tcPr>
          <w:p w14:paraId="449DBE73" w14:textId="77777777" w:rsidR="00EC15E9" w:rsidRDefault="00EC15E9" w:rsidP="00EC15E9">
            <w:pPr>
              <w:pStyle w:val="TableParagraph"/>
              <w:jc w:val="center"/>
            </w:pPr>
          </w:p>
        </w:tc>
        <w:tc>
          <w:tcPr>
            <w:tcW w:w="3117" w:type="dxa"/>
          </w:tcPr>
          <w:p w14:paraId="72A029C6" w14:textId="77777777" w:rsidR="00EC15E9" w:rsidRDefault="00EC15E9" w:rsidP="00EC15E9">
            <w:pPr>
              <w:pStyle w:val="TableParagraph"/>
              <w:jc w:val="center"/>
            </w:pPr>
          </w:p>
        </w:tc>
        <w:tc>
          <w:tcPr>
            <w:tcW w:w="3117" w:type="dxa"/>
          </w:tcPr>
          <w:p w14:paraId="056F95A2" w14:textId="77777777" w:rsidR="00EC15E9" w:rsidRDefault="00EC15E9" w:rsidP="00EC15E9">
            <w:pPr>
              <w:pStyle w:val="TableParagraph"/>
              <w:jc w:val="center"/>
            </w:pPr>
          </w:p>
        </w:tc>
      </w:tr>
      <w:tr w:rsidR="00EC15E9" w14:paraId="19EECF3D" w14:textId="77777777" w:rsidTr="00EC15E9">
        <w:tc>
          <w:tcPr>
            <w:tcW w:w="3116" w:type="dxa"/>
          </w:tcPr>
          <w:p w14:paraId="43754BE1" w14:textId="77777777" w:rsidR="00EC15E9" w:rsidRDefault="00EC15E9" w:rsidP="00EC15E9">
            <w:pPr>
              <w:pStyle w:val="TableParagraph"/>
              <w:jc w:val="center"/>
            </w:pPr>
          </w:p>
        </w:tc>
        <w:tc>
          <w:tcPr>
            <w:tcW w:w="3117" w:type="dxa"/>
          </w:tcPr>
          <w:p w14:paraId="05ECD753" w14:textId="77777777" w:rsidR="00EC15E9" w:rsidRDefault="00EC15E9" w:rsidP="00EC15E9">
            <w:pPr>
              <w:pStyle w:val="TableParagraph"/>
              <w:jc w:val="center"/>
            </w:pPr>
          </w:p>
        </w:tc>
        <w:tc>
          <w:tcPr>
            <w:tcW w:w="3117" w:type="dxa"/>
          </w:tcPr>
          <w:p w14:paraId="6A0D43CC" w14:textId="77777777" w:rsidR="00EC15E9" w:rsidRDefault="00EC15E9" w:rsidP="00EC15E9">
            <w:pPr>
              <w:pStyle w:val="TableParagraph"/>
              <w:jc w:val="center"/>
            </w:pPr>
          </w:p>
        </w:tc>
      </w:tr>
      <w:tr w:rsidR="00EC15E9" w14:paraId="29DAC719" w14:textId="77777777" w:rsidTr="00EC15E9">
        <w:tc>
          <w:tcPr>
            <w:tcW w:w="3116" w:type="dxa"/>
          </w:tcPr>
          <w:p w14:paraId="3B9E1479" w14:textId="77777777" w:rsidR="00EC15E9" w:rsidRDefault="00EC15E9" w:rsidP="00EC15E9">
            <w:pPr>
              <w:pStyle w:val="TableParagraph"/>
              <w:jc w:val="center"/>
            </w:pPr>
          </w:p>
        </w:tc>
        <w:tc>
          <w:tcPr>
            <w:tcW w:w="3117" w:type="dxa"/>
          </w:tcPr>
          <w:p w14:paraId="3A842A84" w14:textId="77777777" w:rsidR="00EC15E9" w:rsidRDefault="00EC15E9" w:rsidP="00EC15E9">
            <w:pPr>
              <w:pStyle w:val="TableParagraph"/>
              <w:jc w:val="center"/>
            </w:pPr>
          </w:p>
        </w:tc>
        <w:tc>
          <w:tcPr>
            <w:tcW w:w="3117" w:type="dxa"/>
          </w:tcPr>
          <w:p w14:paraId="7B5FEB82" w14:textId="77777777" w:rsidR="00EC15E9" w:rsidRDefault="00EC15E9" w:rsidP="00EC15E9">
            <w:pPr>
              <w:pStyle w:val="TableParagraph"/>
              <w:jc w:val="center"/>
            </w:pPr>
          </w:p>
        </w:tc>
      </w:tr>
      <w:tr w:rsidR="00EC15E9" w14:paraId="59215834" w14:textId="77777777" w:rsidTr="00EC15E9">
        <w:tc>
          <w:tcPr>
            <w:tcW w:w="3116" w:type="dxa"/>
          </w:tcPr>
          <w:p w14:paraId="03D62782" w14:textId="77777777" w:rsidR="00EC15E9" w:rsidRDefault="00EC15E9" w:rsidP="00EC15E9">
            <w:pPr>
              <w:pStyle w:val="TableParagraph"/>
              <w:jc w:val="center"/>
            </w:pPr>
          </w:p>
        </w:tc>
        <w:tc>
          <w:tcPr>
            <w:tcW w:w="3117" w:type="dxa"/>
          </w:tcPr>
          <w:p w14:paraId="49B65E7F" w14:textId="77777777" w:rsidR="00EC15E9" w:rsidRDefault="00EC15E9" w:rsidP="00EC15E9">
            <w:pPr>
              <w:pStyle w:val="TableParagraph"/>
              <w:jc w:val="center"/>
            </w:pPr>
          </w:p>
        </w:tc>
        <w:tc>
          <w:tcPr>
            <w:tcW w:w="3117" w:type="dxa"/>
          </w:tcPr>
          <w:p w14:paraId="745417C8" w14:textId="77777777" w:rsidR="00EC15E9" w:rsidRDefault="00EC15E9" w:rsidP="00EC15E9">
            <w:pPr>
              <w:pStyle w:val="TableParagraph"/>
              <w:jc w:val="center"/>
            </w:pPr>
          </w:p>
        </w:tc>
      </w:tr>
      <w:tr w:rsidR="00EC15E9" w14:paraId="192EE026" w14:textId="77777777" w:rsidTr="00EC15E9">
        <w:tc>
          <w:tcPr>
            <w:tcW w:w="3116" w:type="dxa"/>
          </w:tcPr>
          <w:p w14:paraId="5A8464E9" w14:textId="77777777" w:rsidR="00EC15E9" w:rsidRDefault="00EC15E9" w:rsidP="00EC15E9">
            <w:pPr>
              <w:pStyle w:val="TableParagraph"/>
              <w:jc w:val="center"/>
            </w:pPr>
          </w:p>
        </w:tc>
        <w:tc>
          <w:tcPr>
            <w:tcW w:w="3117" w:type="dxa"/>
          </w:tcPr>
          <w:p w14:paraId="2420279F" w14:textId="77777777" w:rsidR="00EC15E9" w:rsidRDefault="00EC15E9" w:rsidP="00EC15E9">
            <w:pPr>
              <w:pStyle w:val="TableParagraph"/>
              <w:jc w:val="center"/>
            </w:pPr>
          </w:p>
        </w:tc>
        <w:tc>
          <w:tcPr>
            <w:tcW w:w="3117" w:type="dxa"/>
          </w:tcPr>
          <w:p w14:paraId="009CC499" w14:textId="77777777" w:rsidR="00EC15E9" w:rsidRDefault="00EC15E9" w:rsidP="00EC15E9">
            <w:pPr>
              <w:pStyle w:val="TableParagraph"/>
              <w:jc w:val="center"/>
            </w:pPr>
          </w:p>
        </w:tc>
      </w:tr>
    </w:tbl>
    <w:p w14:paraId="2282B07C" w14:textId="3850F956" w:rsidR="004A3DAC" w:rsidRPr="00EC15E9" w:rsidRDefault="00F70DA9" w:rsidP="00EC15E9">
      <w:pPr>
        <w:pStyle w:val="BodyText"/>
      </w:pPr>
      <w:bookmarkStart w:id="28" w:name="_Hlk97733039"/>
      <w:r w:rsidRPr="00EC15E9">
        <w:t>L</w:t>
      </w:r>
      <w:r w:rsidR="00C86BE6" w:rsidRPr="00EC15E9">
        <w:t xml:space="preserve">ead and copper tap samples </w:t>
      </w:r>
      <w:r w:rsidR="0061022C" w:rsidRPr="00EC15E9">
        <w:t xml:space="preserve">for community water systems </w:t>
      </w:r>
      <w:r w:rsidR="00C86BE6" w:rsidRPr="00EC15E9">
        <w:t xml:space="preserve">are typically collected by non-water system personnel (instead of by a certified operator). </w:t>
      </w:r>
      <w:r w:rsidR="0061022C" w:rsidRPr="00EC15E9">
        <w:t xml:space="preserve">Water systems </w:t>
      </w:r>
      <w:r w:rsidRPr="00EC15E9">
        <w:t>get to</w:t>
      </w:r>
      <w:r w:rsidR="0061022C" w:rsidRPr="00EC15E9">
        <w:t xml:space="preserve"> choose the laboratory that performs the analysis of their compliance samples, so long as the laboratory has the appropriate accreditation. </w:t>
      </w:r>
      <w:r w:rsidR="007E6D7C" w:rsidRPr="00EC15E9">
        <w:t>Include the name of any laboratory used</w:t>
      </w:r>
      <w:r w:rsidR="00BD24BC" w:rsidRPr="00EC15E9">
        <w:t>,</w:t>
      </w:r>
      <w:r w:rsidR="007E6D7C" w:rsidRPr="00EC15E9">
        <w:t xml:space="preserve"> or </w:t>
      </w:r>
      <w:r w:rsidR="00BD24BC" w:rsidRPr="00EC15E9">
        <w:t xml:space="preserve">multiple if </w:t>
      </w:r>
      <w:r w:rsidR="00CB389E" w:rsidRPr="00EC15E9">
        <w:t xml:space="preserve">the system </w:t>
      </w:r>
      <w:r w:rsidR="007E6D7C" w:rsidRPr="00EC15E9">
        <w:t>rotate</w:t>
      </w:r>
      <w:r w:rsidR="00CB389E" w:rsidRPr="00EC15E9">
        <w:t>s</w:t>
      </w:r>
      <w:r w:rsidR="00BD24BC" w:rsidRPr="00EC15E9">
        <w:t>,</w:t>
      </w:r>
      <w:r w:rsidR="007E6D7C" w:rsidRPr="00EC15E9">
        <w:t xml:space="preserve"> in the </w:t>
      </w:r>
      <w:r w:rsidR="007E6D7C" w:rsidRPr="00EC15E9">
        <w:rPr>
          <w:rStyle w:val="Strong"/>
        </w:rPr>
        <w:t>Laboratory Information</w:t>
      </w:r>
      <w:r w:rsidR="007E6D7C" w:rsidRPr="00EC15E9">
        <w:t xml:space="preserve"> section of the monitoring plan.</w:t>
      </w:r>
    </w:p>
    <w:p w14:paraId="08B613DA" w14:textId="6B17401F" w:rsidR="00BD24BC" w:rsidRPr="00EC15E9" w:rsidRDefault="00BD24BC" w:rsidP="00EC15E9">
      <w:pPr>
        <w:pStyle w:val="BodyText"/>
      </w:pPr>
      <w:r w:rsidRPr="00EC15E9">
        <w:t>If more than 10% of the monitoring samples are greater than the action level (i.e., if the 90th percentile level is greater than the action level), the system has exceeded the action level. This is not a violation but requires further action. The respective action levels are 0.015 mg/L for lead and 1.3 mg/L for copper.</w:t>
      </w:r>
    </w:p>
    <w:bookmarkEnd w:id="28"/>
    <w:p w14:paraId="5A516B7C" w14:textId="388B1695" w:rsidR="00BD24BC" w:rsidRPr="00EC15E9" w:rsidRDefault="00B624F2" w:rsidP="00EC15E9">
      <w:pPr>
        <w:pStyle w:val="Heading2"/>
      </w:pPr>
      <w:r w:rsidRPr="00EC15E9">
        <w:t>Water Quality Parameter Tap Monitoring</w:t>
      </w:r>
    </w:p>
    <w:p w14:paraId="4AEE13C4" w14:textId="1E7E7ADB" w:rsidR="00B624F2" w:rsidRPr="00EC15E9" w:rsidRDefault="00106691" w:rsidP="00EC15E9">
      <w:pPr>
        <w:pStyle w:val="BodyText"/>
      </w:pPr>
      <w:bookmarkStart w:id="29" w:name="_Hlk97733049"/>
      <w:r w:rsidRPr="00EC15E9">
        <w:t xml:space="preserve">Community water systems and NTNC water systems that are new or monitoring for the first time, have a population over 50,000 served, report an action level exceedance for either lead or copper, or install a new treatment process or well are required to collect </w:t>
      </w:r>
      <w:r w:rsidR="0059673A" w:rsidRPr="00EC15E9">
        <w:t>water quality parameter (</w:t>
      </w:r>
      <w:r w:rsidRPr="00EC15E9">
        <w:t>WQP</w:t>
      </w:r>
      <w:r w:rsidR="0059673A" w:rsidRPr="00EC15E9">
        <w:t>)</w:t>
      </w:r>
      <w:r w:rsidRPr="00EC15E9">
        <w:t xml:space="preserve"> samples and report analysis to the state. These samples need to be collected at locations within the distribution system, and at each active entry point. The WQP samples require prior approval before collection, and the equipment for analyzing pH and temperature must be registered with the state.</w:t>
      </w:r>
    </w:p>
    <w:tbl>
      <w:tblPr>
        <w:tblStyle w:val="TableGrid"/>
        <w:tblW w:w="0" w:type="auto"/>
        <w:tblLook w:val="04A0" w:firstRow="1" w:lastRow="0" w:firstColumn="1" w:lastColumn="0" w:noHBand="0" w:noVBand="1"/>
      </w:tblPr>
      <w:tblGrid>
        <w:gridCol w:w="6655"/>
        <w:gridCol w:w="1310"/>
        <w:gridCol w:w="1385"/>
      </w:tblGrid>
      <w:tr w:rsidR="00C24BA7" w:rsidRPr="00EC15E9" w14:paraId="49CB7410" w14:textId="77777777" w:rsidTr="00EC15E9">
        <w:trPr>
          <w:trHeight w:val="360"/>
        </w:trPr>
        <w:tc>
          <w:tcPr>
            <w:tcW w:w="6655" w:type="dxa"/>
            <w:shd w:val="clear" w:color="auto" w:fill="D9D9D9" w:themeFill="background1" w:themeFillShade="D9"/>
          </w:tcPr>
          <w:bookmarkEnd w:id="29"/>
          <w:p w14:paraId="25F02FEB" w14:textId="68238BE0" w:rsidR="00C24BA7" w:rsidRPr="00217886" w:rsidRDefault="00C24BA7" w:rsidP="00EC15E9">
            <w:pPr>
              <w:pStyle w:val="TableParagraph"/>
              <w:rPr>
                <w:rStyle w:val="Strong"/>
              </w:rPr>
            </w:pPr>
            <w:r w:rsidRPr="00217886">
              <w:rPr>
                <w:rStyle w:val="Strong"/>
              </w:rPr>
              <w:t>Does the system collect water quality parameter samples?</w:t>
            </w:r>
          </w:p>
        </w:tc>
        <w:tc>
          <w:tcPr>
            <w:tcW w:w="1310" w:type="dxa"/>
            <w:tcBorders>
              <w:right w:val="nil"/>
            </w:tcBorders>
            <w:shd w:val="clear" w:color="auto" w:fill="FFFFFF" w:themeFill="background1"/>
          </w:tcPr>
          <w:p w14:paraId="0A6B1B72" w14:textId="7BD1EB6F" w:rsidR="00C24BA7" w:rsidRPr="00EC15E9" w:rsidRDefault="00EC15E9" w:rsidP="00EC15E9">
            <w:pPr>
              <w:pStyle w:val="TableParagraph"/>
              <w:jc w:val="center"/>
            </w:pPr>
            <w:r>
              <w:fldChar w:fldCharType="begin">
                <w:ffData>
                  <w:name w:val="Check20"/>
                  <w:enabled/>
                  <w:calcOnExit w:val="0"/>
                  <w:checkBox>
                    <w:sizeAuto/>
                    <w:default w:val="0"/>
                  </w:checkBox>
                </w:ffData>
              </w:fldChar>
            </w:r>
            <w:bookmarkStart w:id="30" w:name="Check20"/>
            <w:r>
              <w:instrText xml:space="preserve"> FORMCHECKBOX </w:instrText>
            </w:r>
            <w:r w:rsidR="00083934">
              <w:fldChar w:fldCharType="separate"/>
            </w:r>
            <w:r>
              <w:fldChar w:fldCharType="end"/>
            </w:r>
            <w:bookmarkEnd w:id="30"/>
            <w:r>
              <w:t xml:space="preserve"> </w:t>
            </w:r>
            <w:r w:rsidR="00C24BA7" w:rsidRPr="00EC15E9">
              <w:t>Yes</w:t>
            </w:r>
          </w:p>
        </w:tc>
        <w:tc>
          <w:tcPr>
            <w:tcW w:w="1385" w:type="dxa"/>
            <w:tcBorders>
              <w:left w:val="nil"/>
            </w:tcBorders>
            <w:shd w:val="clear" w:color="auto" w:fill="FFFFFF" w:themeFill="background1"/>
          </w:tcPr>
          <w:p w14:paraId="4A08AC6B" w14:textId="017510C3" w:rsidR="00C24BA7" w:rsidRPr="00EC15E9" w:rsidRDefault="00EC15E9" w:rsidP="00EC15E9">
            <w:pPr>
              <w:pStyle w:val="TableParagraph"/>
              <w:jc w:val="center"/>
            </w:pPr>
            <w:r>
              <w:rPr>
                <w:rFonts w:ascii="Segoe UI Symbol" w:hAnsi="Segoe UI Symbol" w:cs="Segoe UI Symbol"/>
              </w:rPr>
              <w:fldChar w:fldCharType="begin">
                <w:ffData>
                  <w:name w:val="Check21"/>
                  <w:enabled/>
                  <w:calcOnExit w:val="0"/>
                  <w:checkBox>
                    <w:sizeAuto/>
                    <w:default w:val="0"/>
                  </w:checkBox>
                </w:ffData>
              </w:fldChar>
            </w:r>
            <w:bookmarkStart w:id="31" w:name="Check21"/>
            <w:r>
              <w:rPr>
                <w:rFonts w:ascii="Segoe UI Symbol" w:hAnsi="Segoe UI Symbol" w:cs="Segoe UI Symbol"/>
              </w:rPr>
              <w:instrText xml:space="preserve"> FORMCHECKBOX </w:instrText>
            </w:r>
            <w:r w:rsidR="00083934">
              <w:rPr>
                <w:rFonts w:ascii="Segoe UI Symbol" w:hAnsi="Segoe UI Symbol" w:cs="Segoe UI Symbol"/>
              </w:rPr>
            </w:r>
            <w:r w:rsidR="00083934">
              <w:rPr>
                <w:rFonts w:ascii="Segoe UI Symbol" w:hAnsi="Segoe UI Symbol" w:cs="Segoe UI Symbol"/>
              </w:rPr>
              <w:fldChar w:fldCharType="separate"/>
            </w:r>
            <w:r>
              <w:rPr>
                <w:rFonts w:ascii="Segoe UI Symbol" w:hAnsi="Segoe UI Symbol" w:cs="Segoe UI Symbol"/>
              </w:rPr>
              <w:fldChar w:fldCharType="end"/>
            </w:r>
            <w:bookmarkEnd w:id="31"/>
            <w:r>
              <w:rPr>
                <w:rFonts w:ascii="Segoe UI Symbol" w:hAnsi="Segoe UI Symbol" w:cs="Segoe UI Symbol"/>
              </w:rPr>
              <w:t xml:space="preserve"> </w:t>
            </w:r>
            <w:r w:rsidR="00C24BA7" w:rsidRPr="00EC15E9">
              <w:t>No</w:t>
            </w:r>
          </w:p>
        </w:tc>
      </w:tr>
    </w:tbl>
    <w:p w14:paraId="494389D1" w14:textId="3C0A91F1" w:rsidR="00C24BA7" w:rsidRDefault="00C24BA7" w:rsidP="00FA16B8">
      <w:pPr>
        <w:pStyle w:val="BodyText"/>
      </w:pPr>
    </w:p>
    <w:tbl>
      <w:tblPr>
        <w:tblStyle w:val="TableGrid"/>
        <w:tblW w:w="0" w:type="auto"/>
        <w:tblLook w:val="04A0" w:firstRow="1" w:lastRow="0" w:firstColumn="1" w:lastColumn="0" w:noHBand="0" w:noVBand="1"/>
      </w:tblPr>
      <w:tblGrid>
        <w:gridCol w:w="3595"/>
        <w:gridCol w:w="5755"/>
      </w:tblGrid>
      <w:tr w:rsidR="0047032B" w14:paraId="1556BFD9" w14:textId="77777777" w:rsidTr="00EC15E9">
        <w:trPr>
          <w:trHeight w:val="360"/>
        </w:trPr>
        <w:tc>
          <w:tcPr>
            <w:tcW w:w="3595" w:type="dxa"/>
            <w:shd w:val="clear" w:color="auto" w:fill="D9D9D9" w:themeFill="background1" w:themeFillShade="D9"/>
          </w:tcPr>
          <w:p w14:paraId="5C614B13" w14:textId="16A20A2A" w:rsidR="0047032B" w:rsidRPr="00217886" w:rsidRDefault="0047032B" w:rsidP="0037135E">
            <w:pPr>
              <w:pStyle w:val="BodyText"/>
              <w:rPr>
                <w:rStyle w:val="Strong"/>
              </w:rPr>
            </w:pPr>
            <w:r w:rsidRPr="00217886">
              <w:rPr>
                <w:rStyle w:val="Strong"/>
              </w:rPr>
              <w:t>Monitoring Frequency Required:</w:t>
            </w:r>
          </w:p>
        </w:tc>
        <w:tc>
          <w:tcPr>
            <w:tcW w:w="5755" w:type="dxa"/>
            <w:shd w:val="clear" w:color="auto" w:fill="FFFFFF" w:themeFill="background1"/>
          </w:tcPr>
          <w:p w14:paraId="1B89ED06" w14:textId="77777777" w:rsidR="0047032B" w:rsidRDefault="0047032B" w:rsidP="0037135E">
            <w:pPr>
              <w:pStyle w:val="BodyText"/>
            </w:pPr>
          </w:p>
        </w:tc>
      </w:tr>
    </w:tbl>
    <w:p w14:paraId="52EE0506" w14:textId="77777777" w:rsidR="0047032B" w:rsidRDefault="0047032B" w:rsidP="00FA16B8">
      <w:pPr>
        <w:pStyle w:val="BodyText"/>
      </w:pPr>
    </w:p>
    <w:tbl>
      <w:tblPr>
        <w:tblStyle w:val="TableGrid"/>
        <w:tblW w:w="0" w:type="auto"/>
        <w:tblLook w:val="04A0" w:firstRow="1" w:lastRow="0" w:firstColumn="1" w:lastColumn="0" w:noHBand="0" w:noVBand="1"/>
      </w:tblPr>
      <w:tblGrid>
        <w:gridCol w:w="4225"/>
        <w:gridCol w:w="5125"/>
      </w:tblGrid>
      <w:tr w:rsidR="0047032B" w14:paraId="0F09DC96" w14:textId="77777777" w:rsidTr="00EC15E9">
        <w:trPr>
          <w:trHeight w:val="360"/>
        </w:trPr>
        <w:tc>
          <w:tcPr>
            <w:tcW w:w="4225" w:type="dxa"/>
            <w:shd w:val="clear" w:color="auto" w:fill="D9D9D9" w:themeFill="background1" w:themeFillShade="D9"/>
          </w:tcPr>
          <w:p w14:paraId="7EB8D3ED" w14:textId="458C65F7" w:rsidR="0047032B" w:rsidRPr="00217886" w:rsidRDefault="0047032B" w:rsidP="0037135E">
            <w:pPr>
              <w:pStyle w:val="BodyText"/>
              <w:rPr>
                <w:rStyle w:val="Strong"/>
              </w:rPr>
            </w:pPr>
            <w:r w:rsidRPr="00217886">
              <w:rPr>
                <w:rStyle w:val="Strong"/>
              </w:rPr>
              <w:t>Number of Distribution Sites Required:</w:t>
            </w:r>
          </w:p>
        </w:tc>
        <w:tc>
          <w:tcPr>
            <w:tcW w:w="5125" w:type="dxa"/>
            <w:shd w:val="clear" w:color="auto" w:fill="FFFFFF" w:themeFill="background1"/>
          </w:tcPr>
          <w:p w14:paraId="13A72A2E" w14:textId="77777777" w:rsidR="0047032B" w:rsidRDefault="0047032B" w:rsidP="0037135E">
            <w:pPr>
              <w:pStyle w:val="BodyText"/>
            </w:pPr>
          </w:p>
        </w:tc>
      </w:tr>
    </w:tbl>
    <w:p w14:paraId="4FA98443" w14:textId="06CA37D9" w:rsidR="0047032B" w:rsidRDefault="00F92905" w:rsidP="00217886">
      <w:pPr>
        <w:pStyle w:val="BodyText"/>
      </w:pPr>
      <w:r w:rsidRPr="00217886">
        <w:t>To fully satisfy the requirements of</w:t>
      </w:r>
      <w:r w:rsidR="00CD5BBF" w:rsidRPr="00217886">
        <w:t xml:space="preserve"> any compliance period, two samples per location are required </w:t>
      </w:r>
      <w:r w:rsidRPr="00217886">
        <w:t>within the respective time frame.</w:t>
      </w:r>
      <w:r w:rsidR="00CD5BBF" w:rsidRPr="00217886">
        <w:t xml:space="preserve"> </w:t>
      </w:r>
      <w:r w:rsidRPr="00217886">
        <w:t xml:space="preserve">It is also beneficial to sample the same location at different ends of the compliance period to get a better understanding of your water at variable temperatures, as opposed to taking both required samples back-to-back. </w:t>
      </w:r>
      <w:r w:rsidR="00AD4613" w:rsidRPr="00217886">
        <w:t xml:space="preserve">In the following table, list all </w:t>
      </w:r>
      <w:r w:rsidR="00B82D4C" w:rsidRPr="00217886">
        <w:t xml:space="preserve">entry point and distribution system </w:t>
      </w:r>
      <w:r w:rsidR="00AD4613" w:rsidRPr="00217886">
        <w:t>sample locations used for WQP</w:t>
      </w:r>
      <w:r w:rsidR="00CD5BBF" w:rsidRPr="00217886">
        <w:t xml:space="preserve"> monitoring</w:t>
      </w:r>
      <w:r w:rsidR="00B82D4C" w:rsidRPr="00217886">
        <w:t xml:space="preserve">. </w:t>
      </w:r>
      <w:r w:rsidR="00CD5BBF" w:rsidRPr="00217886">
        <w:t>It is recommended to indicate any entry point and its respective sample location before listing the distribution system locations.</w:t>
      </w:r>
    </w:p>
    <w:tbl>
      <w:tblPr>
        <w:tblStyle w:val="TableGrid"/>
        <w:tblW w:w="0" w:type="auto"/>
        <w:tblLook w:val="04A0" w:firstRow="1" w:lastRow="0" w:firstColumn="1" w:lastColumn="0" w:noHBand="0" w:noVBand="1"/>
      </w:tblPr>
      <w:tblGrid>
        <w:gridCol w:w="2875"/>
        <w:gridCol w:w="6475"/>
      </w:tblGrid>
      <w:tr w:rsidR="00217886" w14:paraId="34196554" w14:textId="77777777" w:rsidTr="00EA00A9">
        <w:trPr>
          <w:tblHeader/>
        </w:trPr>
        <w:tc>
          <w:tcPr>
            <w:tcW w:w="2875" w:type="dxa"/>
            <w:shd w:val="clear" w:color="auto" w:fill="D9D9D9" w:themeFill="background1" w:themeFillShade="D9"/>
          </w:tcPr>
          <w:p w14:paraId="2FDC7F38" w14:textId="60989BD4" w:rsidR="00217886" w:rsidRDefault="00217886" w:rsidP="00217886">
            <w:pPr>
              <w:pStyle w:val="Header"/>
            </w:pPr>
            <w:r w:rsidRPr="00BC6D20">
              <w:t>Location (EP#, DS)</w:t>
            </w:r>
          </w:p>
        </w:tc>
        <w:tc>
          <w:tcPr>
            <w:tcW w:w="6475" w:type="dxa"/>
            <w:shd w:val="clear" w:color="auto" w:fill="D9D9D9" w:themeFill="background1" w:themeFillShade="D9"/>
          </w:tcPr>
          <w:p w14:paraId="390947EF" w14:textId="599EF499" w:rsidR="00217886" w:rsidRDefault="00217886" w:rsidP="00217886">
            <w:pPr>
              <w:pStyle w:val="Header"/>
            </w:pPr>
            <w:r w:rsidRPr="00BC6D20">
              <w:t>Sample Site Address</w:t>
            </w:r>
          </w:p>
        </w:tc>
      </w:tr>
      <w:tr w:rsidR="00217886" w14:paraId="62BB0BB7" w14:textId="77777777" w:rsidTr="00217886">
        <w:tc>
          <w:tcPr>
            <w:tcW w:w="2875" w:type="dxa"/>
          </w:tcPr>
          <w:p w14:paraId="4D51289F" w14:textId="77777777" w:rsidR="00217886" w:rsidRDefault="00217886" w:rsidP="00217886">
            <w:pPr>
              <w:pStyle w:val="TableParagraph"/>
              <w:jc w:val="center"/>
            </w:pPr>
          </w:p>
        </w:tc>
        <w:tc>
          <w:tcPr>
            <w:tcW w:w="6475" w:type="dxa"/>
          </w:tcPr>
          <w:p w14:paraId="3D904530" w14:textId="77777777" w:rsidR="00217886" w:rsidRDefault="00217886" w:rsidP="00217886">
            <w:pPr>
              <w:pStyle w:val="TableParagraph"/>
              <w:jc w:val="center"/>
            </w:pPr>
          </w:p>
        </w:tc>
      </w:tr>
      <w:tr w:rsidR="00217886" w14:paraId="3B90042D" w14:textId="77777777" w:rsidTr="00217886">
        <w:tc>
          <w:tcPr>
            <w:tcW w:w="2875" w:type="dxa"/>
          </w:tcPr>
          <w:p w14:paraId="3CBD5E0C" w14:textId="77777777" w:rsidR="00217886" w:rsidRDefault="00217886" w:rsidP="00217886">
            <w:pPr>
              <w:pStyle w:val="TableParagraph"/>
              <w:jc w:val="center"/>
            </w:pPr>
          </w:p>
        </w:tc>
        <w:tc>
          <w:tcPr>
            <w:tcW w:w="6475" w:type="dxa"/>
          </w:tcPr>
          <w:p w14:paraId="47CDC1C9" w14:textId="77777777" w:rsidR="00217886" w:rsidRDefault="00217886" w:rsidP="00217886">
            <w:pPr>
              <w:pStyle w:val="TableParagraph"/>
              <w:jc w:val="center"/>
            </w:pPr>
          </w:p>
        </w:tc>
      </w:tr>
      <w:tr w:rsidR="00217886" w14:paraId="5B0B990B" w14:textId="77777777" w:rsidTr="00217886">
        <w:tc>
          <w:tcPr>
            <w:tcW w:w="2875" w:type="dxa"/>
          </w:tcPr>
          <w:p w14:paraId="1EFD091E" w14:textId="77777777" w:rsidR="00217886" w:rsidRDefault="00217886" w:rsidP="00217886">
            <w:pPr>
              <w:pStyle w:val="TableParagraph"/>
              <w:jc w:val="center"/>
            </w:pPr>
          </w:p>
        </w:tc>
        <w:tc>
          <w:tcPr>
            <w:tcW w:w="6475" w:type="dxa"/>
          </w:tcPr>
          <w:p w14:paraId="6C538469" w14:textId="77777777" w:rsidR="00217886" w:rsidRDefault="00217886" w:rsidP="00217886">
            <w:pPr>
              <w:pStyle w:val="TableParagraph"/>
              <w:jc w:val="center"/>
            </w:pPr>
          </w:p>
        </w:tc>
      </w:tr>
      <w:tr w:rsidR="00217886" w14:paraId="42D2C647" w14:textId="77777777" w:rsidTr="00217886">
        <w:tc>
          <w:tcPr>
            <w:tcW w:w="2875" w:type="dxa"/>
          </w:tcPr>
          <w:p w14:paraId="66FB2039" w14:textId="77777777" w:rsidR="00217886" w:rsidRDefault="00217886" w:rsidP="00217886">
            <w:pPr>
              <w:pStyle w:val="TableParagraph"/>
              <w:jc w:val="center"/>
            </w:pPr>
          </w:p>
        </w:tc>
        <w:tc>
          <w:tcPr>
            <w:tcW w:w="6475" w:type="dxa"/>
          </w:tcPr>
          <w:p w14:paraId="4B1013C2" w14:textId="77777777" w:rsidR="00217886" w:rsidRDefault="00217886" w:rsidP="00217886">
            <w:pPr>
              <w:pStyle w:val="TableParagraph"/>
              <w:jc w:val="center"/>
            </w:pPr>
          </w:p>
        </w:tc>
      </w:tr>
      <w:tr w:rsidR="00217886" w14:paraId="134720E7" w14:textId="77777777" w:rsidTr="00217886">
        <w:tc>
          <w:tcPr>
            <w:tcW w:w="2875" w:type="dxa"/>
          </w:tcPr>
          <w:p w14:paraId="2B0D729A" w14:textId="77777777" w:rsidR="00217886" w:rsidRDefault="00217886" w:rsidP="00217886">
            <w:pPr>
              <w:pStyle w:val="TableParagraph"/>
              <w:jc w:val="center"/>
            </w:pPr>
          </w:p>
        </w:tc>
        <w:tc>
          <w:tcPr>
            <w:tcW w:w="6475" w:type="dxa"/>
          </w:tcPr>
          <w:p w14:paraId="3DF24B7F" w14:textId="77777777" w:rsidR="00217886" w:rsidRDefault="00217886" w:rsidP="00217886">
            <w:pPr>
              <w:pStyle w:val="TableParagraph"/>
              <w:jc w:val="center"/>
            </w:pPr>
          </w:p>
        </w:tc>
      </w:tr>
    </w:tbl>
    <w:p w14:paraId="5663D8FF" w14:textId="550360F5" w:rsidR="007B436B" w:rsidRPr="00217886" w:rsidRDefault="007B436B" w:rsidP="00217886">
      <w:pPr>
        <w:pStyle w:val="Heading1"/>
      </w:pPr>
      <w:r w:rsidRPr="00217886">
        <w:t>Asbestos</w:t>
      </w:r>
    </w:p>
    <w:p w14:paraId="7DAB775C" w14:textId="29B7661C" w:rsidR="005C3F49" w:rsidRPr="00217886" w:rsidRDefault="009A6522" w:rsidP="00217886">
      <w:pPr>
        <w:pStyle w:val="BodyText"/>
      </w:pPr>
      <w:bookmarkStart w:id="32" w:name="_Hlk97733096"/>
      <w:r w:rsidRPr="00217886">
        <w:t xml:space="preserve">An inorganic contaminant typically monitored at the far reaches of the distribution system. </w:t>
      </w:r>
      <w:r w:rsidR="00B72013" w:rsidRPr="00217886">
        <w:t>Like</w:t>
      </w:r>
      <w:r w:rsidRPr="00217886">
        <w:t xml:space="preserve"> any inorganic contaminant measured at an entry point, these samples are collected by a contractor on TCEQ’s behalf. Water systems will never be responsible for physically collecting an asbestos </w:t>
      </w:r>
      <w:r w:rsidR="00427F71" w:rsidRPr="00217886">
        <w:t>sample but</w:t>
      </w:r>
      <w:r w:rsidRPr="00217886">
        <w:t xml:space="preserve"> will be responsible for coming up with the compliance location used for this sampling</w:t>
      </w:r>
      <w:r w:rsidR="0059673A" w:rsidRPr="00217886">
        <w:t xml:space="preserve"> and paying any outstanding bill</w:t>
      </w:r>
      <w:r w:rsidRPr="00217886">
        <w:t>.</w:t>
      </w:r>
    </w:p>
    <w:tbl>
      <w:tblPr>
        <w:tblStyle w:val="TableGrid"/>
        <w:tblW w:w="0" w:type="auto"/>
        <w:tblLook w:val="04A0" w:firstRow="1" w:lastRow="0" w:firstColumn="1" w:lastColumn="0" w:noHBand="0" w:noVBand="1"/>
      </w:tblPr>
      <w:tblGrid>
        <w:gridCol w:w="3735"/>
        <w:gridCol w:w="5615"/>
      </w:tblGrid>
      <w:tr w:rsidR="007E2272" w14:paraId="442D6D75" w14:textId="77777777" w:rsidTr="00217886">
        <w:trPr>
          <w:trHeight w:val="360"/>
        </w:trPr>
        <w:tc>
          <w:tcPr>
            <w:tcW w:w="3829" w:type="dxa"/>
            <w:shd w:val="clear" w:color="auto" w:fill="D9D9D9" w:themeFill="background1" w:themeFillShade="D9"/>
          </w:tcPr>
          <w:bookmarkEnd w:id="32"/>
          <w:p w14:paraId="3E66B99F" w14:textId="77777777" w:rsidR="007E2272" w:rsidRPr="00217886" w:rsidRDefault="007E2272" w:rsidP="00217886">
            <w:pPr>
              <w:pStyle w:val="TableParagraph"/>
              <w:rPr>
                <w:rStyle w:val="Strong"/>
              </w:rPr>
            </w:pPr>
            <w:r w:rsidRPr="00217886">
              <w:rPr>
                <w:rStyle w:val="Strong"/>
              </w:rPr>
              <w:t>Monitoring Frequency Required:</w:t>
            </w:r>
          </w:p>
        </w:tc>
        <w:tc>
          <w:tcPr>
            <w:tcW w:w="5825" w:type="dxa"/>
            <w:shd w:val="clear" w:color="auto" w:fill="FFFFFF" w:themeFill="background1"/>
          </w:tcPr>
          <w:p w14:paraId="05EBDA96" w14:textId="77777777" w:rsidR="007E2272" w:rsidRDefault="007E2272" w:rsidP="00217886">
            <w:pPr>
              <w:pStyle w:val="TableParagraph"/>
            </w:pPr>
          </w:p>
        </w:tc>
      </w:tr>
    </w:tbl>
    <w:p w14:paraId="384EB446" w14:textId="0536A799" w:rsidR="007E2272" w:rsidRDefault="00217886" w:rsidP="00217886">
      <w:pPr>
        <w:pStyle w:val="Heading4"/>
      </w:pPr>
      <w:r>
        <w:t>Asbestos Sample Site Locations:</w:t>
      </w:r>
    </w:p>
    <w:tbl>
      <w:tblPr>
        <w:tblStyle w:val="TableGrid"/>
        <w:tblW w:w="0" w:type="auto"/>
        <w:tblLook w:val="04A0" w:firstRow="1" w:lastRow="0" w:firstColumn="1" w:lastColumn="0" w:noHBand="0" w:noVBand="1"/>
      </w:tblPr>
      <w:tblGrid>
        <w:gridCol w:w="2515"/>
        <w:gridCol w:w="6835"/>
      </w:tblGrid>
      <w:tr w:rsidR="00217886" w14:paraId="1107E179" w14:textId="77777777" w:rsidTr="00217886">
        <w:tc>
          <w:tcPr>
            <w:tcW w:w="2515" w:type="dxa"/>
            <w:shd w:val="clear" w:color="auto" w:fill="D9D9D9" w:themeFill="background1" w:themeFillShade="D9"/>
          </w:tcPr>
          <w:p w14:paraId="65CA23B0" w14:textId="42F24CC6" w:rsidR="00217886" w:rsidRDefault="00217886" w:rsidP="00217886">
            <w:pPr>
              <w:pStyle w:val="Header"/>
            </w:pPr>
            <w:r w:rsidRPr="003D5208">
              <w:t>Site ID</w:t>
            </w:r>
          </w:p>
        </w:tc>
        <w:tc>
          <w:tcPr>
            <w:tcW w:w="6835" w:type="dxa"/>
            <w:shd w:val="clear" w:color="auto" w:fill="D9D9D9" w:themeFill="background1" w:themeFillShade="D9"/>
          </w:tcPr>
          <w:p w14:paraId="16C7FB7E" w14:textId="64782729" w:rsidR="00217886" w:rsidRDefault="00217886" w:rsidP="00217886">
            <w:pPr>
              <w:pStyle w:val="Header"/>
            </w:pPr>
            <w:r w:rsidRPr="003D5208">
              <w:t>Sample Location</w:t>
            </w:r>
          </w:p>
        </w:tc>
      </w:tr>
      <w:tr w:rsidR="00217886" w14:paraId="03A84002" w14:textId="77777777" w:rsidTr="00217886">
        <w:tc>
          <w:tcPr>
            <w:tcW w:w="2515" w:type="dxa"/>
          </w:tcPr>
          <w:p w14:paraId="7661AA7B" w14:textId="77777777" w:rsidR="00217886" w:rsidRDefault="00217886" w:rsidP="00217886">
            <w:pPr>
              <w:pStyle w:val="TableParagraph"/>
            </w:pPr>
          </w:p>
        </w:tc>
        <w:tc>
          <w:tcPr>
            <w:tcW w:w="6835" w:type="dxa"/>
          </w:tcPr>
          <w:p w14:paraId="1BD6347C" w14:textId="77777777" w:rsidR="00217886" w:rsidRDefault="00217886" w:rsidP="00217886">
            <w:pPr>
              <w:pStyle w:val="TableParagraph"/>
            </w:pPr>
          </w:p>
        </w:tc>
      </w:tr>
    </w:tbl>
    <w:p w14:paraId="0242D7E9" w14:textId="1B017E51" w:rsidR="00FD64AA" w:rsidRPr="00217886" w:rsidRDefault="00FD64AA" w:rsidP="00217886">
      <w:pPr>
        <w:pStyle w:val="BodyText"/>
      </w:pPr>
      <w:r w:rsidRPr="00217886">
        <w:t>The contractor sent on behalf of TCEQ will collect and send the sample off to an accredited lab. Water systems are responsible for paying any bill in a timely manner.</w:t>
      </w:r>
    </w:p>
    <w:p w14:paraId="291A3FF2" w14:textId="1F6BB671" w:rsidR="007E2272" w:rsidRPr="00217886" w:rsidRDefault="007E2272" w:rsidP="00217886">
      <w:pPr>
        <w:pStyle w:val="BodyText"/>
      </w:pPr>
      <w:r w:rsidRPr="00217886">
        <w:t>If any sample result is above the MCL of 7 million fibers per liter</w:t>
      </w:r>
      <w:r w:rsidR="00CA608F" w:rsidRPr="00217886">
        <w:t xml:space="preserve"> (longer than 10 µm), the system is out of compliance and will begin quarterly monitoring beginning the next calendar quarter.</w:t>
      </w:r>
    </w:p>
    <w:p w14:paraId="5D934C0B" w14:textId="1E524D15" w:rsidR="005E0DF7" w:rsidRPr="00217886" w:rsidRDefault="003F25BF" w:rsidP="00217886">
      <w:pPr>
        <w:pStyle w:val="Heading1"/>
      </w:pPr>
      <w:r w:rsidRPr="00217886">
        <w:t>Laboratory Information</w:t>
      </w:r>
    </w:p>
    <w:p w14:paraId="372E45EB" w14:textId="4F742A97" w:rsidR="003F25BF" w:rsidRPr="00217886" w:rsidRDefault="003F25BF" w:rsidP="00217886">
      <w:pPr>
        <w:pStyle w:val="BodyText"/>
      </w:pPr>
      <w:r w:rsidRPr="00217886">
        <w:t xml:space="preserve">All public water systems who </w:t>
      </w:r>
      <w:r w:rsidR="00AE02A1" w:rsidRPr="00217886">
        <w:t xml:space="preserve">sample </w:t>
      </w:r>
      <w:r w:rsidRPr="00217886">
        <w:t>treat</w:t>
      </w:r>
      <w:r w:rsidR="00AE02A1" w:rsidRPr="00217886">
        <w:t>ed</w:t>
      </w:r>
      <w:r w:rsidRPr="00217886">
        <w:t xml:space="preserve"> potable water must include a completed Laboratory Approval Form (TCEQ-10450) as an attachment to their overall monitoring plan.</w:t>
      </w:r>
    </w:p>
    <w:p w14:paraId="642D0639" w14:textId="4DD3CF1A" w:rsidR="003F25BF" w:rsidRPr="00217886" w:rsidRDefault="00244DCB" w:rsidP="00217886">
      <w:pPr>
        <w:pStyle w:val="Heading2"/>
      </w:pPr>
      <w:r w:rsidRPr="00217886">
        <w:t>Approved Laboratory</w:t>
      </w:r>
    </w:p>
    <w:p w14:paraId="51BCFAE6" w14:textId="37C2F5C9" w:rsidR="00244DCB" w:rsidRPr="00217886" w:rsidRDefault="00244DCB" w:rsidP="00217886">
      <w:pPr>
        <w:pStyle w:val="BodyText"/>
      </w:pPr>
      <w:r w:rsidRPr="00217886">
        <w:t>Public water systems may monitor and analyze disinfectant residual, turbidity, pH, temperature, total organic carbon (TOC), UV, alkalinity, silica, conductivity, chlorite, chlorine dioxide, calcium, hardness as calcium carbonate, and phosphate samples at an on-site laboratory. These on-site labs must be approved via the Drinking Water Laboratory Approval Form. Off-site labs or third-party organizations that conduct these analyses must also be approved by TCEQ.</w:t>
      </w:r>
    </w:p>
    <w:p w14:paraId="4D5BF211" w14:textId="3692B73A" w:rsidR="00E565EB" w:rsidRPr="00217886" w:rsidRDefault="00E565EB" w:rsidP="00217886">
      <w:pPr>
        <w:pStyle w:val="BodyText"/>
      </w:pPr>
      <w:r w:rsidRPr="00217886">
        <w:t xml:space="preserve">For questions related to laboratory approval, contact the TCEQ laboratory approval coordinator at (512)239-4691 or </w:t>
      </w:r>
      <w:hyperlink r:id="rId15" w:history="1">
        <w:r w:rsidRPr="00217886">
          <w:rPr>
            <w:rStyle w:val="Hyperlink"/>
          </w:rPr>
          <w:t>PDWS@tceq.texas.gov</w:t>
        </w:r>
      </w:hyperlink>
      <w:r w:rsidRPr="00217886">
        <w:t>.</w:t>
      </w:r>
    </w:p>
    <w:p w14:paraId="4ADAC89B" w14:textId="721270C8" w:rsidR="00E565EB" w:rsidRPr="00217886" w:rsidRDefault="00E565EB" w:rsidP="00217886">
      <w:pPr>
        <w:pStyle w:val="Heading2"/>
      </w:pPr>
      <w:r w:rsidRPr="00217886">
        <w:t>Accredited Laboratory</w:t>
      </w:r>
    </w:p>
    <w:p w14:paraId="487DA6A6" w14:textId="04B6E0A7" w:rsidR="00E565EB" w:rsidRDefault="00E565EB" w:rsidP="00217886">
      <w:pPr>
        <w:pStyle w:val="BodyText"/>
      </w:pPr>
      <w:r w:rsidRPr="00217886">
        <w:t>Public water systems must have certain analyses performed by a laboratory accredited (certified) by the TCEQ. A list of TCEQ laboratories that are accredited under the National Environmental Laboratory Accreditation Program (NELAP) can be found on the</w:t>
      </w:r>
      <w:r w:rsidR="00217886" w:rsidRPr="00217886">
        <w:t xml:space="preserve"> TCEQ’s Environmental Laboratory (NELAP) Accreditation webpage at: </w:t>
      </w:r>
      <w:hyperlink r:id="rId16" w:history="1">
        <w:r w:rsidR="00217886" w:rsidRPr="00217886">
          <w:rPr>
            <w:rStyle w:val="Hyperlink"/>
          </w:rPr>
          <w:t>https://www.tceq.texas.gov/agency/qa/env_lab_accreditation.html</w:t>
        </w:r>
      </w:hyperlink>
    </w:p>
    <w:p w14:paraId="7FB2C103" w14:textId="38390412" w:rsidR="00217886" w:rsidRPr="00217886" w:rsidRDefault="00217886" w:rsidP="00484FB3">
      <w:pPr>
        <w:pStyle w:val="Heading4"/>
      </w:pPr>
      <w:r w:rsidRPr="00217886">
        <w:lastRenderedPageBreak/>
        <w:t>Coliform Laboratory:</w:t>
      </w:r>
    </w:p>
    <w:tbl>
      <w:tblPr>
        <w:tblStyle w:val="TableGrid"/>
        <w:tblW w:w="0" w:type="auto"/>
        <w:tblLook w:val="04A0" w:firstRow="1" w:lastRow="0" w:firstColumn="1" w:lastColumn="0" w:noHBand="0" w:noVBand="1"/>
      </w:tblPr>
      <w:tblGrid>
        <w:gridCol w:w="2245"/>
        <w:gridCol w:w="6840"/>
      </w:tblGrid>
      <w:tr w:rsidR="00484FB3" w14:paraId="17097D52" w14:textId="77777777" w:rsidTr="00484FB3">
        <w:tc>
          <w:tcPr>
            <w:tcW w:w="2245" w:type="dxa"/>
            <w:shd w:val="clear" w:color="auto" w:fill="D9D9D9" w:themeFill="background1" w:themeFillShade="D9"/>
          </w:tcPr>
          <w:p w14:paraId="3FCB760F" w14:textId="2CE4D755" w:rsidR="00484FB3" w:rsidRDefault="00484FB3" w:rsidP="00484FB3">
            <w:pPr>
              <w:pStyle w:val="Header"/>
            </w:pPr>
            <w:r w:rsidRPr="008E7A3C">
              <w:t>Laboratory</w:t>
            </w:r>
            <w:r>
              <w:t xml:space="preserve"> Name</w:t>
            </w:r>
            <w:r w:rsidRPr="008E7A3C">
              <w:t>:</w:t>
            </w:r>
          </w:p>
        </w:tc>
        <w:tc>
          <w:tcPr>
            <w:tcW w:w="6840" w:type="dxa"/>
          </w:tcPr>
          <w:p w14:paraId="7B7D042C" w14:textId="77777777" w:rsidR="00484FB3" w:rsidRDefault="00484FB3" w:rsidP="00484FB3">
            <w:pPr>
              <w:pStyle w:val="TableParagraph"/>
            </w:pPr>
          </w:p>
        </w:tc>
      </w:tr>
      <w:tr w:rsidR="00484FB3" w14:paraId="749817C6" w14:textId="77777777" w:rsidTr="00484FB3">
        <w:tc>
          <w:tcPr>
            <w:tcW w:w="2245" w:type="dxa"/>
            <w:shd w:val="clear" w:color="auto" w:fill="D9D9D9" w:themeFill="background1" w:themeFillShade="D9"/>
          </w:tcPr>
          <w:p w14:paraId="621982A9" w14:textId="2375452A" w:rsidR="00484FB3" w:rsidRDefault="00484FB3" w:rsidP="00484FB3">
            <w:pPr>
              <w:pStyle w:val="Header"/>
            </w:pPr>
            <w:r>
              <w:t>City, State, Zip</w:t>
            </w:r>
          </w:p>
        </w:tc>
        <w:tc>
          <w:tcPr>
            <w:tcW w:w="6840" w:type="dxa"/>
          </w:tcPr>
          <w:p w14:paraId="07B67F5D" w14:textId="77777777" w:rsidR="00484FB3" w:rsidRDefault="00484FB3" w:rsidP="00484FB3">
            <w:pPr>
              <w:pStyle w:val="TableParagraph"/>
            </w:pPr>
          </w:p>
        </w:tc>
      </w:tr>
      <w:tr w:rsidR="00484FB3" w14:paraId="545C48EF" w14:textId="77777777" w:rsidTr="00484FB3">
        <w:tc>
          <w:tcPr>
            <w:tcW w:w="2245" w:type="dxa"/>
            <w:shd w:val="clear" w:color="auto" w:fill="D9D9D9" w:themeFill="background1" w:themeFillShade="D9"/>
          </w:tcPr>
          <w:p w14:paraId="09D50124" w14:textId="03027C24" w:rsidR="00484FB3" w:rsidRDefault="00484FB3" w:rsidP="00484FB3">
            <w:pPr>
              <w:pStyle w:val="Header"/>
            </w:pPr>
            <w:r>
              <w:t>Phone &amp; Ext.</w:t>
            </w:r>
          </w:p>
        </w:tc>
        <w:tc>
          <w:tcPr>
            <w:tcW w:w="6840" w:type="dxa"/>
          </w:tcPr>
          <w:p w14:paraId="4B997F72" w14:textId="77777777" w:rsidR="00484FB3" w:rsidRDefault="00484FB3" w:rsidP="00484FB3">
            <w:pPr>
              <w:pStyle w:val="TableParagraph"/>
            </w:pPr>
          </w:p>
        </w:tc>
      </w:tr>
      <w:tr w:rsidR="00484FB3" w14:paraId="6ECED75F" w14:textId="77777777" w:rsidTr="00484FB3">
        <w:tc>
          <w:tcPr>
            <w:tcW w:w="2245" w:type="dxa"/>
            <w:shd w:val="clear" w:color="auto" w:fill="D9D9D9" w:themeFill="background1" w:themeFillShade="D9"/>
          </w:tcPr>
          <w:p w14:paraId="7366D223" w14:textId="3AB9EEC1" w:rsidR="00484FB3" w:rsidRDefault="00484FB3" w:rsidP="00484FB3">
            <w:pPr>
              <w:pStyle w:val="Header"/>
            </w:pPr>
            <w:r>
              <w:t>Fax:</w:t>
            </w:r>
          </w:p>
        </w:tc>
        <w:tc>
          <w:tcPr>
            <w:tcW w:w="6840" w:type="dxa"/>
          </w:tcPr>
          <w:p w14:paraId="4A987656" w14:textId="77777777" w:rsidR="00484FB3" w:rsidRDefault="00484FB3" w:rsidP="00484FB3">
            <w:pPr>
              <w:pStyle w:val="TableParagraph"/>
            </w:pPr>
          </w:p>
        </w:tc>
      </w:tr>
    </w:tbl>
    <w:p w14:paraId="0F72DF15" w14:textId="62DEE83B" w:rsidR="00484FB3" w:rsidRDefault="00484FB3" w:rsidP="00484FB3">
      <w:pPr>
        <w:pStyle w:val="Heading4"/>
      </w:pPr>
      <w:r w:rsidRPr="00484FB3">
        <w:t>Lead and Copper Laboratory:</w:t>
      </w:r>
    </w:p>
    <w:tbl>
      <w:tblPr>
        <w:tblStyle w:val="TableGrid"/>
        <w:tblW w:w="0" w:type="auto"/>
        <w:tblLook w:val="04A0" w:firstRow="1" w:lastRow="0" w:firstColumn="1" w:lastColumn="0" w:noHBand="0" w:noVBand="1"/>
      </w:tblPr>
      <w:tblGrid>
        <w:gridCol w:w="2245"/>
        <w:gridCol w:w="6840"/>
      </w:tblGrid>
      <w:tr w:rsidR="00484FB3" w14:paraId="4C90A5B1" w14:textId="77777777" w:rsidTr="00484FB3">
        <w:tc>
          <w:tcPr>
            <w:tcW w:w="2245" w:type="dxa"/>
            <w:shd w:val="clear" w:color="auto" w:fill="D9D9D9" w:themeFill="background1" w:themeFillShade="D9"/>
          </w:tcPr>
          <w:p w14:paraId="7DF4AACC" w14:textId="77777777" w:rsidR="00484FB3" w:rsidRDefault="00484FB3" w:rsidP="004B1EBA">
            <w:pPr>
              <w:pStyle w:val="Header"/>
            </w:pPr>
            <w:r w:rsidRPr="008E7A3C">
              <w:t>Laboratory</w:t>
            </w:r>
            <w:r>
              <w:t xml:space="preserve"> Name</w:t>
            </w:r>
            <w:r w:rsidRPr="008E7A3C">
              <w:t>:</w:t>
            </w:r>
          </w:p>
        </w:tc>
        <w:tc>
          <w:tcPr>
            <w:tcW w:w="6840" w:type="dxa"/>
          </w:tcPr>
          <w:p w14:paraId="2E494960" w14:textId="77777777" w:rsidR="00484FB3" w:rsidRDefault="00484FB3" w:rsidP="004B1EBA">
            <w:pPr>
              <w:pStyle w:val="TableParagraph"/>
            </w:pPr>
          </w:p>
        </w:tc>
      </w:tr>
      <w:tr w:rsidR="00484FB3" w14:paraId="58AFD057" w14:textId="77777777" w:rsidTr="00484FB3">
        <w:tc>
          <w:tcPr>
            <w:tcW w:w="2245" w:type="dxa"/>
            <w:shd w:val="clear" w:color="auto" w:fill="D9D9D9" w:themeFill="background1" w:themeFillShade="D9"/>
          </w:tcPr>
          <w:p w14:paraId="64314B85" w14:textId="77777777" w:rsidR="00484FB3" w:rsidRDefault="00484FB3" w:rsidP="004B1EBA">
            <w:pPr>
              <w:pStyle w:val="Header"/>
            </w:pPr>
            <w:r>
              <w:t>City, State, Zip</w:t>
            </w:r>
          </w:p>
        </w:tc>
        <w:tc>
          <w:tcPr>
            <w:tcW w:w="6840" w:type="dxa"/>
          </w:tcPr>
          <w:p w14:paraId="522B0D73" w14:textId="77777777" w:rsidR="00484FB3" w:rsidRDefault="00484FB3" w:rsidP="004B1EBA">
            <w:pPr>
              <w:pStyle w:val="TableParagraph"/>
            </w:pPr>
          </w:p>
        </w:tc>
      </w:tr>
      <w:tr w:rsidR="00484FB3" w14:paraId="6B1CE959" w14:textId="77777777" w:rsidTr="00484FB3">
        <w:tc>
          <w:tcPr>
            <w:tcW w:w="2245" w:type="dxa"/>
            <w:shd w:val="clear" w:color="auto" w:fill="D9D9D9" w:themeFill="background1" w:themeFillShade="D9"/>
          </w:tcPr>
          <w:p w14:paraId="6BD87218" w14:textId="77777777" w:rsidR="00484FB3" w:rsidRDefault="00484FB3" w:rsidP="004B1EBA">
            <w:pPr>
              <w:pStyle w:val="Header"/>
            </w:pPr>
            <w:r>
              <w:t>Phone &amp; Ext.</w:t>
            </w:r>
          </w:p>
        </w:tc>
        <w:tc>
          <w:tcPr>
            <w:tcW w:w="6840" w:type="dxa"/>
          </w:tcPr>
          <w:p w14:paraId="699DF069" w14:textId="77777777" w:rsidR="00484FB3" w:rsidRDefault="00484FB3" w:rsidP="004B1EBA">
            <w:pPr>
              <w:pStyle w:val="TableParagraph"/>
            </w:pPr>
          </w:p>
        </w:tc>
      </w:tr>
      <w:tr w:rsidR="00484FB3" w14:paraId="7BD798F7" w14:textId="77777777" w:rsidTr="00484FB3">
        <w:tc>
          <w:tcPr>
            <w:tcW w:w="2245" w:type="dxa"/>
            <w:shd w:val="clear" w:color="auto" w:fill="D9D9D9" w:themeFill="background1" w:themeFillShade="D9"/>
          </w:tcPr>
          <w:p w14:paraId="4F30E92D" w14:textId="77777777" w:rsidR="00484FB3" w:rsidRDefault="00484FB3" w:rsidP="004B1EBA">
            <w:pPr>
              <w:pStyle w:val="Header"/>
            </w:pPr>
            <w:r>
              <w:t>Fax:</w:t>
            </w:r>
          </w:p>
        </w:tc>
        <w:tc>
          <w:tcPr>
            <w:tcW w:w="6840" w:type="dxa"/>
          </w:tcPr>
          <w:p w14:paraId="226E4847" w14:textId="77777777" w:rsidR="00484FB3" w:rsidRDefault="00484FB3" w:rsidP="004B1EBA">
            <w:pPr>
              <w:pStyle w:val="TableParagraph"/>
            </w:pPr>
          </w:p>
        </w:tc>
      </w:tr>
    </w:tbl>
    <w:p w14:paraId="793B95F4" w14:textId="66D50F96" w:rsidR="00484FB3" w:rsidRDefault="00484FB3" w:rsidP="00484FB3">
      <w:pPr>
        <w:pStyle w:val="Heading4"/>
      </w:pPr>
      <w:r w:rsidRPr="00484FB3">
        <w:t>Other Laboratory (Specify):</w:t>
      </w:r>
    </w:p>
    <w:tbl>
      <w:tblPr>
        <w:tblStyle w:val="TableGrid"/>
        <w:tblW w:w="0" w:type="auto"/>
        <w:tblLook w:val="04A0" w:firstRow="1" w:lastRow="0" w:firstColumn="1" w:lastColumn="0" w:noHBand="0" w:noVBand="1"/>
      </w:tblPr>
      <w:tblGrid>
        <w:gridCol w:w="2245"/>
        <w:gridCol w:w="6840"/>
      </w:tblGrid>
      <w:tr w:rsidR="00484FB3" w14:paraId="61E11947" w14:textId="77777777" w:rsidTr="004B1EBA">
        <w:tc>
          <w:tcPr>
            <w:tcW w:w="2245" w:type="dxa"/>
            <w:shd w:val="clear" w:color="auto" w:fill="D9D9D9" w:themeFill="background1" w:themeFillShade="D9"/>
          </w:tcPr>
          <w:p w14:paraId="4FA7E8AF" w14:textId="77777777" w:rsidR="00484FB3" w:rsidRDefault="00484FB3" w:rsidP="004B1EBA">
            <w:pPr>
              <w:pStyle w:val="Header"/>
            </w:pPr>
            <w:r w:rsidRPr="008E7A3C">
              <w:t>Laboratory</w:t>
            </w:r>
            <w:r>
              <w:t xml:space="preserve"> Name</w:t>
            </w:r>
            <w:r w:rsidRPr="008E7A3C">
              <w:t>:</w:t>
            </w:r>
          </w:p>
        </w:tc>
        <w:tc>
          <w:tcPr>
            <w:tcW w:w="6840" w:type="dxa"/>
          </w:tcPr>
          <w:p w14:paraId="779673B0" w14:textId="77777777" w:rsidR="00484FB3" w:rsidRDefault="00484FB3" w:rsidP="004B1EBA">
            <w:pPr>
              <w:pStyle w:val="TableParagraph"/>
            </w:pPr>
          </w:p>
        </w:tc>
      </w:tr>
      <w:tr w:rsidR="00484FB3" w14:paraId="1339FD93" w14:textId="77777777" w:rsidTr="004B1EBA">
        <w:tc>
          <w:tcPr>
            <w:tcW w:w="2245" w:type="dxa"/>
            <w:shd w:val="clear" w:color="auto" w:fill="D9D9D9" w:themeFill="background1" w:themeFillShade="D9"/>
          </w:tcPr>
          <w:p w14:paraId="139399D4" w14:textId="77777777" w:rsidR="00484FB3" w:rsidRDefault="00484FB3" w:rsidP="004B1EBA">
            <w:pPr>
              <w:pStyle w:val="Header"/>
            </w:pPr>
            <w:r>
              <w:t>City, State, Zip</w:t>
            </w:r>
          </w:p>
        </w:tc>
        <w:tc>
          <w:tcPr>
            <w:tcW w:w="6840" w:type="dxa"/>
          </w:tcPr>
          <w:p w14:paraId="2081161C" w14:textId="77777777" w:rsidR="00484FB3" w:rsidRDefault="00484FB3" w:rsidP="004B1EBA">
            <w:pPr>
              <w:pStyle w:val="TableParagraph"/>
            </w:pPr>
          </w:p>
        </w:tc>
      </w:tr>
      <w:tr w:rsidR="00484FB3" w14:paraId="4F1EC400" w14:textId="77777777" w:rsidTr="004B1EBA">
        <w:tc>
          <w:tcPr>
            <w:tcW w:w="2245" w:type="dxa"/>
            <w:shd w:val="clear" w:color="auto" w:fill="D9D9D9" w:themeFill="background1" w:themeFillShade="D9"/>
          </w:tcPr>
          <w:p w14:paraId="32C1BC3B" w14:textId="77777777" w:rsidR="00484FB3" w:rsidRDefault="00484FB3" w:rsidP="004B1EBA">
            <w:pPr>
              <w:pStyle w:val="Header"/>
            </w:pPr>
            <w:r>
              <w:t>Phone &amp; Ext.</w:t>
            </w:r>
          </w:p>
        </w:tc>
        <w:tc>
          <w:tcPr>
            <w:tcW w:w="6840" w:type="dxa"/>
          </w:tcPr>
          <w:p w14:paraId="4D5EF661" w14:textId="77777777" w:rsidR="00484FB3" w:rsidRDefault="00484FB3" w:rsidP="004B1EBA">
            <w:pPr>
              <w:pStyle w:val="TableParagraph"/>
            </w:pPr>
          </w:p>
        </w:tc>
      </w:tr>
      <w:tr w:rsidR="00484FB3" w14:paraId="7CBAD8E5" w14:textId="77777777" w:rsidTr="004B1EBA">
        <w:tc>
          <w:tcPr>
            <w:tcW w:w="2245" w:type="dxa"/>
            <w:shd w:val="clear" w:color="auto" w:fill="D9D9D9" w:themeFill="background1" w:themeFillShade="D9"/>
          </w:tcPr>
          <w:p w14:paraId="6A5208E4" w14:textId="77777777" w:rsidR="00484FB3" w:rsidRDefault="00484FB3" w:rsidP="004B1EBA">
            <w:pPr>
              <w:pStyle w:val="Header"/>
            </w:pPr>
            <w:r>
              <w:t>Fax:</w:t>
            </w:r>
          </w:p>
        </w:tc>
        <w:tc>
          <w:tcPr>
            <w:tcW w:w="6840" w:type="dxa"/>
          </w:tcPr>
          <w:p w14:paraId="682C0B50" w14:textId="77777777" w:rsidR="00484FB3" w:rsidRDefault="00484FB3" w:rsidP="004B1EBA">
            <w:pPr>
              <w:pStyle w:val="TableParagraph"/>
            </w:pPr>
          </w:p>
        </w:tc>
      </w:tr>
    </w:tbl>
    <w:p w14:paraId="51FA1BBF" w14:textId="271FCB6B" w:rsidR="00DA3FC3" w:rsidRPr="00484FB3" w:rsidRDefault="00AF74A3" w:rsidP="00484FB3">
      <w:pPr>
        <w:pStyle w:val="BodyText"/>
      </w:pPr>
      <w:r w:rsidRPr="00484FB3">
        <w:t>As mentioned in the inorganics, organics, and radionuclides section, s</w:t>
      </w:r>
      <w:r w:rsidR="007B436B" w:rsidRPr="00484FB3">
        <w:t xml:space="preserve">amples collected by TCEQ </w:t>
      </w:r>
      <w:r w:rsidRPr="00484FB3">
        <w:t>contractors will be sent to a NELAP accredited compliance laboratory. The samples will be sent to either the Department of State Health Services (DSHS) or Lower Colorado River Authority (LCRA) for analysis, except for asbestos samples which are sent to Crisp Analytical. Information for these laboratories can be found below.</w:t>
      </w:r>
    </w:p>
    <w:tbl>
      <w:tblPr>
        <w:tblStyle w:val="TableGrid"/>
        <w:tblW w:w="0" w:type="auto"/>
        <w:tblLook w:val="04A0" w:firstRow="1" w:lastRow="0" w:firstColumn="1" w:lastColumn="0" w:noHBand="0" w:noVBand="1"/>
      </w:tblPr>
      <w:tblGrid>
        <w:gridCol w:w="3116"/>
        <w:gridCol w:w="3117"/>
        <w:gridCol w:w="3117"/>
      </w:tblGrid>
      <w:tr w:rsidR="00484FB3" w14:paraId="7FD23FCB" w14:textId="77777777" w:rsidTr="00484FB3">
        <w:tc>
          <w:tcPr>
            <w:tcW w:w="3116" w:type="dxa"/>
          </w:tcPr>
          <w:p w14:paraId="68FBB8DD" w14:textId="426D3F1D" w:rsidR="00484FB3" w:rsidRDefault="00484FB3" w:rsidP="00484FB3">
            <w:pPr>
              <w:pStyle w:val="Header"/>
            </w:pPr>
            <w:r w:rsidRPr="00B618CC">
              <w:t>Department of State Health Services</w:t>
            </w:r>
          </w:p>
        </w:tc>
        <w:tc>
          <w:tcPr>
            <w:tcW w:w="3117" w:type="dxa"/>
          </w:tcPr>
          <w:p w14:paraId="1BEFED0D" w14:textId="741B20AF" w:rsidR="00484FB3" w:rsidRDefault="00484FB3" w:rsidP="00484FB3">
            <w:pPr>
              <w:pStyle w:val="Header"/>
            </w:pPr>
            <w:r w:rsidRPr="00B618CC">
              <w:t>Lower Colorado River Authority</w:t>
            </w:r>
          </w:p>
        </w:tc>
        <w:tc>
          <w:tcPr>
            <w:tcW w:w="3117" w:type="dxa"/>
          </w:tcPr>
          <w:p w14:paraId="5E65BB60" w14:textId="4FC1E205" w:rsidR="00484FB3" w:rsidRDefault="00484FB3" w:rsidP="00484FB3">
            <w:pPr>
              <w:pStyle w:val="Header"/>
            </w:pPr>
            <w:r w:rsidRPr="00B618CC">
              <w:t>Crisp Analytical</w:t>
            </w:r>
          </w:p>
        </w:tc>
      </w:tr>
      <w:tr w:rsidR="00484FB3" w14:paraId="51CEEAEC" w14:textId="77777777" w:rsidTr="00484FB3">
        <w:tc>
          <w:tcPr>
            <w:tcW w:w="3116" w:type="dxa"/>
          </w:tcPr>
          <w:p w14:paraId="550C649D" w14:textId="77777777" w:rsidR="00484FB3" w:rsidRDefault="00484FB3" w:rsidP="00484FB3">
            <w:pPr>
              <w:pStyle w:val="TableParagraph"/>
            </w:pPr>
            <w:r>
              <w:t>Laboratory Services Section, MC 1947</w:t>
            </w:r>
          </w:p>
          <w:p w14:paraId="577CC5F5" w14:textId="77777777" w:rsidR="00484FB3" w:rsidRDefault="00484FB3" w:rsidP="00484FB3">
            <w:pPr>
              <w:pStyle w:val="TableParagraph"/>
            </w:pPr>
            <w:r>
              <w:t>1100 W. 49th Street</w:t>
            </w:r>
          </w:p>
          <w:p w14:paraId="3FE63A7E" w14:textId="68C3298F" w:rsidR="00484FB3" w:rsidRDefault="00484FB3" w:rsidP="00484FB3">
            <w:pPr>
              <w:pStyle w:val="TableParagraph"/>
            </w:pPr>
            <w:r>
              <w:t>Austin, TX 78756-3199</w:t>
            </w:r>
          </w:p>
        </w:tc>
        <w:tc>
          <w:tcPr>
            <w:tcW w:w="3117" w:type="dxa"/>
          </w:tcPr>
          <w:p w14:paraId="2504BEEF" w14:textId="77777777" w:rsidR="00484FB3" w:rsidRDefault="00484FB3" w:rsidP="00484FB3">
            <w:pPr>
              <w:pStyle w:val="TableParagraph"/>
            </w:pPr>
            <w:r>
              <w:t>Environmental Lab Services</w:t>
            </w:r>
          </w:p>
          <w:p w14:paraId="421D8D39" w14:textId="77777777" w:rsidR="00484FB3" w:rsidRDefault="00484FB3" w:rsidP="00484FB3">
            <w:pPr>
              <w:pStyle w:val="TableParagraph"/>
            </w:pPr>
            <w:r>
              <w:t>3505 Montopolis Drive</w:t>
            </w:r>
          </w:p>
          <w:p w14:paraId="7E5ED567" w14:textId="02BF989B" w:rsidR="00484FB3" w:rsidRDefault="00484FB3" w:rsidP="00484FB3">
            <w:pPr>
              <w:pStyle w:val="TableParagraph"/>
            </w:pPr>
            <w:r>
              <w:t>Austin, TX 78744</w:t>
            </w:r>
          </w:p>
        </w:tc>
        <w:tc>
          <w:tcPr>
            <w:tcW w:w="3117" w:type="dxa"/>
          </w:tcPr>
          <w:p w14:paraId="64397063" w14:textId="77777777" w:rsidR="00484FB3" w:rsidRDefault="00484FB3" w:rsidP="00484FB3">
            <w:pPr>
              <w:pStyle w:val="TableParagraph"/>
            </w:pPr>
            <w:r>
              <w:t>1929 Old Denton Road</w:t>
            </w:r>
          </w:p>
          <w:p w14:paraId="172DC443" w14:textId="0A99601B" w:rsidR="00484FB3" w:rsidRDefault="00484FB3" w:rsidP="00484FB3">
            <w:pPr>
              <w:pStyle w:val="TableParagraph"/>
            </w:pPr>
            <w:r>
              <w:t>Carrollton, TX 75007</w:t>
            </w:r>
          </w:p>
        </w:tc>
      </w:tr>
      <w:tr w:rsidR="00484FB3" w14:paraId="06656B62" w14:textId="77777777" w:rsidTr="00484FB3">
        <w:tc>
          <w:tcPr>
            <w:tcW w:w="3116" w:type="dxa"/>
          </w:tcPr>
          <w:p w14:paraId="78775B64" w14:textId="77777777" w:rsidR="00484FB3" w:rsidRDefault="00484FB3" w:rsidP="00484FB3">
            <w:pPr>
              <w:pStyle w:val="TableParagraph"/>
            </w:pPr>
            <w:r>
              <w:t>Phone: (512)776-7318</w:t>
            </w:r>
          </w:p>
          <w:p w14:paraId="0A173C80" w14:textId="15F9FE59" w:rsidR="00484FB3" w:rsidRDefault="00484FB3" w:rsidP="00484FB3">
            <w:pPr>
              <w:pStyle w:val="TableParagraph"/>
            </w:pPr>
            <w:r>
              <w:t>Fax: (512)776-7294</w:t>
            </w:r>
          </w:p>
        </w:tc>
        <w:tc>
          <w:tcPr>
            <w:tcW w:w="3117" w:type="dxa"/>
          </w:tcPr>
          <w:p w14:paraId="3878A908" w14:textId="4C0F4424" w:rsidR="00484FB3" w:rsidRDefault="00484FB3" w:rsidP="00484FB3">
            <w:pPr>
              <w:pStyle w:val="TableParagraph"/>
            </w:pPr>
            <w:r w:rsidRPr="00484FB3">
              <w:t>Phone: (512)730-6022</w:t>
            </w:r>
          </w:p>
        </w:tc>
        <w:tc>
          <w:tcPr>
            <w:tcW w:w="3117" w:type="dxa"/>
          </w:tcPr>
          <w:p w14:paraId="50A019AF" w14:textId="77777777" w:rsidR="00484FB3" w:rsidRDefault="00484FB3" w:rsidP="00484FB3">
            <w:pPr>
              <w:pStyle w:val="TableParagraph"/>
            </w:pPr>
            <w:r>
              <w:t>Phone: (972)242-2754</w:t>
            </w:r>
          </w:p>
          <w:p w14:paraId="07F96A08" w14:textId="29064244" w:rsidR="00484FB3" w:rsidRDefault="00484FB3" w:rsidP="00484FB3">
            <w:pPr>
              <w:pStyle w:val="TableParagraph"/>
            </w:pPr>
            <w:r>
              <w:t>Fax: (972)242-2798</w:t>
            </w:r>
          </w:p>
        </w:tc>
      </w:tr>
    </w:tbl>
    <w:p w14:paraId="7A4A2E95" w14:textId="77777777" w:rsidR="00AF74A3" w:rsidRPr="00E565EB" w:rsidRDefault="00AF74A3" w:rsidP="00FA16B8">
      <w:pPr>
        <w:pStyle w:val="BodyText"/>
      </w:pPr>
    </w:p>
    <w:sectPr w:rsidR="00AF74A3" w:rsidRPr="00E565EB" w:rsidSect="00180A94">
      <w:type w:val="continuous"/>
      <w:pgSz w:w="12240" w:h="15840"/>
      <w:pgMar w:top="1440" w:right="1440" w:bottom="1440" w:left="1440" w:header="0" w:footer="3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1105" w14:textId="77777777" w:rsidR="00C40210" w:rsidRDefault="00C40210">
      <w:r>
        <w:separator/>
      </w:r>
    </w:p>
  </w:endnote>
  <w:endnote w:type="continuationSeparator" w:id="0">
    <w:p w14:paraId="66612695" w14:textId="77777777" w:rsidR="00C40210" w:rsidRDefault="00C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0498" w14:textId="5B23D28F" w:rsidR="00196590" w:rsidRDefault="000C0C07" w:rsidP="0037135E">
    <w:pPr>
      <w:pStyle w:val="BodyText"/>
    </w:pPr>
    <w:r>
      <w:t>Revised 06/30/2022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C659" w14:textId="77777777" w:rsidR="00C40210" w:rsidRDefault="00C40210">
      <w:r>
        <w:separator/>
      </w:r>
    </w:p>
  </w:footnote>
  <w:footnote w:type="continuationSeparator" w:id="0">
    <w:p w14:paraId="72453B25" w14:textId="77777777" w:rsidR="00C40210" w:rsidRDefault="00C4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BE13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40F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E0A3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466E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BCF0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CB3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FCA7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A9F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C6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46C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564FE5"/>
    <w:multiLevelType w:val="hybridMultilevel"/>
    <w:tmpl w:val="8FDA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A4911"/>
    <w:multiLevelType w:val="hybridMultilevel"/>
    <w:tmpl w:val="A48E8E94"/>
    <w:lvl w:ilvl="0" w:tplc="47329B0C">
      <w:numFmt w:val="bullet"/>
      <w:lvlText w:val=""/>
      <w:lvlJc w:val="left"/>
      <w:pPr>
        <w:ind w:left="1659" w:hanging="360"/>
      </w:pPr>
      <w:rPr>
        <w:rFonts w:ascii="Symbol" w:eastAsia="Symbol" w:hAnsi="Symbol" w:cs="Symbol" w:hint="default"/>
        <w:b w:val="0"/>
        <w:bCs w:val="0"/>
        <w:i w:val="0"/>
        <w:iCs w:val="0"/>
        <w:w w:val="99"/>
        <w:sz w:val="20"/>
        <w:szCs w:val="20"/>
        <w:lang w:val="en-US" w:eastAsia="en-US" w:bidi="ar-SA"/>
      </w:rPr>
    </w:lvl>
    <w:lvl w:ilvl="1" w:tplc="9B326820">
      <w:numFmt w:val="bullet"/>
      <w:lvlText w:val="•"/>
      <w:lvlJc w:val="left"/>
      <w:pPr>
        <w:ind w:left="2554" w:hanging="360"/>
      </w:pPr>
      <w:rPr>
        <w:rFonts w:hint="default"/>
        <w:lang w:val="en-US" w:eastAsia="en-US" w:bidi="ar-SA"/>
      </w:rPr>
    </w:lvl>
    <w:lvl w:ilvl="2" w:tplc="185E5086">
      <w:numFmt w:val="bullet"/>
      <w:lvlText w:val="•"/>
      <w:lvlJc w:val="left"/>
      <w:pPr>
        <w:ind w:left="3448" w:hanging="360"/>
      </w:pPr>
      <w:rPr>
        <w:rFonts w:hint="default"/>
        <w:lang w:val="en-US" w:eastAsia="en-US" w:bidi="ar-SA"/>
      </w:rPr>
    </w:lvl>
    <w:lvl w:ilvl="3" w:tplc="79B6997A">
      <w:numFmt w:val="bullet"/>
      <w:lvlText w:val="•"/>
      <w:lvlJc w:val="left"/>
      <w:pPr>
        <w:ind w:left="4342" w:hanging="360"/>
      </w:pPr>
      <w:rPr>
        <w:rFonts w:hint="default"/>
        <w:lang w:val="en-US" w:eastAsia="en-US" w:bidi="ar-SA"/>
      </w:rPr>
    </w:lvl>
    <w:lvl w:ilvl="4" w:tplc="42BC9584">
      <w:numFmt w:val="bullet"/>
      <w:lvlText w:val="•"/>
      <w:lvlJc w:val="left"/>
      <w:pPr>
        <w:ind w:left="5236" w:hanging="360"/>
      </w:pPr>
      <w:rPr>
        <w:rFonts w:hint="default"/>
        <w:lang w:val="en-US" w:eastAsia="en-US" w:bidi="ar-SA"/>
      </w:rPr>
    </w:lvl>
    <w:lvl w:ilvl="5" w:tplc="97E6E04E">
      <w:numFmt w:val="bullet"/>
      <w:lvlText w:val="•"/>
      <w:lvlJc w:val="left"/>
      <w:pPr>
        <w:ind w:left="6130" w:hanging="360"/>
      </w:pPr>
      <w:rPr>
        <w:rFonts w:hint="default"/>
        <w:lang w:val="en-US" w:eastAsia="en-US" w:bidi="ar-SA"/>
      </w:rPr>
    </w:lvl>
    <w:lvl w:ilvl="6" w:tplc="BEEAD060">
      <w:numFmt w:val="bullet"/>
      <w:lvlText w:val="•"/>
      <w:lvlJc w:val="left"/>
      <w:pPr>
        <w:ind w:left="7024" w:hanging="360"/>
      </w:pPr>
      <w:rPr>
        <w:rFonts w:hint="default"/>
        <w:lang w:val="en-US" w:eastAsia="en-US" w:bidi="ar-SA"/>
      </w:rPr>
    </w:lvl>
    <w:lvl w:ilvl="7" w:tplc="99109DB2">
      <w:numFmt w:val="bullet"/>
      <w:lvlText w:val="•"/>
      <w:lvlJc w:val="left"/>
      <w:pPr>
        <w:ind w:left="7918" w:hanging="360"/>
      </w:pPr>
      <w:rPr>
        <w:rFonts w:hint="default"/>
        <w:lang w:val="en-US" w:eastAsia="en-US" w:bidi="ar-SA"/>
      </w:rPr>
    </w:lvl>
    <w:lvl w:ilvl="8" w:tplc="59EC18DC">
      <w:numFmt w:val="bullet"/>
      <w:lvlText w:val="•"/>
      <w:lvlJc w:val="left"/>
      <w:pPr>
        <w:ind w:left="8812" w:hanging="360"/>
      </w:pPr>
      <w:rPr>
        <w:rFonts w:hint="default"/>
        <w:lang w:val="en-US" w:eastAsia="en-US" w:bidi="ar-SA"/>
      </w:rPr>
    </w:lvl>
  </w:abstractNum>
  <w:abstractNum w:abstractNumId="12" w15:restartNumberingAfterBreak="0">
    <w:nsid w:val="470E2809"/>
    <w:multiLevelType w:val="hybridMultilevel"/>
    <w:tmpl w:val="4DA89EDA"/>
    <w:lvl w:ilvl="0" w:tplc="737E0A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CB3358"/>
    <w:multiLevelType w:val="hybridMultilevel"/>
    <w:tmpl w:val="E760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2C"/>
    <w:rsid w:val="000277FD"/>
    <w:rsid w:val="00032A95"/>
    <w:rsid w:val="00035E4E"/>
    <w:rsid w:val="00041FE0"/>
    <w:rsid w:val="00045CB4"/>
    <w:rsid w:val="00070A88"/>
    <w:rsid w:val="00071611"/>
    <w:rsid w:val="000753C9"/>
    <w:rsid w:val="00083934"/>
    <w:rsid w:val="0008562B"/>
    <w:rsid w:val="00093C29"/>
    <w:rsid w:val="000C0C07"/>
    <w:rsid w:val="000C121A"/>
    <w:rsid w:val="000D30B7"/>
    <w:rsid w:val="000E4127"/>
    <w:rsid w:val="001009B3"/>
    <w:rsid w:val="00101042"/>
    <w:rsid w:val="00104D14"/>
    <w:rsid w:val="00106691"/>
    <w:rsid w:val="001315CC"/>
    <w:rsid w:val="00150D02"/>
    <w:rsid w:val="00160D82"/>
    <w:rsid w:val="00170F37"/>
    <w:rsid w:val="00180A94"/>
    <w:rsid w:val="00182B2E"/>
    <w:rsid w:val="00185788"/>
    <w:rsid w:val="0018631B"/>
    <w:rsid w:val="00186CF2"/>
    <w:rsid w:val="00193D6E"/>
    <w:rsid w:val="0019454D"/>
    <w:rsid w:val="00194D91"/>
    <w:rsid w:val="00196590"/>
    <w:rsid w:val="0019754F"/>
    <w:rsid w:val="001A795E"/>
    <w:rsid w:val="001B0412"/>
    <w:rsid w:val="001C4DCF"/>
    <w:rsid w:val="001F2186"/>
    <w:rsid w:val="00210775"/>
    <w:rsid w:val="00217886"/>
    <w:rsid w:val="00224718"/>
    <w:rsid w:val="002340B7"/>
    <w:rsid w:val="0023490C"/>
    <w:rsid w:val="00244DCB"/>
    <w:rsid w:val="00275870"/>
    <w:rsid w:val="002C0E49"/>
    <w:rsid w:val="002D5685"/>
    <w:rsid w:val="002D6CEB"/>
    <w:rsid w:val="002E0B3C"/>
    <w:rsid w:val="002E24F2"/>
    <w:rsid w:val="002F07B0"/>
    <w:rsid w:val="002F2CDD"/>
    <w:rsid w:val="002F3ED1"/>
    <w:rsid w:val="003063D1"/>
    <w:rsid w:val="00307BBB"/>
    <w:rsid w:val="00330233"/>
    <w:rsid w:val="00337D9C"/>
    <w:rsid w:val="00344892"/>
    <w:rsid w:val="00352326"/>
    <w:rsid w:val="003532C3"/>
    <w:rsid w:val="00361E02"/>
    <w:rsid w:val="00366286"/>
    <w:rsid w:val="0037135E"/>
    <w:rsid w:val="00374C2F"/>
    <w:rsid w:val="00376AB3"/>
    <w:rsid w:val="00380508"/>
    <w:rsid w:val="0038511F"/>
    <w:rsid w:val="0038753B"/>
    <w:rsid w:val="00393105"/>
    <w:rsid w:val="00393F7A"/>
    <w:rsid w:val="003B21B8"/>
    <w:rsid w:val="003C6FE9"/>
    <w:rsid w:val="003E61C2"/>
    <w:rsid w:val="003F006D"/>
    <w:rsid w:val="003F25BF"/>
    <w:rsid w:val="004016E3"/>
    <w:rsid w:val="00412707"/>
    <w:rsid w:val="00417286"/>
    <w:rsid w:val="0042017B"/>
    <w:rsid w:val="00421EF1"/>
    <w:rsid w:val="00427F71"/>
    <w:rsid w:val="004340BD"/>
    <w:rsid w:val="0044209E"/>
    <w:rsid w:val="0047032B"/>
    <w:rsid w:val="004723C5"/>
    <w:rsid w:val="00474FB0"/>
    <w:rsid w:val="00484FB3"/>
    <w:rsid w:val="004A3DAC"/>
    <w:rsid w:val="004A7FB7"/>
    <w:rsid w:val="004B2E41"/>
    <w:rsid w:val="004B393F"/>
    <w:rsid w:val="004D271E"/>
    <w:rsid w:val="004E1606"/>
    <w:rsid w:val="004E2AD4"/>
    <w:rsid w:val="004E530C"/>
    <w:rsid w:val="004E575B"/>
    <w:rsid w:val="005016B1"/>
    <w:rsid w:val="00505166"/>
    <w:rsid w:val="0051375A"/>
    <w:rsid w:val="00516F69"/>
    <w:rsid w:val="005336C5"/>
    <w:rsid w:val="0053470D"/>
    <w:rsid w:val="005364AA"/>
    <w:rsid w:val="0054077A"/>
    <w:rsid w:val="00544C84"/>
    <w:rsid w:val="00544FD7"/>
    <w:rsid w:val="005611B6"/>
    <w:rsid w:val="005640A6"/>
    <w:rsid w:val="005667A0"/>
    <w:rsid w:val="00571721"/>
    <w:rsid w:val="00574EAA"/>
    <w:rsid w:val="00594E49"/>
    <w:rsid w:val="0059673A"/>
    <w:rsid w:val="005B104C"/>
    <w:rsid w:val="005C3F49"/>
    <w:rsid w:val="005C43A3"/>
    <w:rsid w:val="005E0DF7"/>
    <w:rsid w:val="005F03E6"/>
    <w:rsid w:val="005F2870"/>
    <w:rsid w:val="005F2D48"/>
    <w:rsid w:val="006074BF"/>
    <w:rsid w:val="0061022C"/>
    <w:rsid w:val="00627485"/>
    <w:rsid w:val="00630859"/>
    <w:rsid w:val="006315ED"/>
    <w:rsid w:val="00633DDF"/>
    <w:rsid w:val="00635143"/>
    <w:rsid w:val="0063704C"/>
    <w:rsid w:val="00637E03"/>
    <w:rsid w:val="00662303"/>
    <w:rsid w:val="0067416C"/>
    <w:rsid w:val="00695DAC"/>
    <w:rsid w:val="006C0905"/>
    <w:rsid w:val="006D0161"/>
    <w:rsid w:val="006D2810"/>
    <w:rsid w:val="006E2E24"/>
    <w:rsid w:val="006E68FC"/>
    <w:rsid w:val="006F4504"/>
    <w:rsid w:val="00704163"/>
    <w:rsid w:val="007058E6"/>
    <w:rsid w:val="00712F87"/>
    <w:rsid w:val="00715413"/>
    <w:rsid w:val="0071668A"/>
    <w:rsid w:val="00720F89"/>
    <w:rsid w:val="00727FC7"/>
    <w:rsid w:val="00740760"/>
    <w:rsid w:val="0074490B"/>
    <w:rsid w:val="007549D9"/>
    <w:rsid w:val="00771744"/>
    <w:rsid w:val="00776DBE"/>
    <w:rsid w:val="00780AF2"/>
    <w:rsid w:val="007954BE"/>
    <w:rsid w:val="007966AB"/>
    <w:rsid w:val="007B436B"/>
    <w:rsid w:val="007B523A"/>
    <w:rsid w:val="007B6417"/>
    <w:rsid w:val="007C058A"/>
    <w:rsid w:val="007D73A6"/>
    <w:rsid w:val="007E2272"/>
    <w:rsid w:val="007E6D7C"/>
    <w:rsid w:val="007F0DDA"/>
    <w:rsid w:val="00814AFE"/>
    <w:rsid w:val="008272BD"/>
    <w:rsid w:val="008378C1"/>
    <w:rsid w:val="00854728"/>
    <w:rsid w:val="00855D2C"/>
    <w:rsid w:val="00867FB4"/>
    <w:rsid w:val="00875A78"/>
    <w:rsid w:val="0088578B"/>
    <w:rsid w:val="008862B8"/>
    <w:rsid w:val="008959A7"/>
    <w:rsid w:val="008A1FF9"/>
    <w:rsid w:val="008A7F1D"/>
    <w:rsid w:val="008D3FA1"/>
    <w:rsid w:val="008E505F"/>
    <w:rsid w:val="008E7A3C"/>
    <w:rsid w:val="008F2407"/>
    <w:rsid w:val="008F68B3"/>
    <w:rsid w:val="0091681D"/>
    <w:rsid w:val="00917170"/>
    <w:rsid w:val="009218BF"/>
    <w:rsid w:val="00924899"/>
    <w:rsid w:val="00952824"/>
    <w:rsid w:val="00955667"/>
    <w:rsid w:val="009639AF"/>
    <w:rsid w:val="0097079D"/>
    <w:rsid w:val="00982926"/>
    <w:rsid w:val="009A4F48"/>
    <w:rsid w:val="009A6522"/>
    <w:rsid w:val="009B31DB"/>
    <w:rsid w:val="009D3A8A"/>
    <w:rsid w:val="009E23FD"/>
    <w:rsid w:val="009E37BB"/>
    <w:rsid w:val="009E6741"/>
    <w:rsid w:val="009E7089"/>
    <w:rsid w:val="009E7804"/>
    <w:rsid w:val="009F7112"/>
    <w:rsid w:val="00A0414D"/>
    <w:rsid w:val="00A0690F"/>
    <w:rsid w:val="00A10247"/>
    <w:rsid w:val="00A1587A"/>
    <w:rsid w:val="00A243E8"/>
    <w:rsid w:val="00A44917"/>
    <w:rsid w:val="00A54317"/>
    <w:rsid w:val="00A54333"/>
    <w:rsid w:val="00A679F8"/>
    <w:rsid w:val="00A72F4A"/>
    <w:rsid w:val="00A7782C"/>
    <w:rsid w:val="00A8468A"/>
    <w:rsid w:val="00A920E5"/>
    <w:rsid w:val="00A93D4E"/>
    <w:rsid w:val="00A95F19"/>
    <w:rsid w:val="00AA4292"/>
    <w:rsid w:val="00AA4F6B"/>
    <w:rsid w:val="00AB3801"/>
    <w:rsid w:val="00AB4932"/>
    <w:rsid w:val="00AC59B2"/>
    <w:rsid w:val="00AC7519"/>
    <w:rsid w:val="00AD4613"/>
    <w:rsid w:val="00AE02A1"/>
    <w:rsid w:val="00AF7205"/>
    <w:rsid w:val="00AF74A3"/>
    <w:rsid w:val="00B0636B"/>
    <w:rsid w:val="00B11B75"/>
    <w:rsid w:val="00B2057F"/>
    <w:rsid w:val="00B35454"/>
    <w:rsid w:val="00B35693"/>
    <w:rsid w:val="00B360DB"/>
    <w:rsid w:val="00B50468"/>
    <w:rsid w:val="00B54FEE"/>
    <w:rsid w:val="00B624F2"/>
    <w:rsid w:val="00B652CE"/>
    <w:rsid w:val="00B706ED"/>
    <w:rsid w:val="00B71117"/>
    <w:rsid w:val="00B72013"/>
    <w:rsid w:val="00B75340"/>
    <w:rsid w:val="00B82D4C"/>
    <w:rsid w:val="00B85AF9"/>
    <w:rsid w:val="00B96D34"/>
    <w:rsid w:val="00BA0486"/>
    <w:rsid w:val="00BA35F9"/>
    <w:rsid w:val="00BC6069"/>
    <w:rsid w:val="00BD20C1"/>
    <w:rsid w:val="00BD24BC"/>
    <w:rsid w:val="00BD479D"/>
    <w:rsid w:val="00BD6577"/>
    <w:rsid w:val="00BE3D8E"/>
    <w:rsid w:val="00BE4A85"/>
    <w:rsid w:val="00C04924"/>
    <w:rsid w:val="00C1214F"/>
    <w:rsid w:val="00C23CA7"/>
    <w:rsid w:val="00C24BA7"/>
    <w:rsid w:val="00C32B82"/>
    <w:rsid w:val="00C40210"/>
    <w:rsid w:val="00C40B6F"/>
    <w:rsid w:val="00C434AF"/>
    <w:rsid w:val="00C53499"/>
    <w:rsid w:val="00C80349"/>
    <w:rsid w:val="00C82192"/>
    <w:rsid w:val="00C8661F"/>
    <w:rsid w:val="00C86BE6"/>
    <w:rsid w:val="00CA2CC1"/>
    <w:rsid w:val="00CA608F"/>
    <w:rsid w:val="00CA69A5"/>
    <w:rsid w:val="00CB389E"/>
    <w:rsid w:val="00CC2BD2"/>
    <w:rsid w:val="00CD49AE"/>
    <w:rsid w:val="00CD5BBF"/>
    <w:rsid w:val="00CD6371"/>
    <w:rsid w:val="00CE4AFB"/>
    <w:rsid w:val="00CF39D4"/>
    <w:rsid w:val="00CF4993"/>
    <w:rsid w:val="00D02F2B"/>
    <w:rsid w:val="00D2012C"/>
    <w:rsid w:val="00D23DC6"/>
    <w:rsid w:val="00D24AE7"/>
    <w:rsid w:val="00D3058C"/>
    <w:rsid w:val="00D317C2"/>
    <w:rsid w:val="00D34A8D"/>
    <w:rsid w:val="00D43182"/>
    <w:rsid w:val="00D52CCF"/>
    <w:rsid w:val="00D5318C"/>
    <w:rsid w:val="00D71673"/>
    <w:rsid w:val="00D72994"/>
    <w:rsid w:val="00D804B8"/>
    <w:rsid w:val="00D8088C"/>
    <w:rsid w:val="00DA3FC3"/>
    <w:rsid w:val="00DA5ADE"/>
    <w:rsid w:val="00DA7752"/>
    <w:rsid w:val="00DB308C"/>
    <w:rsid w:val="00DB56EA"/>
    <w:rsid w:val="00DC162B"/>
    <w:rsid w:val="00DF00E9"/>
    <w:rsid w:val="00DF2E7A"/>
    <w:rsid w:val="00DF5D4B"/>
    <w:rsid w:val="00E2210F"/>
    <w:rsid w:val="00E23BC4"/>
    <w:rsid w:val="00E23D06"/>
    <w:rsid w:val="00E347AC"/>
    <w:rsid w:val="00E565EB"/>
    <w:rsid w:val="00E634CF"/>
    <w:rsid w:val="00E74E72"/>
    <w:rsid w:val="00E87882"/>
    <w:rsid w:val="00E9671F"/>
    <w:rsid w:val="00EA00A9"/>
    <w:rsid w:val="00EB0538"/>
    <w:rsid w:val="00EB59CB"/>
    <w:rsid w:val="00EC15E9"/>
    <w:rsid w:val="00ED3DFE"/>
    <w:rsid w:val="00ED4EBC"/>
    <w:rsid w:val="00EE1550"/>
    <w:rsid w:val="00EE15D8"/>
    <w:rsid w:val="00F11815"/>
    <w:rsid w:val="00F13B46"/>
    <w:rsid w:val="00F15498"/>
    <w:rsid w:val="00F20560"/>
    <w:rsid w:val="00F206D7"/>
    <w:rsid w:val="00F32BC6"/>
    <w:rsid w:val="00F44BD9"/>
    <w:rsid w:val="00F50B31"/>
    <w:rsid w:val="00F530B7"/>
    <w:rsid w:val="00F63F87"/>
    <w:rsid w:val="00F70D5E"/>
    <w:rsid w:val="00F70DA9"/>
    <w:rsid w:val="00F77AAF"/>
    <w:rsid w:val="00F863EF"/>
    <w:rsid w:val="00F92905"/>
    <w:rsid w:val="00F9350E"/>
    <w:rsid w:val="00FA0D45"/>
    <w:rsid w:val="00FA10FB"/>
    <w:rsid w:val="00FA16B8"/>
    <w:rsid w:val="00FA5396"/>
    <w:rsid w:val="00FB4504"/>
    <w:rsid w:val="00FB7C02"/>
    <w:rsid w:val="00FD0975"/>
    <w:rsid w:val="00FD64AA"/>
    <w:rsid w:val="00FD6A07"/>
    <w:rsid w:val="00FD6EEF"/>
    <w:rsid w:val="00FE306C"/>
    <w:rsid w:val="00FE54E3"/>
    <w:rsid w:val="00FE79CA"/>
    <w:rsid w:val="00FE7A6C"/>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32F0C"/>
  <w15:docId w15:val="{64513D4D-60B9-48D1-A0A8-08574FCB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B8"/>
    <w:rPr>
      <w:rFonts w:ascii="Lucida Bright" w:eastAsia="Lucida Bright" w:hAnsi="Lucida Bright" w:cs="Lucida Bright"/>
    </w:rPr>
  </w:style>
  <w:style w:type="paragraph" w:styleId="Heading1">
    <w:name w:val="heading 1"/>
    <w:basedOn w:val="Normal"/>
    <w:uiPriority w:val="9"/>
    <w:qFormat/>
    <w:rsid w:val="00180A94"/>
    <w:pPr>
      <w:spacing w:before="240" w:after="120"/>
      <w:outlineLvl w:val="0"/>
    </w:pPr>
    <w:rPr>
      <w:rFonts w:ascii="Verdana" w:eastAsia="Verdana" w:hAnsi="Verdana" w:cs="Verdana"/>
      <w:b/>
      <w:bCs/>
      <w:sz w:val="32"/>
      <w:szCs w:val="32"/>
    </w:rPr>
  </w:style>
  <w:style w:type="paragraph" w:styleId="Heading2">
    <w:name w:val="heading 2"/>
    <w:basedOn w:val="Normal"/>
    <w:uiPriority w:val="9"/>
    <w:unhideWhenUsed/>
    <w:qFormat/>
    <w:rsid w:val="006C0905"/>
    <w:pPr>
      <w:spacing w:before="240" w:after="120"/>
      <w:outlineLvl w:val="1"/>
    </w:pPr>
    <w:rPr>
      <w:rFonts w:ascii="Verdana" w:eastAsia="Verdana" w:hAnsi="Verdana" w:cs="Verdana"/>
      <w:b/>
      <w:bCs/>
      <w:sz w:val="28"/>
      <w:szCs w:val="28"/>
    </w:rPr>
  </w:style>
  <w:style w:type="paragraph" w:styleId="Heading3">
    <w:name w:val="heading 3"/>
    <w:basedOn w:val="Normal"/>
    <w:next w:val="Normal"/>
    <w:link w:val="Heading3Char"/>
    <w:uiPriority w:val="9"/>
    <w:unhideWhenUsed/>
    <w:qFormat/>
    <w:rsid w:val="00E23D06"/>
    <w:pPr>
      <w:keepNext/>
      <w:keepLines/>
      <w:spacing w:before="240" w:after="120"/>
      <w:jc w:val="center"/>
      <w:outlineLvl w:val="2"/>
    </w:pPr>
    <w:rPr>
      <w:rFonts w:ascii="Verdana" w:eastAsiaTheme="majorEastAsia" w:hAnsi="Verdana" w:cstheme="majorBidi"/>
      <w:b/>
      <w:sz w:val="28"/>
      <w:szCs w:val="24"/>
    </w:rPr>
  </w:style>
  <w:style w:type="paragraph" w:styleId="Heading4">
    <w:name w:val="heading 4"/>
    <w:basedOn w:val="Normal"/>
    <w:next w:val="Normal"/>
    <w:link w:val="Heading4Char"/>
    <w:uiPriority w:val="9"/>
    <w:unhideWhenUsed/>
    <w:qFormat/>
    <w:rsid w:val="002D6CEB"/>
    <w:pPr>
      <w:keepNext/>
      <w:keepLines/>
      <w:spacing w:before="240" w:after="120"/>
      <w:outlineLvl w:val="3"/>
    </w:pPr>
    <w:rPr>
      <w:rFonts w:ascii="Verdana" w:eastAsiaTheme="majorEastAsia" w:hAnsi="Verdana" w:cstheme="majorBidi"/>
      <w:b/>
      <w:iCs/>
      <w:sz w:val="24"/>
    </w:rPr>
  </w:style>
  <w:style w:type="paragraph" w:styleId="Heading5">
    <w:name w:val="heading 5"/>
    <w:basedOn w:val="Normal"/>
    <w:next w:val="Normal"/>
    <w:link w:val="Heading5Char"/>
    <w:uiPriority w:val="9"/>
    <w:unhideWhenUsed/>
    <w:qFormat/>
    <w:rsid w:val="002D6CEB"/>
    <w:pPr>
      <w:keepNext/>
      <w:keepLines/>
      <w:spacing w:before="40"/>
      <w:outlineLvl w:val="4"/>
    </w:pPr>
    <w:rPr>
      <w:rFonts w:ascii="Verdana" w:eastAsiaTheme="majorEastAsia" w:hAnsi="Verdan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6CEB"/>
    <w:pPr>
      <w:spacing w:before="120" w:after="120"/>
    </w:pPr>
    <w:rPr>
      <w:sz w:val="20"/>
      <w:szCs w:val="20"/>
    </w:rPr>
  </w:style>
  <w:style w:type="paragraph" w:styleId="Title">
    <w:name w:val="Title"/>
    <w:basedOn w:val="Normal"/>
    <w:uiPriority w:val="10"/>
    <w:qFormat/>
    <w:pPr>
      <w:spacing w:before="100"/>
      <w:ind w:left="557"/>
    </w:pPr>
    <w:rPr>
      <w:rFonts w:ascii="Verdana" w:eastAsia="Verdana" w:hAnsi="Verdana" w:cs="Verdana"/>
      <w:b/>
      <w:bCs/>
      <w:sz w:val="36"/>
      <w:szCs w:val="36"/>
    </w:rPr>
  </w:style>
  <w:style w:type="paragraph" w:styleId="ListParagraph">
    <w:name w:val="List Paragraph"/>
    <w:basedOn w:val="Normal"/>
    <w:uiPriority w:val="1"/>
    <w:qFormat/>
    <w:pPr>
      <w:spacing w:before="57"/>
      <w:ind w:left="1659" w:hanging="361"/>
    </w:pPr>
  </w:style>
  <w:style w:type="paragraph" w:customStyle="1" w:styleId="TableParagraph">
    <w:name w:val="Table Paragraph"/>
    <w:basedOn w:val="BodyText"/>
    <w:uiPriority w:val="1"/>
    <w:qFormat/>
    <w:rsid w:val="00484FB3"/>
    <w:pPr>
      <w:spacing w:before="60" w:after="60"/>
      <w:ind w:left="14"/>
    </w:pPr>
  </w:style>
  <w:style w:type="character" w:styleId="Hyperlink">
    <w:name w:val="Hyperlink"/>
    <w:basedOn w:val="DefaultParagraphFont"/>
    <w:uiPriority w:val="99"/>
    <w:unhideWhenUsed/>
    <w:rsid w:val="00AB3801"/>
    <w:rPr>
      <w:color w:val="0000FF" w:themeColor="hyperlink"/>
      <w:u w:val="single"/>
    </w:rPr>
  </w:style>
  <w:style w:type="character" w:styleId="UnresolvedMention">
    <w:name w:val="Unresolved Mention"/>
    <w:basedOn w:val="DefaultParagraphFont"/>
    <w:uiPriority w:val="99"/>
    <w:semiHidden/>
    <w:unhideWhenUsed/>
    <w:rsid w:val="00AB3801"/>
    <w:rPr>
      <w:color w:val="605E5C"/>
      <w:shd w:val="clear" w:color="auto" w:fill="E1DFDD"/>
    </w:rPr>
  </w:style>
  <w:style w:type="character" w:styleId="FollowedHyperlink">
    <w:name w:val="FollowedHyperlink"/>
    <w:basedOn w:val="DefaultParagraphFont"/>
    <w:uiPriority w:val="99"/>
    <w:semiHidden/>
    <w:unhideWhenUsed/>
    <w:rsid w:val="00185788"/>
    <w:rPr>
      <w:color w:val="800080" w:themeColor="followedHyperlink"/>
      <w:u w:val="single"/>
    </w:rPr>
  </w:style>
  <w:style w:type="character" w:styleId="Emphasis">
    <w:name w:val="Emphasis"/>
    <w:basedOn w:val="DefaultParagraphFont"/>
    <w:uiPriority w:val="20"/>
    <w:qFormat/>
    <w:rsid w:val="000277FD"/>
    <w:rPr>
      <w:i/>
      <w:iCs/>
    </w:rPr>
  </w:style>
  <w:style w:type="character" w:styleId="IntenseEmphasis">
    <w:name w:val="Intense Emphasis"/>
    <w:basedOn w:val="DefaultParagraphFont"/>
    <w:uiPriority w:val="21"/>
    <w:qFormat/>
    <w:rsid w:val="000277FD"/>
    <w:rPr>
      <w:i/>
      <w:iCs/>
      <w:color w:val="4F81BD" w:themeColor="accent1"/>
    </w:rPr>
  </w:style>
  <w:style w:type="paragraph" w:styleId="Subtitle">
    <w:name w:val="Subtitle"/>
    <w:basedOn w:val="Normal"/>
    <w:next w:val="Normal"/>
    <w:link w:val="SubtitleChar"/>
    <w:uiPriority w:val="11"/>
    <w:qFormat/>
    <w:rsid w:val="000277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277F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E23D06"/>
    <w:rPr>
      <w:rFonts w:ascii="Verdana" w:eastAsiaTheme="majorEastAsia" w:hAnsi="Verdana" w:cstheme="majorBidi"/>
      <w:b/>
      <w:sz w:val="28"/>
      <w:szCs w:val="24"/>
    </w:rPr>
  </w:style>
  <w:style w:type="paragraph" w:styleId="Header">
    <w:name w:val="header"/>
    <w:basedOn w:val="Normal"/>
    <w:link w:val="HeaderChar"/>
    <w:uiPriority w:val="99"/>
    <w:unhideWhenUsed/>
    <w:rsid w:val="002E0B3C"/>
    <w:pPr>
      <w:tabs>
        <w:tab w:val="center" w:pos="4680"/>
        <w:tab w:val="right" w:pos="9360"/>
      </w:tabs>
      <w:spacing w:before="120" w:after="120"/>
      <w:jc w:val="center"/>
    </w:pPr>
    <w:rPr>
      <w:b/>
    </w:rPr>
  </w:style>
  <w:style w:type="character" w:customStyle="1" w:styleId="HeaderChar">
    <w:name w:val="Header Char"/>
    <w:basedOn w:val="DefaultParagraphFont"/>
    <w:link w:val="Header"/>
    <w:uiPriority w:val="99"/>
    <w:rsid w:val="002E0B3C"/>
    <w:rPr>
      <w:rFonts w:ascii="Lucida Bright" w:eastAsia="Lucida Bright" w:hAnsi="Lucida Bright" w:cs="Lucida Bright"/>
      <w:b/>
    </w:rPr>
  </w:style>
  <w:style w:type="paragraph" w:styleId="Footer">
    <w:name w:val="footer"/>
    <w:basedOn w:val="Normal"/>
    <w:link w:val="FooterChar"/>
    <w:uiPriority w:val="99"/>
    <w:unhideWhenUsed/>
    <w:rsid w:val="0053470D"/>
    <w:pPr>
      <w:tabs>
        <w:tab w:val="center" w:pos="4680"/>
        <w:tab w:val="right" w:pos="9360"/>
      </w:tabs>
    </w:pPr>
  </w:style>
  <w:style w:type="character" w:customStyle="1" w:styleId="FooterChar">
    <w:name w:val="Footer Char"/>
    <w:basedOn w:val="DefaultParagraphFont"/>
    <w:link w:val="Footer"/>
    <w:uiPriority w:val="99"/>
    <w:rsid w:val="0053470D"/>
    <w:rPr>
      <w:rFonts w:ascii="Lucida Bright" w:eastAsia="Lucida Bright" w:hAnsi="Lucida Bright" w:cs="Lucida Bright"/>
    </w:rPr>
  </w:style>
  <w:style w:type="table" w:styleId="TableGrid">
    <w:name w:val="Table Grid"/>
    <w:basedOn w:val="TableNormal"/>
    <w:uiPriority w:val="39"/>
    <w:rsid w:val="00AF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C32B8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FD6A0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4Char">
    <w:name w:val="Heading 4 Char"/>
    <w:basedOn w:val="DefaultParagraphFont"/>
    <w:link w:val="Heading4"/>
    <w:uiPriority w:val="9"/>
    <w:rsid w:val="002D6CEB"/>
    <w:rPr>
      <w:rFonts w:ascii="Verdana" w:eastAsiaTheme="majorEastAsia" w:hAnsi="Verdana" w:cstheme="majorBidi"/>
      <w:b/>
      <w:iCs/>
      <w:sz w:val="24"/>
    </w:rPr>
  </w:style>
  <w:style w:type="table" w:styleId="GridTable1Light">
    <w:name w:val="Grid Table 1 Light"/>
    <w:basedOn w:val="TableNormal"/>
    <w:uiPriority w:val="46"/>
    <w:rsid w:val="00EB59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205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205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97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9D"/>
    <w:rPr>
      <w:rFonts w:ascii="Segoe UI" w:eastAsia="Lucida Bright" w:hAnsi="Segoe UI" w:cs="Segoe UI"/>
      <w:sz w:val="18"/>
      <w:szCs w:val="18"/>
    </w:rPr>
  </w:style>
  <w:style w:type="table" w:styleId="TableGridLight">
    <w:name w:val="Grid Table Light"/>
    <w:basedOn w:val="TableNormal"/>
    <w:uiPriority w:val="40"/>
    <w:rsid w:val="00E634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7135E"/>
    <w:rPr>
      <w:b/>
      <w:bCs/>
    </w:rPr>
  </w:style>
  <w:style w:type="character" w:customStyle="1" w:styleId="Heading5Char">
    <w:name w:val="Heading 5 Char"/>
    <w:basedOn w:val="DefaultParagraphFont"/>
    <w:link w:val="Heading5"/>
    <w:uiPriority w:val="9"/>
    <w:rsid w:val="002D6CEB"/>
    <w:rPr>
      <w:rFonts w:ascii="Verdana" w:eastAsiaTheme="majorEastAsia" w:hAnsi="Verdana" w:cstheme="majorBidi"/>
      <w:b/>
      <w:sz w:val="24"/>
    </w:rPr>
  </w:style>
  <w:style w:type="character" w:customStyle="1" w:styleId="BodyTextChar">
    <w:name w:val="Body Text Char"/>
    <w:basedOn w:val="DefaultParagraphFont"/>
    <w:link w:val="BodyText"/>
    <w:uiPriority w:val="1"/>
    <w:rsid w:val="002D6CEB"/>
    <w:rPr>
      <w:rFonts w:ascii="Lucida Bright" w:eastAsia="Lucida Bright" w:hAnsi="Lucida Bright" w:cs="Lucida Br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1413">
      <w:bodyDiv w:val="1"/>
      <w:marLeft w:val="0"/>
      <w:marRight w:val="0"/>
      <w:marTop w:val="0"/>
      <w:marBottom w:val="0"/>
      <w:divBdr>
        <w:top w:val="none" w:sz="0" w:space="0" w:color="auto"/>
        <w:left w:val="none" w:sz="0" w:space="0" w:color="auto"/>
        <w:bottom w:val="none" w:sz="0" w:space="0" w:color="auto"/>
        <w:right w:val="none" w:sz="0" w:space="0" w:color="auto"/>
      </w:divBdr>
    </w:div>
    <w:div w:id="106679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eq.texas.gov/rules/curren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SINVEN@tceq.texa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eq.texas.gov/agency/qa/env_lab_accredit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w2.tceq.texas.gov/DWW/" TargetMode="External"/><Relationship Id="rId5" Type="http://schemas.openxmlformats.org/officeDocument/2006/relationships/webSettings" Target="webSettings.xml"/><Relationship Id="rId15" Type="http://schemas.openxmlformats.org/officeDocument/2006/relationships/hyperlink" Target="mailto:PDWS@tceq.texas.gov" TargetMode="External"/><Relationship Id="rId10" Type="http://schemas.openxmlformats.org/officeDocument/2006/relationships/hyperlink" Target="mailto:PDWS@tceq.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ww2.tceq.texas.gov/D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E28E-5BB6-4544-AD12-91BE3CE6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TCEQ Sample Siting Plan Template</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Sample Siting Plan Template</dc:title>
  <dc:subject>TCEQ Sample Siting Plan Template</dc:subject>
  <dc:creator>TCEQ</dc:creator>
  <cp:keywords>RTCR Siting Plan</cp:keywords>
  <dc:description/>
  <cp:lastModifiedBy>Jaci Saldaña</cp:lastModifiedBy>
  <cp:revision>6</cp:revision>
  <dcterms:created xsi:type="dcterms:W3CDTF">2022-06-30T05:13:00Z</dcterms:created>
  <dcterms:modified xsi:type="dcterms:W3CDTF">2022-06-30T14:15:00Z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21 for Word</vt:lpwstr>
  </property>
  <property fmtid="{D5CDD505-2E9C-101B-9397-08002B2CF9AE}" pid="4" name="LastSaved">
    <vt:filetime>2021-10-07T00:00:00Z</vt:filetime>
  </property>
</Properties>
</file>