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CCEE" w14:textId="77777777" w:rsidR="00635C19" w:rsidRDefault="00635C19" w:rsidP="00635C19">
      <w:pPr>
        <w:pStyle w:val="BodyText"/>
        <w:spacing w:after="0"/>
        <w:jc w:val="center"/>
        <w:rPr>
          <w:b/>
          <w:szCs w:val="20"/>
        </w:rPr>
      </w:pPr>
      <w:bookmarkStart w:id="0" w:name="_GoBack"/>
      <w:bookmarkEnd w:id="0"/>
      <w:r w:rsidRPr="000A5BF5">
        <w:rPr>
          <w:b/>
          <w:szCs w:val="20"/>
        </w:rPr>
        <w:t>Mandatory Language for a Maximum Residual Disinfectant Level (MRDL) Violation</w:t>
      </w:r>
      <w:r>
        <w:rPr>
          <w:b/>
          <w:szCs w:val="20"/>
        </w:rPr>
        <w:t xml:space="preserve"> </w:t>
      </w:r>
    </w:p>
    <w:p w14:paraId="1CB6A912" w14:textId="77777777" w:rsidR="00635C19" w:rsidRPr="000A5BF5" w:rsidRDefault="00635C19" w:rsidP="00635C19">
      <w:pPr>
        <w:pStyle w:val="BodyText"/>
        <w:spacing w:after="0"/>
        <w:jc w:val="center"/>
        <w:rPr>
          <w:b/>
          <w:szCs w:val="20"/>
        </w:rPr>
      </w:pPr>
      <w:r w:rsidRPr="000A5BF5">
        <w:rPr>
          <w:b/>
          <w:szCs w:val="20"/>
        </w:rPr>
        <w:t>MRDL, ACUTE CHLORINE DIOXIDE</w:t>
      </w:r>
    </w:p>
    <w:p w14:paraId="2680CC84" w14:textId="77777777" w:rsidR="00635C19" w:rsidRPr="000A5BF5" w:rsidRDefault="00635C19" w:rsidP="00635C19">
      <w:pPr>
        <w:pStyle w:val="BodyText"/>
        <w:spacing w:after="0"/>
        <w:rPr>
          <w:szCs w:val="20"/>
        </w:rPr>
      </w:pPr>
    </w:p>
    <w:p w14:paraId="3632A78A" w14:textId="77777777" w:rsidR="00635C19" w:rsidRPr="0052406F" w:rsidRDefault="00635C19" w:rsidP="00635C19">
      <w:pPr>
        <w:pStyle w:val="BodyText"/>
        <w:spacing w:after="0"/>
        <w:rPr>
          <w:szCs w:val="20"/>
        </w:rPr>
      </w:pPr>
      <w:r>
        <w:rPr>
          <w:szCs w:val="20"/>
        </w:rPr>
        <w:t xml:space="preserve">You are receiving this notice due to a previously existing issue in your water system. </w:t>
      </w:r>
      <w:r w:rsidRPr="00635C19">
        <w:rPr>
          <w:b/>
          <w:bCs/>
          <w:szCs w:val="20"/>
        </w:rPr>
        <w:t>[PWS NAME]</w:t>
      </w:r>
      <w:r w:rsidRPr="00635C19">
        <w:rPr>
          <w:szCs w:val="20"/>
        </w:rPr>
        <w:t xml:space="preserve"> </w:t>
      </w:r>
      <w:r>
        <w:rPr>
          <w:szCs w:val="20"/>
        </w:rPr>
        <w:t xml:space="preserve">exceeded the Maximum Residual Disinfectant Level (MRDL) for chlorine dioxide, at the treatment facility, during the month of </w:t>
      </w:r>
      <w:r w:rsidRPr="00635C19">
        <w:rPr>
          <w:b/>
          <w:bCs/>
          <w:szCs w:val="20"/>
        </w:rPr>
        <w:t>Month Year</w:t>
      </w:r>
      <w:r>
        <w:rPr>
          <w:szCs w:val="20"/>
        </w:rPr>
        <w:t xml:space="preserve">. The water system failed to collect the required 3-sample set from the distribution system following the exceedance. This health language should have been communicated to you by </w:t>
      </w:r>
      <w:r w:rsidRPr="00635C19">
        <w:rPr>
          <w:b/>
          <w:bCs/>
          <w:szCs w:val="20"/>
        </w:rPr>
        <w:t>[PWS NAME]</w:t>
      </w:r>
      <w:r w:rsidRPr="00635C19">
        <w:rPr>
          <w:szCs w:val="20"/>
        </w:rPr>
        <w:t xml:space="preserve"> </w:t>
      </w:r>
      <w:r>
        <w:rPr>
          <w:szCs w:val="20"/>
        </w:rPr>
        <w:t>within 24 hours of the violation and is being provided to you now for your knowledge.</w:t>
      </w:r>
    </w:p>
    <w:p w14:paraId="50522CD4" w14:textId="77777777" w:rsidR="00635C19" w:rsidRDefault="00635C19" w:rsidP="00635C19">
      <w:pPr>
        <w:pStyle w:val="BodyText"/>
        <w:spacing w:after="0"/>
        <w:rPr>
          <w:szCs w:val="20"/>
        </w:rPr>
      </w:pPr>
    </w:p>
    <w:p w14:paraId="7B8E96BB" w14:textId="77777777" w:rsidR="00635C19" w:rsidRPr="000A5BF5" w:rsidRDefault="00635C19" w:rsidP="00635C19">
      <w:pPr>
        <w:pStyle w:val="BodyText"/>
        <w:spacing w:after="0"/>
        <w:rPr>
          <w:rFonts w:cs="Arial"/>
          <w:szCs w:val="20"/>
        </w:rPr>
      </w:pPr>
      <w:r w:rsidRPr="000A5BF5">
        <w:rPr>
          <w:szCs w:val="20"/>
        </w:rPr>
        <w:t xml:space="preserve">The Texas Commission on Environmental Quality (TCEQ) has notified </w:t>
      </w:r>
      <w:r w:rsidRPr="00635C19">
        <w:rPr>
          <w:b/>
          <w:bCs/>
          <w:szCs w:val="20"/>
        </w:rPr>
        <w:t>[PWS NAME] [PWS ID]</w:t>
      </w:r>
      <w:r w:rsidRPr="00635C19">
        <w:rPr>
          <w:szCs w:val="20"/>
        </w:rPr>
        <w:t xml:space="preserve"> </w:t>
      </w:r>
      <w:r w:rsidRPr="000A5BF5">
        <w:rPr>
          <w:szCs w:val="20"/>
        </w:rPr>
        <w:t xml:space="preserve">that the drinking water being supplied to customers has exceeded the MRDL for chlorine dioxide. The U.S. Environmental Protection Agency (U.S. EPA) has established the MRDL for chlorine dioxide to be 0.8 </w:t>
      </w:r>
      <w:r>
        <w:rPr>
          <w:szCs w:val="20"/>
        </w:rPr>
        <w:t>milligrams per liter (</w:t>
      </w:r>
      <w:r w:rsidRPr="000A5BF5">
        <w:rPr>
          <w:szCs w:val="20"/>
        </w:rPr>
        <w:t>mg/L</w:t>
      </w:r>
      <w:r>
        <w:rPr>
          <w:szCs w:val="20"/>
        </w:rPr>
        <w:t>)</w:t>
      </w:r>
      <w:r w:rsidRPr="000A5BF5">
        <w:rPr>
          <w:szCs w:val="20"/>
        </w:rPr>
        <w:t xml:space="preserve"> based on a daily sample </w:t>
      </w:r>
      <w:proofErr w:type="gramStart"/>
      <w:r w:rsidRPr="000A5BF5">
        <w:rPr>
          <w:szCs w:val="20"/>
        </w:rPr>
        <w:t>result, and</w:t>
      </w:r>
      <w:proofErr w:type="gramEnd"/>
      <w:r w:rsidRPr="000A5BF5">
        <w:rPr>
          <w:szCs w:val="20"/>
        </w:rPr>
        <w:t xml:space="preserve"> has determined that it is a health concern at levels above the MRDL. </w:t>
      </w:r>
    </w:p>
    <w:p w14:paraId="28397C58" w14:textId="77777777" w:rsidR="00635C19" w:rsidRPr="000A5BF5" w:rsidRDefault="00635C19" w:rsidP="00635C19">
      <w:pPr>
        <w:pStyle w:val="BodyText"/>
        <w:spacing w:after="0"/>
        <w:rPr>
          <w:szCs w:val="20"/>
        </w:rPr>
      </w:pPr>
    </w:p>
    <w:p w14:paraId="406411E9" w14:textId="77777777" w:rsidR="00635C19" w:rsidRPr="000A5BF5" w:rsidRDefault="00635C19" w:rsidP="00635C19">
      <w:pPr>
        <w:pStyle w:val="BodyText"/>
        <w:spacing w:after="0"/>
        <w:rPr>
          <w:rFonts w:cs="Arial"/>
          <w:szCs w:val="20"/>
        </w:rPr>
      </w:pPr>
      <w:r w:rsidRPr="000A5BF5">
        <w:rPr>
          <w:rFonts w:cs="Arial"/>
          <w:szCs w:val="20"/>
        </w:rPr>
        <w:t xml:space="preserve">Some infants and young children who drink water containing chlorine dioxide </w:t>
      </w:r>
      <w:proofErr w:type="gramStart"/>
      <w:r w:rsidRPr="000A5BF5">
        <w:rPr>
          <w:rFonts w:cs="Arial"/>
          <w:szCs w:val="20"/>
        </w:rPr>
        <w:t>in excess of</w:t>
      </w:r>
      <w:proofErr w:type="gramEnd"/>
      <w:r w:rsidRPr="000A5BF5">
        <w:rPr>
          <w:rFonts w:cs="Arial"/>
          <w:szCs w:val="20"/>
        </w:rPr>
        <w:t xml:space="preserve"> the MRDL could experience nervous system effects. Similar effects may occur in fetuses of pregnant women who drink water containing chlorine dioxide </w:t>
      </w:r>
      <w:proofErr w:type="gramStart"/>
      <w:r w:rsidRPr="000A5BF5">
        <w:rPr>
          <w:rFonts w:cs="Arial"/>
          <w:szCs w:val="20"/>
        </w:rPr>
        <w:t>in excess of</w:t>
      </w:r>
      <w:proofErr w:type="gramEnd"/>
      <w:r w:rsidRPr="000A5BF5">
        <w:rPr>
          <w:rFonts w:cs="Arial"/>
          <w:szCs w:val="20"/>
        </w:rPr>
        <w:t xml:space="preserve"> the MRDL. Some people may experience anemia.</w:t>
      </w:r>
    </w:p>
    <w:p w14:paraId="5A0FFE98" w14:textId="77777777" w:rsidR="00635C19" w:rsidRPr="000A5BF5" w:rsidRDefault="00635C19" w:rsidP="00635C19">
      <w:pPr>
        <w:pStyle w:val="BodyText"/>
        <w:spacing w:after="0"/>
        <w:rPr>
          <w:rFonts w:cs="Arial"/>
          <w:szCs w:val="20"/>
        </w:rPr>
      </w:pPr>
    </w:p>
    <w:p w14:paraId="32A6FD16" w14:textId="77777777" w:rsidR="00635C19" w:rsidRPr="000A5BF5" w:rsidRDefault="00635C19" w:rsidP="00635C19">
      <w:pPr>
        <w:pStyle w:val="BodyText"/>
        <w:spacing w:after="0"/>
        <w:rPr>
          <w:szCs w:val="20"/>
        </w:rPr>
      </w:pPr>
      <w:r w:rsidRPr="00640670">
        <w:rPr>
          <w:rFonts w:cs="Arial"/>
          <w:szCs w:val="20"/>
        </w:rPr>
        <w:t xml:space="preserve">The chlorine dioxide violations reported </w:t>
      </w:r>
      <w:r>
        <w:rPr>
          <w:rFonts w:cs="Arial"/>
          <w:szCs w:val="20"/>
        </w:rPr>
        <w:t>may have</w:t>
      </w:r>
      <w:r w:rsidRPr="00640670">
        <w:rPr>
          <w:rFonts w:cs="Arial"/>
          <w:szCs w:val="20"/>
        </w:rPr>
        <w:t xml:space="preserve"> include</w:t>
      </w:r>
      <w:r>
        <w:rPr>
          <w:rFonts w:cs="Arial"/>
          <w:szCs w:val="20"/>
        </w:rPr>
        <w:t>d</w:t>
      </w:r>
      <w:r w:rsidRPr="00640670">
        <w:rPr>
          <w:rFonts w:cs="Arial"/>
          <w:szCs w:val="20"/>
        </w:rPr>
        <w:t xml:space="preserve"> exceedances</w:t>
      </w:r>
      <w:r>
        <w:rPr>
          <w:rFonts w:cs="Arial"/>
          <w:szCs w:val="20"/>
        </w:rPr>
        <w:t xml:space="preserve"> </w:t>
      </w:r>
      <w:r w:rsidRPr="00640670">
        <w:rPr>
          <w:rFonts w:cs="Arial"/>
          <w:szCs w:val="20"/>
        </w:rPr>
        <w:t>within the distribution system which delivers water to customers.</w:t>
      </w:r>
      <w:r>
        <w:rPr>
          <w:rFonts w:cs="Arial"/>
          <w:szCs w:val="20"/>
        </w:rPr>
        <w:t xml:space="preserve"> Because we did not monitor, we cannot be sure of the quality of your water in the distribution system during these times.</w:t>
      </w:r>
      <w:r w:rsidRPr="00640670">
        <w:rPr>
          <w:rFonts w:cs="Arial"/>
          <w:szCs w:val="20"/>
        </w:rPr>
        <w:t xml:space="preserve"> </w:t>
      </w:r>
      <w:r w:rsidRPr="000A5BF5">
        <w:rPr>
          <w:rFonts w:cs="Arial"/>
          <w:szCs w:val="20"/>
        </w:rPr>
        <w:t xml:space="preserve">Violations of the chlorine dioxide standard within the distribution system may harm human health based on short-term exposure. Certain groups, including fetuses, </w:t>
      </w:r>
      <w:proofErr w:type="gramStart"/>
      <w:r w:rsidRPr="000A5BF5">
        <w:rPr>
          <w:rFonts w:cs="Arial"/>
          <w:szCs w:val="20"/>
        </w:rPr>
        <w:t>infants</w:t>
      </w:r>
      <w:proofErr w:type="gramEnd"/>
      <w:r w:rsidRPr="000A5BF5">
        <w:rPr>
          <w:rFonts w:cs="Arial"/>
          <w:szCs w:val="20"/>
        </w:rPr>
        <w:t xml:space="preserve"> and young children, may be especially susceptible to nervous system effects from excessive chlorine dioxide exposure. </w:t>
      </w:r>
    </w:p>
    <w:p w14:paraId="4B481619" w14:textId="77777777" w:rsidR="00635C19" w:rsidRPr="000A5BF5" w:rsidRDefault="00635C19" w:rsidP="00635C19">
      <w:pPr>
        <w:pStyle w:val="BodyText"/>
        <w:spacing w:after="0"/>
        <w:rPr>
          <w:szCs w:val="20"/>
        </w:rPr>
      </w:pPr>
    </w:p>
    <w:p w14:paraId="2784A682" w14:textId="77777777" w:rsidR="00635C19" w:rsidRPr="000A5BF5" w:rsidRDefault="00635C19" w:rsidP="00635C19">
      <w:pPr>
        <w:pStyle w:val="BodyText"/>
        <w:spacing w:after="0"/>
        <w:rPr>
          <w:szCs w:val="20"/>
        </w:rPr>
      </w:pPr>
      <w:r>
        <w:rPr>
          <w:szCs w:val="20"/>
        </w:rPr>
        <w:t>What has been done to address this issue?</w:t>
      </w:r>
    </w:p>
    <w:p w14:paraId="26F49282" w14:textId="77777777" w:rsidR="00635C19" w:rsidRPr="000A5BF5" w:rsidRDefault="00635C19" w:rsidP="00635C19">
      <w:pPr>
        <w:pStyle w:val="BodyText"/>
        <w:tabs>
          <w:tab w:val="left" w:pos="2108"/>
        </w:tabs>
        <w:spacing w:after="0" w:line="360" w:lineRule="auto"/>
        <w:rPr>
          <w:szCs w:val="20"/>
        </w:rPr>
      </w:pPr>
      <w:r w:rsidRPr="000A5BF5">
        <w:rPr>
          <w:szCs w:val="20"/>
        </w:rPr>
        <w:tab/>
      </w:r>
    </w:p>
    <w:p w14:paraId="0FA5516F" w14:textId="77777777" w:rsidR="00635C19" w:rsidRPr="000A5BF5" w:rsidRDefault="00635C19" w:rsidP="00635C19">
      <w:pPr>
        <w:pStyle w:val="BodyText"/>
        <w:pBdr>
          <w:top w:val="single" w:sz="6" w:space="1" w:color="auto"/>
          <w:bottom w:val="single" w:sz="6" w:space="1" w:color="auto"/>
        </w:pBdr>
        <w:spacing w:after="0" w:line="360" w:lineRule="auto"/>
        <w:rPr>
          <w:szCs w:val="20"/>
        </w:rPr>
      </w:pPr>
    </w:p>
    <w:p w14:paraId="5431B862" w14:textId="77777777" w:rsidR="00635C19" w:rsidRPr="000A5BF5" w:rsidRDefault="00635C19" w:rsidP="00635C19">
      <w:pPr>
        <w:pStyle w:val="BodyText"/>
        <w:pBdr>
          <w:bottom w:val="single" w:sz="6" w:space="1" w:color="auto"/>
          <w:between w:val="single" w:sz="6" w:space="1" w:color="auto"/>
        </w:pBdr>
        <w:spacing w:after="0" w:line="360" w:lineRule="auto"/>
        <w:rPr>
          <w:szCs w:val="20"/>
        </w:rPr>
      </w:pPr>
    </w:p>
    <w:p w14:paraId="127B7620" w14:textId="77777777" w:rsidR="00635C19" w:rsidRPr="000A5BF5" w:rsidRDefault="00635C19" w:rsidP="00635C19">
      <w:pPr>
        <w:pStyle w:val="BodyText"/>
        <w:spacing w:after="0"/>
        <w:rPr>
          <w:szCs w:val="20"/>
        </w:rPr>
      </w:pPr>
    </w:p>
    <w:p w14:paraId="256F5A08" w14:textId="77777777" w:rsidR="00635C19" w:rsidRPr="000A5BF5" w:rsidRDefault="00635C19" w:rsidP="00635C19">
      <w:pPr>
        <w:pStyle w:val="BodyText"/>
        <w:spacing w:after="0"/>
        <w:rPr>
          <w:szCs w:val="20"/>
        </w:rPr>
      </w:pPr>
      <w:r w:rsidRPr="000A5BF5">
        <w:rPr>
          <w:szCs w:val="20"/>
        </w:rPr>
        <w:t>Please share this information with all other people who drink this water, especially those who may not have received this notice directly (i.e., people in apartments, nursing homes, schools, and businesses). You can do this by posting this notice in a public place or distributing copies by hand or mail.</w:t>
      </w:r>
    </w:p>
    <w:p w14:paraId="3BDDA56C" w14:textId="77777777" w:rsidR="00635C19" w:rsidRPr="000A5BF5" w:rsidRDefault="00635C19" w:rsidP="00635C19">
      <w:pPr>
        <w:pStyle w:val="BodyText"/>
        <w:spacing w:after="0"/>
        <w:rPr>
          <w:szCs w:val="20"/>
        </w:rPr>
      </w:pPr>
    </w:p>
    <w:p w14:paraId="411FE2C5" w14:textId="77777777" w:rsidR="00635C19" w:rsidRPr="000A5BF5" w:rsidRDefault="00635C19" w:rsidP="00635C19">
      <w:pPr>
        <w:pStyle w:val="BodyText"/>
        <w:spacing w:after="0"/>
        <w:rPr>
          <w:szCs w:val="20"/>
          <w:u w:val="single"/>
        </w:rPr>
      </w:pPr>
      <w:r w:rsidRPr="000A5BF5">
        <w:rPr>
          <w:szCs w:val="20"/>
        </w:rPr>
        <w:t>If you have questions regarding this matter, you may contact</w:t>
      </w:r>
      <w:r w:rsidRPr="000A5BF5">
        <w:rPr>
          <w:rFonts w:cs="Times New Roman"/>
          <w:szCs w:val="20"/>
        </w:rPr>
        <w:t xml:space="preserve"> </w:t>
      </w:r>
      <w:r>
        <w:rPr>
          <w:rFonts w:cs="Times New Roman"/>
          <w:szCs w:val="20"/>
          <w:u w:val="single"/>
        </w:rPr>
        <w:t xml:space="preserve">                                      </w:t>
      </w:r>
      <w:r w:rsidRPr="000A5BF5">
        <w:rPr>
          <w:szCs w:val="20"/>
        </w:rPr>
        <w:t xml:space="preserve"> at </w:t>
      </w:r>
      <w:r w:rsidRPr="00983849">
        <w:rPr>
          <w:rFonts w:cs="Times New Roman"/>
          <w:szCs w:val="20"/>
          <w:u w:val="single"/>
        </w:rPr>
        <w:t>___________________________</w:t>
      </w:r>
      <w:r w:rsidRPr="000A5BF5">
        <w:rPr>
          <w:rFonts w:cs="Times New Roman"/>
          <w:szCs w:val="20"/>
        </w:rPr>
        <w:t>.</w:t>
      </w:r>
      <w:r w:rsidRPr="000A5BF5">
        <w:rPr>
          <w:szCs w:val="20"/>
        </w:rPr>
        <w:t xml:space="preserve">                                             </w:t>
      </w:r>
      <w:r w:rsidRPr="00640670">
        <w:rPr>
          <w:b/>
          <w:sz w:val="18"/>
          <w:szCs w:val="20"/>
          <w:u w:val="single"/>
        </w:rPr>
        <w:t>&lt;water system official’s name&gt;</w:t>
      </w:r>
    </w:p>
    <w:p w14:paraId="7F4B84CA" w14:textId="77777777" w:rsidR="00635C19" w:rsidRPr="00640670" w:rsidRDefault="00635C19" w:rsidP="00635C19">
      <w:pPr>
        <w:pStyle w:val="BodyText"/>
        <w:pBdr>
          <w:bottom w:val="single" w:sz="6" w:space="1" w:color="auto"/>
        </w:pBdr>
        <w:spacing w:after="0"/>
        <w:rPr>
          <w:b/>
          <w:szCs w:val="20"/>
        </w:rPr>
      </w:pPr>
      <w:r w:rsidRPr="00640670">
        <w:rPr>
          <w:b/>
          <w:sz w:val="18"/>
          <w:szCs w:val="20"/>
        </w:rPr>
        <w:t xml:space="preserve"> </w:t>
      </w:r>
      <w:r w:rsidRPr="00640670">
        <w:rPr>
          <w:b/>
          <w:sz w:val="18"/>
          <w:szCs w:val="20"/>
          <w:u w:val="single"/>
        </w:rPr>
        <w:t>&lt;area code + phone number&gt;</w:t>
      </w:r>
      <w:r w:rsidRPr="00640670">
        <w:rPr>
          <w:b/>
          <w:szCs w:val="20"/>
        </w:rPr>
        <w:t xml:space="preserve"> </w:t>
      </w:r>
      <w:r w:rsidRPr="00640670">
        <w:rPr>
          <w:b/>
          <w:szCs w:val="20"/>
        </w:rPr>
        <w:tab/>
      </w:r>
      <w:r w:rsidRPr="00640670">
        <w:rPr>
          <w:b/>
          <w:szCs w:val="20"/>
        </w:rPr>
        <w:tab/>
      </w:r>
      <w:r w:rsidRPr="00640670">
        <w:rPr>
          <w:b/>
          <w:szCs w:val="20"/>
        </w:rPr>
        <w:tab/>
      </w:r>
      <w:r w:rsidRPr="00640670">
        <w:rPr>
          <w:b/>
          <w:szCs w:val="20"/>
        </w:rPr>
        <w:tab/>
      </w:r>
      <w:r w:rsidRPr="00640670">
        <w:rPr>
          <w:b/>
          <w:szCs w:val="20"/>
        </w:rPr>
        <w:tab/>
      </w:r>
      <w:r w:rsidRPr="00640670">
        <w:rPr>
          <w:b/>
          <w:szCs w:val="20"/>
        </w:rPr>
        <w:tab/>
      </w:r>
    </w:p>
    <w:p w14:paraId="0F3248CD" w14:textId="77777777" w:rsidR="00635C19" w:rsidRPr="000A5BF5" w:rsidRDefault="00635C19" w:rsidP="00635C19">
      <w:pPr>
        <w:pStyle w:val="BodyText"/>
        <w:pBdr>
          <w:bottom w:val="single" w:sz="6" w:space="1" w:color="auto"/>
        </w:pBdr>
        <w:spacing w:after="0"/>
        <w:ind w:firstLine="720"/>
        <w:jc w:val="right"/>
        <w:rPr>
          <w:rFonts w:cs="Times New Roman"/>
          <w:szCs w:val="20"/>
        </w:rPr>
      </w:pPr>
      <w:r w:rsidRPr="000A5BF5">
        <w:rPr>
          <w:szCs w:val="20"/>
        </w:rPr>
        <w:t xml:space="preserve">                                                                 </w:t>
      </w:r>
      <w:r>
        <w:rPr>
          <w:szCs w:val="20"/>
        </w:rPr>
        <w:t xml:space="preserve">                     </w:t>
      </w:r>
      <w:r w:rsidRPr="000A5BF5">
        <w:rPr>
          <w:szCs w:val="20"/>
        </w:rPr>
        <w:t xml:space="preserve">Posted/Delivered </w:t>
      </w:r>
      <w:proofErr w:type="gramStart"/>
      <w:r w:rsidRPr="000A5BF5">
        <w:rPr>
          <w:szCs w:val="20"/>
        </w:rPr>
        <w:t>on</w:t>
      </w:r>
      <w:r w:rsidRPr="000A5BF5">
        <w:rPr>
          <w:rFonts w:cs="Times New Roman"/>
          <w:szCs w:val="20"/>
        </w:rPr>
        <w:t>:</w:t>
      </w:r>
      <w:r w:rsidRPr="00983849">
        <w:rPr>
          <w:rFonts w:cs="Times New Roman"/>
          <w:szCs w:val="20"/>
          <w:u w:val="single"/>
        </w:rPr>
        <w:t>_</w:t>
      </w:r>
      <w:proofErr w:type="gramEnd"/>
      <w:r w:rsidRPr="00983849">
        <w:rPr>
          <w:rFonts w:cs="Times New Roman"/>
          <w:szCs w:val="20"/>
          <w:u w:val="single"/>
        </w:rPr>
        <w:t>____________</w:t>
      </w:r>
    </w:p>
    <w:p w14:paraId="171F8710" w14:textId="77777777" w:rsidR="00635C19" w:rsidRPr="00640670" w:rsidRDefault="00635C19" w:rsidP="00635C19">
      <w:pPr>
        <w:pStyle w:val="BodyText"/>
        <w:pBdr>
          <w:bottom w:val="single" w:sz="6" w:space="1" w:color="auto"/>
        </w:pBdr>
        <w:spacing w:after="0"/>
        <w:rPr>
          <w:b/>
          <w:szCs w:val="20"/>
          <w:u w:val="single"/>
        </w:rPr>
      </w:pPr>
      <w:r w:rsidRPr="000A5BF5">
        <w:rPr>
          <w:szCs w:val="20"/>
        </w:rPr>
        <w:tab/>
      </w:r>
      <w:r w:rsidRPr="000A5BF5">
        <w:rPr>
          <w:szCs w:val="20"/>
        </w:rPr>
        <w:tab/>
      </w:r>
      <w:r w:rsidRPr="000A5BF5">
        <w:rPr>
          <w:szCs w:val="20"/>
        </w:rPr>
        <w:tab/>
      </w:r>
      <w:r w:rsidRPr="000A5BF5">
        <w:rPr>
          <w:szCs w:val="20"/>
        </w:rPr>
        <w:tab/>
      </w:r>
      <w:r w:rsidRPr="000A5BF5">
        <w:rPr>
          <w:szCs w:val="20"/>
        </w:rPr>
        <w:tab/>
      </w:r>
      <w:r w:rsidRPr="000A5BF5">
        <w:rPr>
          <w:szCs w:val="20"/>
        </w:rPr>
        <w:tab/>
      </w:r>
      <w:r w:rsidRPr="000A5BF5">
        <w:rPr>
          <w:szCs w:val="20"/>
        </w:rPr>
        <w:tab/>
      </w:r>
      <w:r w:rsidRPr="000A5BF5">
        <w:rPr>
          <w:szCs w:val="20"/>
        </w:rPr>
        <w:tab/>
        <w:t xml:space="preserve">                                </w:t>
      </w:r>
      <w:r>
        <w:rPr>
          <w:szCs w:val="20"/>
        </w:rPr>
        <w:t xml:space="preserve">              </w:t>
      </w:r>
      <w:r w:rsidRPr="00640670">
        <w:rPr>
          <w:b/>
          <w:szCs w:val="20"/>
        </w:rPr>
        <w:t>&lt;</w:t>
      </w:r>
      <w:r w:rsidRPr="00640670">
        <w:rPr>
          <w:b/>
          <w:sz w:val="18"/>
          <w:szCs w:val="20"/>
          <w:u w:val="single"/>
        </w:rPr>
        <w:t>Date Posted</w:t>
      </w:r>
      <w:r w:rsidRPr="00640670">
        <w:rPr>
          <w:b/>
          <w:szCs w:val="20"/>
          <w:u w:val="single"/>
        </w:rPr>
        <w:t xml:space="preserve">&gt;     </w:t>
      </w:r>
    </w:p>
    <w:p w14:paraId="2F8D3932" w14:textId="77777777" w:rsidR="00635C19" w:rsidRPr="000A5BF5" w:rsidRDefault="00635C19" w:rsidP="00635C19">
      <w:pPr>
        <w:pStyle w:val="BodyText"/>
        <w:pBdr>
          <w:bottom w:val="single" w:sz="6" w:space="1" w:color="auto"/>
        </w:pBdr>
        <w:spacing w:after="0"/>
        <w:rPr>
          <w:szCs w:val="20"/>
          <w:u w:val="single"/>
        </w:rPr>
      </w:pPr>
    </w:p>
    <w:p w14:paraId="57D7F879" w14:textId="77777777" w:rsidR="00635C19" w:rsidRPr="000A5BF5" w:rsidRDefault="00635C19" w:rsidP="00635C19">
      <w:pPr>
        <w:pStyle w:val="BodyText"/>
        <w:spacing w:after="0"/>
        <w:rPr>
          <w:b/>
          <w:szCs w:val="20"/>
        </w:rPr>
      </w:pPr>
      <w:r w:rsidRPr="000A5BF5">
        <w:rPr>
          <w:b/>
          <w:szCs w:val="20"/>
        </w:rPr>
        <w:t>Instructions for Preparing the Required Public Notice:</w:t>
      </w:r>
    </w:p>
    <w:p w14:paraId="13641479" w14:textId="77777777" w:rsidR="00635C19" w:rsidRDefault="00635C19" w:rsidP="00635C19">
      <w:pPr>
        <w:pStyle w:val="BodyText"/>
        <w:spacing w:after="0"/>
        <w:rPr>
          <w:szCs w:val="20"/>
        </w:rPr>
      </w:pPr>
      <w:r w:rsidRPr="000A5BF5">
        <w:rPr>
          <w:szCs w:val="20"/>
        </w:rPr>
        <w:t>Recopy the mandatory language above and insert the underlined information in the spaces indicated.</w:t>
      </w:r>
    </w:p>
    <w:p w14:paraId="0172299F" w14:textId="77777777" w:rsidR="00635C19" w:rsidRPr="000A5BF5" w:rsidRDefault="00635C19" w:rsidP="00635C19">
      <w:pPr>
        <w:pStyle w:val="BodyText"/>
        <w:spacing w:after="0"/>
        <w:rPr>
          <w:szCs w:val="20"/>
        </w:rPr>
      </w:pPr>
    </w:p>
    <w:p w14:paraId="13B36D11" w14:textId="77777777" w:rsidR="00635C19" w:rsidRPr="000A5BF5" w:rsidRDefault="00635C19" w:rsidP="00635C19">
      <w:pPr>
        <w:pStyle w:val="BodyText"/>
        <w:spacing w:after="0"/>
        <w:rPr>
          <w:b/>
          <w:szCs w:val="20"/>
        </w:rPr>
      </w:pPr>
      <w:r w:rsidRPr="000A5BF5">
        <w:rPr>
          <w:b/>
          <w:szCs w:val="20"/>
        </w:rPr>
        <w:t>Public Notice Delivery Timelines:</w:t>
      </w:r>
    </w:p>
    <w:p w14:paraId="656BD069" w14:textId="77777777" w:rsidR="00635C19" w:rsidRDefault="00635C19" w:rsidP="00635C19">
      <w:pPr>
        <w:pStyle w:val="BodyText"/>
        <w:spacing w:after="0"/>
        <w:rPr>
          <w:szCs w:val="20"/>
        </w:rPr>
      </w:pPr>
      <w:r w:rsidRPr="000A5BF5">
        <w:rPr>
          <w:szCs w:val="20"/>
        </w:rPr>
        <w:t>The initial public notice shall be issued as soon as possible, but in no case later than 24 hours after the date that the violation occurred. Repeat public notice shall be issued every 90 days for as long as the violation persists. All notifications require the attached Certificate of Delivery to be sent to TCEQ due 10 days from the posting date of the above notice.</w:t>
      </w:r>
    </w:p>
    <w:p w14:paraId="74272A10" w14:textId="77777777" w:rsidR="00635C19" w:rsidRPr="000A5BF5" w:rsidRDefault="00635C19" w:rsidP="00635C19">
      <w:pPr>
        <w:pStyle w:val="BodyText"/>
        <w:spacing w:after="0"/>
        <w:rPr>
          <w:szCs w:val="20"/>
        </w:rPr>
      </w:pPr>
    </w:p>
    <w:p w14:paraId="1D85AF23" w14:textId="77777777" w:rsidR="00635C19" w:rsidRPr="000A5BF5" w:rsidRDefault="00635C19" w:rsidP="00635C19">
      <w:pPr>
        <w:pStyle w:val="BodyText"/>
        <w:spacing w:after="0"/>
        <w:rPr>
          <w:szCs w:val="20"/>
        </w:rPr>
        <w:sectPr w:rsidR="00635C19" w:rsidRPr="000A5BF5" w:rsidSect="00635C19">
          <w:type w:val="continuous"/>
          <w:pgSz w:w="12240" w:h="15840"/>
          <w:pgMar w:top="1440" w:right="1152" w:bottom="864" w:left="1152" w:header="720" w:footer="720" w:gutter="0"/>
          <w:cols w:space="720"/>
          <w:titlePg/>
          <w:docGrid w:linePitch="360"/>
        </w:sectPr>
      </w:pPr>
      <w:r w:rsidRPr="000A5BF5">
        <w:rPr>
          <w:szCs w:val="20"/>
        </w:rPr>
        <w:t>Refer to 30 TAC §290.122 for additional information on Public Notification.</w:t>
      </w:r>
    </w:p>
    <w:p w14:paraId="6275582E" w14:textId="77777777" w:rsidR="004A726B" w:rsidRPr="00417619" w:rsidRDefault="004A726B" w:rsidP="00D53F25">
      <w:pPr>
        <w:pStyle w:val="BodyText"/>
      </w:pPr>
    </w:p>
    <w:sectPr w:rsidR="004A726B" w:rsidRPr="00417619"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6190" w14:textId="77777777" w:rsidR="00635C19" w:rsidRDefault="00635C19" w:rsidP="00E52C9A">
      <w:r>
        <w:separator/>
      </w:r>
    </w:p>
  </w:endnote>
  <w:endnote w:type="continuationSeparator" w:id="0">
    <w:p w14:paraId="69A0E906" w14:textId="77777777" w:rsidR="00635C19" w:rsidRDefault="00635C19"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D425" w14:textId="77777777" w:rsidR="00635C19" w:rsidRDefault="00635C19" w:rsidP="00E52C9A">
      <w:r>
        <w:separator/>
      </w:r>
    </w:p>
  </w:footnote>
  <w:footnote w:type="continuationSeparator" w:id="0">
    <w:p w14:paraId="5FE65D64" w14:textId="77777777" w:rsidR="00635C19" w:rsidRDefault="00635C19"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9"/>
  </w:num>
  <w:num w:numId="1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19"/>
    <w:rsid w:val="00051B7F"/>
    <w:rsid w:val="001135B1"/>
    <w:rsid w:val="00116413"/>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6089F"/>
    <w:rsid w:val="004A726B"/>
    <w:rsid w:val="004D2CA6"/>
    <w:rsid w:val="00540447"/>
    <w:rsid w:val="005464F5"/>
    <w:rsid w:val="00550A48"/>
    <w:rsid w:val="0055212A"/>
    <w:rsid w:val="005B74B6"/>
    <w:rsid w:val="005F337F"/>
    <w:rsid w:val="00602FFB"/>
    <w:rsid w:val="00635C19"/>
    <w:rsid w:val="006514EA"/>
    <w:rsid w:val="0065525B"/>
    <w:rsid w:val="00666D7E"/>
    <w:rsid w:val="00671530"/>
    <w:rsid w:val="006730D8"/>
    <w:rsid w:val="006955C6"/>
    <w:rsid w:val="006B7D8B"/>
    <w:rsid w:val="0072249E"/>
    <w:rsid w:val="00727F1C"/>
    <w:rsid w:val="00732647"/>
    <w:rsid w:val="00746472"/>
    <w:rsid w:val="0075745D"/>
    <w:rsid w:val="007F1D92"/>
    <w:rsid w:val="0085033F"/>
    <w:rsid w:val="008755F2"/>
    <w:rsid w:val="008E33DD"/>
    <w:rsid w:val="008E6CA0"/>
    <w:rsid w:val="008F4441"/>
    <w:rsid w:val="0094541B"/>
    <w:rsid w:val="0097286B"/>
    <w:rsid w:val="00996B99"/>
    <w:rsid w:val="00A03680"/>
    <w:rsid w:val="00A2193F"/>
    <w:rsid w:val="00A75BA9"/>
    <w:rsid w:val="00AB074C"/>
    <w:rsid w:val="00B3681B"/>
    <w:rsid w:val="00B4403F"/>
    <w:rsid w:val="00B868F1"/>
    <w:rsid w:val="00BE39E1"/>
    <w:rsid w:val="00BF000E"/>
    <w:rsid w:val="00C95864"/>
    <w:rsid w:val="00CC59A8"/>
    <w:rsid w:val="00CC6108"/>
    <w:rsid w:val="00CF4CB6"/>
    <w:rsid w:val="00D44331"/>
    <w:rsid w:val="00D53F25"/>
    <w:rsid w:val="00D642CF"/>
    <w:rsid w:val="00D9218C"/>
    <w:rsid w:val="00DB72FD"/>
    <w:rsid w:val="00DB788B"/>
    <w:rsid w:val="00DC278A"/>
    <w:rsid w:val="00DE7C8C"/>
    <w:rsid w:val="00E14844"/>
    <w:rsid w:val="00E52C9A"/>
    <w:rsid w:val="00E93DEF"/>
    <w:rsid w:val="00EA1F7C"/>
    <w:rsid w:val="00EF6A56"/>
    <w:rsid w:val="00F14AF7"/>
    <w:rsid w:val="00F56A6D"/>
    <w:rsid w:val="00F56E78"/>
    <w:rsid w:val="00F63A75"/>
    <w:rsid w:val="00F84C3B"/>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5718"/>
  <w15:chartTrackingRefBased/>
  <w15:docId w15:val="{21A5737C-891D-4085-AB76-270F3396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Emily Smith</dc:creator>
  <cp:keywords/>
  <dc:description/>
  <cp:lastModifiedBy>Emily Smith</cp:lastModifiedBy>
  <cp:revision>1</cp:revision>
  <dcterms:created xsi:type="dcterms:W3CDTF">2022-11-16T16:16:00Z</dcterms:created>
  <dcterms:modified xsi:type="dcterms:W3CDTF">2022-11-16T16:17:00Z</dcterms:modified>
</cp:coreProperties>
</file>