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6E22" w14:textId="77777777" w:rsidR="004B36C7" w:rsidRPr="00DF7792" w:rsidRDefault="004B36C7" w:rsidP="00DF7792">
      <w:pPr>
        <w:pStyle w:val="Title"/>
        <w:rPr>
          <w:sz w:val="32"/>
        </w:rPr>
      </w:pPr>
      <w:bookmarkStart w:id="0" w:name="OLE_LINK1"/>
      <w:bookmarkStart w:id="1" w:name="OLE_LINK2"/>
      <w:bookmarkStart w:id="2" w:name="OLE_LINK3"/>
      <w:r w:rsidRPr="00DF7792">
        <w:rPr>
          <w:sz w:val="32"/>
        </w:rPr>
        <w:t>Water Storage Tank Construction Checklist</w:t>
      </w:r>
    </w:p>
    <w:bookmarkEnd w:id="0"/>
    <w:bookmarkEnd w:id="1"/>
    <w:bookmarkEnd w:id="2"/>
    <w:p w14:paraId="76550243" w14:textId="77777777" w:rsidR="00DF7792" w:rsidRPr="00962331" w:rsidRDefault="00DF7792" w:rsidP="00DF7792">
      <w:pPr>
        <w:tabs>
          <w:tab w:val="left" w:pos="4860"/>
        </w:tabs>
        <w:spacing w:before="240"/>
        <w:rPr>
          <w:rStyle w:val="BodyTextChar"/>
        </w:rPr>
      </w:pPr>
      <w:r w:rsidRPr="009155BA">
        <w:rPr>
          <w:rStyle w:val="BodyTextChar"/>
        </w:rPr>
        <w:t>Texas Commission on Environmental Quality</w:t>
      </w:r>
      <w:r w:rsidRPr="00216686">
        <w:rPr>
          <w:rStyle w:val="BodyTextChar"/>
        </w:rPr>
        <w:tab/>
      </w:r>
      <w:r w:rsidRPr="009155BA">
        <w:rPr>
          <w:rStyle w:val="BodyTextChar"/>
        </w:rPr>
        <w:t>Public Water System I.D. No</w:t>
      </w:r>
      <w:r w:rsidRPr="00962331">
        <w:rPr>
          <w:rStyle w:val="BodyTextChar"/>
        </w:rPr>
        <w:t>.</w:t>
      </w:r>
      <w:r w:rsidRPr="00174F92">
        <w:rPr>
          <w:rStyle w:val="BodyTextChar"/>
        </w:rPr>
        <w:t>_________________</w:t>
      </w:r>
    </w:p>
    <w:p w14:paraId="3644C478" w14:textId="77777777" w:rsidR="00DF7792" w:rsidRPr="00962331" w:rsidRDefault="00DF7792" w:rsidP="00DF7792">
      <w:pPr>
        <w:tabs>
          <w:tab w:val="left" w:pos="4860"/>
        </w:tabs>
        <w:rPr>
          <w:rStyle w:val="BodyTextChar"/>
        </w:rPr>
      </w:pPr>
      <w:r w:rsidRPr="009155BA">
        <w:rPr>
          <w:rStyle w:val="BodyTextChar"/>
        </w:rPr>
        <w:t>Water Supply Division</w:t>
      </w:r>
      <w:r w:rsidRPr="00216686">
        <w:rPr>
          <w:rStyle w:val="BodyTextChar"/>
        </w:rPr>
        <w:tab/>
      </w:r>
      <w:r w:rsidRPr="009155BA">
        <w:rPr>
          <w:rStyle w:val="BodyTextChar"/>
        </w:rPr>
        <w:t>TCEQ Log No. P</w:t>
      </w:r>
      <w:r w:rsidRPr="00962331">
        <w:rPr>
          <w:rStyle w:val="BodyTextChar"/>
        </w:rPr>
        <w:t>-</w:t>
      </w:r>
      <w:r w:rsidRPr="00174F92">
        <w:rPr>
          <w:rStyle w:val="BodyTextChar"/>
        </w:rPr>
        <w:t>_____________________________</w:t>
      </w:r>
    </w:p>
    <w:p w14:paraId="0731FA73" w14:textId="77777777" w:rsidR="00DF7792" w:rsidRPr="002C2F1B" w:rsidRDefault="00DF7792" w:rsidP="00DF7792">
      <w:pPr>
        <w:pStyle w:val="BodyText"/>
        <w:spacing w:after="0"/>
        <w:rPr>
          <w:rStyle w:val="BodyTextChar"/>
          <w:rFonts w:eastAsia="Times New Roman"/>
          <w:szCs w:val="20"/>
        </w:rPr>
      </w:pPr>
      <w:r w:rsidRPr="002C2F1B">
        <w:rPr>
          <w:rStyle w:val="BodyTextChar"/>
          <w:rFonts w:eastAsia="Times New Roman"/>
          <w:szCs w:val="20"/>
        </w:rPr>
        <w:t>Plan Review Team MC-159</w:t>
      </w:r>
    </w:p>
    <w:p w14:paraId="2361D2DD" w14:textId="77777777" w:rsidR="00DF7792" w:rsidRPr="002C2F1B" w:rsidRDefault="00DF7792" w:rsidP="00DF7792">
      <w:pPr>
        <w:rPr>
          <w:rStyle w:val="BodyTextChar"/>
        </w:rPr>
      </w:pPr>
      <w:r w:rsidRPr="002C2F1B">
        <w:rPr>
          <w:rStyle w:val="BodyTextChar"/>
        </w:rPr>
        <w:t>P.O. Box 13 087, Austin, Texas 78711-3087</w:t>
      </w:r>
    </w:p>
    <w:p w14:paraId="7AE32DE4" w14:textId="77777777" w:rsidR="00A140FC" w:rsidRDefault="004B36C7" w:rsidP="00DF7792">
      <w:pPr>
        <w:tabs>
          <w:tab w:val="left" w:pos="-1440"/>
        </w:tabs>
        <w:spacing w:before="240"/>
        <w:rPr>
          <w:rStyle w:val="BodyTextChar"/>
        </w:rPr>
      </w:pPr>
      <w:r w:rsidRPr="00DF7792">
        <w:rPr>
          <w:rStyle w:val="BodyTextChar"/>
        </w:rPr>
        <w:t xml:space="preserve">The following list is a brief outline of the "Rules for Public Water Systems" </w:t>
      </w:r>
      <w:r w:rsidR="00A140FC">
        <w:rPr>
          <w:rStyle w:val="BodyTextChar"/>
        </w:rPr>
        <w:t>(</w:t>
      </w:r>
      <w:r w:rsidRPr="00DF7792">
        <w:rPr>
          <w:rStyle w:val="BodyTextChar"/>
        </w:rPr>
        <w:t>30 TAC Chapter 290</w:t>
      </w:r>
      <w:r w:rsidR="00A140FC">
        <w:rPr>
          <w:rStyle w:val="BodyTextChar"/>
        </w:rPr>
        <w:t>),</w:t>
      </w:r>
      <w:r w:rsidRPr="00DF7792">
        <w:rPr>
          <w:rStyle w:val="BodyTextChar"/>
        </w:rPr>
        <w:t xml:space="preserve"> regarding proposed water storage tank construction.  Sealed plans, capacity report, and specifications meeting, but not limited to, the minimum requirements cited here shall be prepared under the supervision of a Texas licensed professional engineer and submitted to TCEQ for approval.  This list is not a substitute for the rules and this checklist cannot be accepted in lieu of the required engineering submittals.  Failure to submit the following items may delay project approval.  Copies of the rules may be obtained from Texas Register, 1019 Brazos St, Austin, TX, 78701-2413, Phone: (512) 463-5561 or downloaded from the website: </w:t>
      </w:r>
      <w:hyperlink r:id="rId8" w:history="1">
        <w:r w:rsidR="00A140FC" w:rsidRPr="00FF0D90">
          <w:rPr>
            <w:rStyle w:val="Hyperlink"/>
            <w:rFonts w:ascii="Lucida Bright" w:hAnsi="Lucida Bright" w:cstheme="minorBidi"/>
            <w:sz w:val="20"/>
          </w:rPr>
          <w:t>http://www.tceq.texas.gov/rules/indxpdf.html</w:t>
        </w:r>
      </w:hyperlink>
    </w:p>
    <w:p w14:paraId="78647A36" w14:textId="77777777" w:rsidR="004B36C7" w:rsidRPr="00A140FC" w:rsidRDefault="00A140FC" w:rsidP="00A140FC">
      <w:pPr>
        <w:pStyle w:val="BodyText"/>
        <w:spacing w:before="240"/>
        <w:rPr>
          <w:sz w:val="22"/>
          <w:szCs w:val="22"/>
        </w:rPr>
      </w:pPr>
      <w:r>
        <w:rPr>
          <w:sz w:val="22"/>
          <w:szCs w:val="22"/>
        </w:rPr>
        <w:t>Please address the following in your submittal:</w:t>
      </w:r>
    </w:p>
    <w:p w14:paraId="41B16985" w14:textId="77777777" w:rsidR="004B36C7" w:rsidRPr="00DF7792" w:rsidRDefault="004B36C7" w:rsidP="00DF7792">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DF7792">
        <w:rPr>
          <w:rStyle w:val="BodyTextChar"/>
          <w:szCs w:val="20"/>
        </w:rPr>
        <w:tab/>
      </w:r>
      <w:r w:rsidR="00FF4226">
        <w:rPr>
          <w:rStyle w:val="BodyTextChar"/>
          <w:szCs w:val="20"/>
        </w:rPr>
        <w:fldChar w:fldCharType="begin">
          <w:ffData>
            <w:name w:val="check1"/>
            <w:enabled/>
            <w:calcOnExit w:val="0"/>
            <w:statusText w:type="text" w:val="Check this box if the following applies."/>
            <w:checkBox>
              <w:sizeAuto/>
              <w:default w:val="0"/>
            </w:checkBox>
          </w:ffData>
        </w:fldChar>
      </w:r>
      <w:bookmarkStart w:id="3" w:name="check1"/>
      <w:r w:rsidR="00FF4226">
        <w:rPr>
          <w:rStyle w:val="BodyTextChar"/>
          <w:szCs w:val="20"/>
        </w:rPr>
        <w:instrText xml:space="preserve"> FORMCHECKBOX </w:instrText>
      </w:r>
      <w:r w:rsidR="000A0EC5">
        <w:rPr>
          <w:rStyle w:val="BodyTextChar"/>
          <w:szCs w:val="20"/>
        </w:rPr>
      </w:r>
      <w:r w:rsidR="000A0EC5">
        <w:rPr>
          <w:rStyle w:val="BodyTextChar"/>
          <w:szCs w:val="20"/>
        </w:rPr>
        <w:fldChar w:fldCharType="separate"/>
      </w:r>
      <w:r w:rsidR="00FF4226">
        <w:rPr>
          <w:rStyle w:val="BodyTextChar"/>
          <w:szCs w:val="20"/>
        </w:rPr>
        <w:fldChar w:fldCharType="end"/>
      </w:r>
      <w:bookmarkEnd w:id="3"/>
      <w:r w:rsidRPr="00DF7792">
        <w:rPr>
          <w:rStyle w:val="BodyTextChar"/>
          <w:szCs w:val="20"/>
        </w:rPr>
        <w:tab/>
        <w:t>The minimum capacity shall be governed by the requirements in §290.45 relating to Minimum Water System Capacity Requirements; [§290.43(a)]</w:t>
      </w:r>
    </w:p>
    <w:p w14:paraId="4E29EF8D" w14:textId="77777777" w:rsidR="004B36C7" w:rsidRPr="00DF7792" w:rsidRDefault="004B36C7" w:rsidP="00DF7792">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DF7792">
        <w:rPr>
          <w:rStyle w:val="BodyTextChar"/>
          <w:szCs w:val="20"/>
        </w:rPr>
        <w:tab/>
      </w:r>
      <w:r w:rsidR="00FF4226">
        <w:rPr>
          <w:rStyle w:val="BodyTextChar"/>
          <w:szCs w:val="20"/>
        </w:rPr>
        <w:fldChar w:fldCharType="begin">
          <w:ffData>
            <w:name w:val="check2"/>
            <w:enabled/>
            <w:calcOnExit w:val="0"/>
            <w:statusText w:type="text" w:val="Check this box if the following applies."/>
            <w:checkBox>
              <w:sizeAuto/>
              <w:default w:val="0"/>
            </w:checkBox>
          </w:ffData>
        </w:fldChar>
      </w:r>
      <w:bookmarkStart w:id="4" w:name="check2"/>
      <w:r w:rsidR="00FF4226">
        <w:rPr>
          <w:rStyle w:val="BodyTextChar"/>
          <w:szCs w:val="20"/>
        </w:rPr>
        <w:instrText xml:space="preserve"> FORMCHECKBOX </w:instrText>
      </w:r>
      <w:r w:rsidR="000A0EC5">
        <w:rPr>
          <w:rStyle w:val="BodyTextChar"/>
          <w:szCs w:val="20"/>
        </w:rPr>
      </w:r>
      <w:r w:rsidR="000A0EC5">
        <w:rPr>
          <w:rStyle w:val="BodyTextChar"/>
          <w:szCs w:val="20"/>
        </w:rPr>
        <w:fldChar w:fldCharType="separate"/>
      </w:r>
      <w:r w:rsidR="00FF4226">
        <w:rPr>
          <w:rStyle w:val="BodyTextChar"/>
          <w:szCs w:val="20"/>
        </w:rPr>
        <w:fldChar w:fldCharType="end"/>
      </w:r>
      <w:bookmarkEnd w:id="4"/>
      <w:r w:rsidRPr="00DF7792">
        <w:rPr>
          <w:rStyle w:val="BodyTextChar"/>
          <w:szCs w:val="20"/>
        </w:rPr>
        <w:tab/>
        <w:t>Submission of engineering report showing the adequacy of the facilities with regard to delivery capacity and pressure throughout the system; [§290.39(e)(1)(H)]</w:t>
      </w:r>
    </w:p>
    <w:p w14:paraId="39D7E511" w14:textId="77777777" w:rsidR="004B36C7" w:rsidRPr="00DF7792" w:rsidRDefault="004B36C7" w:rsidP="00DF7792">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DF7792">
        <w:rPr>
          <w:rStyle w:val="BodyTextChar"/>
          <w:szCs w:val="20"/>
        </w:rPr>
        <w:tab/>
      </w:r>
      <w:r w:rsidR="00ED2D18">
        <w:rPr>
          <w:rStyle w:val="BodyTextChar"/>
          <w:szCs w:val="20"/>
        </w:rPr>
        <w:fldChar w:fldCharType="begin">
          <w:ffData>
            <w:name w:val="check3"/>
            <w:enabled/>
            <w:calcOnExit w:val="0"/>
            <w:statusText w:type="text" w:val="Check this box if the following applies."/>
            <w:checkBox>
              <w:sizeAuto/>
              <w:default w:val="0"/>
            </w:checkBox>
          </w:ffData>
        </w:fldChar>
      </w:r>
      <w:bookmarkStart w:id="5" w:name="check3"/>
      <w:r w:rsidR="00ED2D18">
        <w:rPr>
          <w:rStyle w:val="BodyTextChar"/>
          <w:szCs w:val="20"/>
        </w:rPr>
        <w:instrText xml:space="preserve"> FORMCHECKBOX </w:instrText>
      </w:r>
      <w:r w:rsidR="000A0EC5">
        <w:rPr>
          <w:rStyle w:val="BodyTextChar"/>
          <w:szCs w:val="20"/>
        </w:rPr>
      </w:r>
      <w:r w:rsidR="000A0EC5">
        <w:rPr>
          <w:rStyle w:val="BodyTextChar"/>
          <w:szCs w:val="20"/>
        </w:rPr>
        <w:fldChar w:fldCharType="separate"/>
      </w:r>
      <w:r w:rsidR="00ED2D18">
        <w:rPr>
          <w:rStyle w:val="BodyTextChar"/>
          <w:szCs w:val="20"/>
        </w:rPr>
        <w:fldChar w:fldCharType="end"/>
      </w:r>
      <w:bookmarkEnd w:id="5"/>
      <w:r w:rsidRPr="00DF7792">
        <w:rPr>
          <w:rStyle w:val="BodyTextChar"/>
          <w:szCs w:val="20"/>
        </w:rPr>
        <w:tab/>
        <w:t>Not located within 500 feet of sewage treatment plant or disposal area or any land which is spray irrigated with treated sewage effluent or sludge disposal; [§290.43(b)(1)]</w:t>
      </w:r>
    </w:p>
    <w:p w14:paraId="2A7B85C8" w14:textId="77777777" w:rsidR="004B36C7" w:rsidRPr="00DF7792" w:rsidRDefault="004B36C7" w:rsidP="00DF7792">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DF7792">
        <w:rPr>
          <w:rStyle w:val="BodyTextChar"/>
          <w:szCs w:val="20"/>
        </w:rPr>
        <w:tab/>
      </w:r>
      <w:r w:rsidR="00FF4226">
        <w:rPr>
          <w:rStyle w:val="BodyTextChar"/>
          <w:szCs w:val="20"/>
        </w:rPr>
        <w:fldChar w:fldCharType="begin">
          <w:ffData>
            <w:name w:val="check4"/>
            <w:enabled/>
            <w:calcOnExit w:val="0"/>
            <w:checkBox>
              <w:sizeAuto/>
              <w:default w:val="0"/>
            </w:checkBox>
          </w:ffData>
        </w:fldChar>
      </w:r>
      <w:bookmarkStart w:id="6" w:name="check4"/>
      <w:r w:rsidR="00FF4226">
        <w:rPr>
          <w:rStyle w:val="BodyTextChar"/>
          <w:szCs w:val="20"/>
        </w:rPr>
        <w:instrText xml:space="preserve"> FORMCHECKBOX </w:instrText>
      </w:r>
      <w:r w:rsidR="000A0EC5">
        <w:rPr>
          <w:rStyle w:val="BodyTextChar"/>
          <w:szCs w:val="20"/>
        </w:rPr>
      </w:r>
      <w:r w:rsidR="000A0EC5">
        <w:rPr>
          <w:rStyle w:val="BodyTextChar"/>
          <w:szCs w:val="20"/>
        </w:rPr>
        <w:fldChar w:fldCharType="separate"/>
      </w:r>
      <w:r w:rsidR="00FF4226">
        <w:rPr>
          <w:rStyle w:val="BodyTextChar"/>
          <w:szCs w:val="20"/>
        </w:rPr>
        <w:fldChar w:fldCharType="end"/>
      </w:r>
      <w:bookmarkEnd w:id="6"/>
      <w:r w:rsidRPr="00DF7792">
        <w:rPr>
          <w:rStyle w:val="BodyTextChar"/>
          <w:szCs w:val="20"/>
        </w:rPr>
        <w:tab/>
        <w:t>Not located under any buildings and, when possible, constructed partially or above ground; [§290.43(b)(2)]</w:t>
      </w:r>
    </w:p>
    <w:p w14:paraId="5FC823DE" w14:textId="77777777" w:rsidR="004B36C7" w:rsidRPr="00DF7792" w:rsidRDefault="004B36C7" w:rsidP="00DF7792">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DF7792">
        <w:rPr>
          <w:rStyle w:val="BodyTextChar"/>
          <w:szCs w:val="20"/>
        </w:rPr>
        <w:tab/>
      </w:r>
      <w:r w:rsidR="00FF4226">
        <w:rPr>
          <w:rStyle w:val="BodyTextChar"/>
          <w:szCs w:val="20"/>
        </w:rPr>
        <w:fldChar w:fldCharType="begin">
          <w:ffData>
            <w:name w:val="check5"/>
            <w:enabled/>
            <w:calcOnExit w:val="0"/>
            <w:statusText w:type="text" w:val="Check this box if the following applies."/>
            <w:checkBox>
              <w:sizeAuto/>
              <w:default w:val="0"/>
            </w:checkBox>
          </w:ffData>
        </w:fldChar>
      </w:r>
      <w:r w:rsidR="00FF4226">
        <w:rPr>
          <w:rStyle w:val="BodyTextChar"/>
          <w:szCs w:val="20"/>
        </w:rPr>
        <w:instrText xml:space="preserve"> FORMCHECKBOX </w:instrText>
      </w:r>
      <w:r w:rsidR="000A0EC5">
        <w:rPr>
          <w:rStyle w:val="BodyTextChar"/>
          <w:szCs w:val="20"/>
        </w:rPr>
      </w:r>
      <w:r w:rsidR="000A0EC5">
        <w:rPr>
          <w:rStyle w:val="BodyTextChar"/>
          <w:szCs w:val="20"/>
        </w:rPr>
        <w:fldChar w:fldCharType="separate"/>
      </w:r>
      <w:r w:rsidR="00FF4226">
        <w:rPr>
          <w:rStyle w:val="BodyTextChar"/>
          <w:szCs w:val="20"/>
        </w:rPr>
        <w:fldChar w:fldCharType="end"/>
      </w:r>
      <w:r w:rsidRPr="00DF7792">
        <w:rPr>
          <w:rStyle w:val="BodyTextChar"/>
          <w:szCs w:val="20"/>
        </w:rPr>
        <w:tab/>
        <w:t>Not located below ground level within 50 feet of a sanitary sewer or septic tank (10 feet for pressure rated pipe with pressure-tested, watertight joints); [§290.43(b)(3)]</w:t>
      </w:r>
    </w:p>
    <w:p w14:paraId="1C14F02A" w14:textId="77777777" w:rsidR="004B36C7" w:rsidRPr="00DF7792" w:rsidRDefault="004B36C7" w:rsidP="00DF7792">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DF7792">
        <w:rPr>
          <w:rStyle w:val="BodyTextChar"/>
          <w:szCs w:val="20"/>
        </w:rPr>
        <w:tab/>
      </w:r>
      <w:r w:rsidR="00FF4226">
        <w:rPr>
          <w:rStyle w:val="BodyTextChar"/>
          <w:szCs w:val="20"/>
        </w:rPr>
        <w:fldChar w:fldCharType="begin">
          <w:ffData>
            <w:name w:val="check6"/>
            <w:enabled/>
            <w:calcOnExit w:val="0"/>
            <w:statusText w:type="text" w:val="Check this box if the following applies."/>
            <w:checkBox>
              <w:sizeAuto/>
              <w:default w:val="0"/>
            </w:checkBox>
          </w:ffData>
        </w:fldChar>
      </w:r>
      <w:bookmarkStart w:id="7" w:name="check6"/>
      <w:r w:rsidR="00FF4226">
        <w:rPr>
          <w:rStyle w:val="BodyTextChar"/>
          <w:szCs w:val="20"/>
        </w:rPr>
        <w:instrText xml:space="preserve"> FORMCHECKBOX </w:instrText>
      </w:r>
      <w:r w:rsidR="000A0EC5">
        <w:rPr>
          <w:rStyle w:val="BodyTextChar"/>
          <w:szCs w:val="20"/>
        </w:rPr>
      </w:r>
      <w:r w:rsidR="000A0EC5">
        <w:rPr>
          <w:rStyle w:val="BodyTextChar"/>
          <w:szCs w:val="20"/>
        </w:rPr>
        <w:fldChar w:fldCharType="separate"/>
      </w:r>
      <w:r w:rsidR="00FF4226">
        <w:rPr>
          <w:rStyle w:val="BodyTextChar"/>
          <w:szCs w:val="20"/>
        </w:rPr>
        <w:fldChar w:fldCharType="end"/>
      </w:r>
      <w:bookmarkEnd w:id="7"/>
      <w:r w:rsidRPr="00DF7792">
        <w:rPr>
          <w:rStyle w:val="BodyTextChar"/>
          <w:szCs w:val="20"/>
        </w:rPr>
        <w:tab/>
        <w:t xml:space="preserve">Not below ground level within 150 feet of a </w:t>
      </w:r>
      <w:proofErr w:type="spellStart"/>
      <w:r w:rsidRPr="00DF7792">
        <w:rPr>
          <w:rStyle w:val="BodyTextChar"/>
          <w:szCs w:val="20"/>
        </w:rPr>
        <w:t>drainfield</w:t>
      </w:r>
      <w:proofErr w:type="spellEnd"/>
      <w:r w:rsidRPr="00DF7792">
        <w:rPr>
          <w:rStyle w:val="BodyTextChar"/>
          <w:szCs w:val="20"/>
        </w:rPr>
        <w:t>; [§290.43(b)(4)]</w:t>
      </w:r>
    </w:p>
    <w:p w14:paraId="6A4E400A" w14:textId="77777777" w:rsidR="004B36C7" w:rsidRPr="00DF7792" w:rsidRDefault="004B36C7" w:rsidP="00DF7792">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DF7792">
        <w:rPr>
          <w:rStyle w:val="BodyTextChar"/>
          <w:szCs w:val="20"/>
        </w:rPr>
        <w:tab/>
      </w:r>
      <w:r w:rsidR="00FF4226">
        <w:rPr>
          <w:rStyle w:val="BodyTextChar"/>
          <w:szCs w:val="20"/>
        </w:rPr>
        <w:fldChar w:fldCharType="begin">
          <w:ffData>
            <w:name w:val="check7"/>
            <w:enabled/>
            <w:calcOnExit w:val="0"/>
            <w:statusText w:type="text" w:val="Check this box if the following applies."/>
            <w:checkBox>
              <w:sizeAuto/>
              <w:default w:val="0"/>
            </w:checkBox>
          </w:ffData>
        </w:fldChar>
      </w:r>
      <w:bookmarkStart w:id="8" w:name="check7"/>
      <w:r w:rsidR="00FF4226">
        <w:rPr>
          <w:rStyle w:val="BodyTextChar"/>
          <w:szCs w:val="20"/>
        </w:rPr>
        <w:instrText xml:space="preserve"> FORMCHECKBOX </w:instrText>
      </w:r>
      <w:r w:rsidR="000A0EC5">
        <w:rPr>
          <w:rStyle w:val="BodyTextChar"/>
          <w:szCs w:val="20"/>
        </w:rPr>
      </w:r>
      <w:r w:rsidR="000A0EC5">
        <w:rPr>
          <w:rStyle w:val="BodyTextChar"/>
          <w:szCs w:val="20"/>
        </w:rPr>
        <w:fldChar w:fldCharType="separate"/>
      </w:r>
      <w:r w:rsidR="00FF4226">
        <w:rPr>
          <w:rStyle w:val="BodyTextChar"/>
          <w:szCs w:val="20"/>
        </w:rPr>
        <w:fldChar w:fldCharType="end"/>
      </w:r>
      <w:bookmarkEnd w:id="8"/>
      <w:r w:rsidRPr="00DF7792">
        <w:rPr>
          <w:rStyle w:val="BodyTextChar"/>
          <w:szCs w:val="20"/>
        </w:rPr>
        <w:tab/>
        <w:t>All facilities for potable water storage shall be covered and designed, fabricated, erected, tested, and disinfected in strict accordance with current American Water Works Association (AWWA) standards and shall be provided with the minimum number, size and type of: [§290.43(c)]</w:t>
      </w:r>
    </w:p>
    <w:p w14:paraId="56FBB618" w14:textId="77777777" w:rsidR="004B36C7" w:rsidRPr="008B2EE7" w:rsidRDefault="00FF4226" w:rsidP="00851CBA">
      <w:pPr>
        <w:pStyle w:val="Level1"/>
        <w:numPr>
          <w:ilvl w:val="0"/>
          <w:numId w:val="18"/>
        </w:numPr>
        <w:autoSpaceDE w:val="0"/>
        <w:autoSpaceDN w:val="0"/>
        <w:adjustRightInd w:val="0"/>
        <w:ind w:left="1440" w:hanging="576"/>
        <w:rPr>
          <w:rStyle w:val="BodyTextChar"/>
          <w:rFonts w:eastAsiaTheme="minorHAnsi"/>
        </w:rPr>
      </w:pPr>
      <w:r>
        <w:rPr>
          <w:rStyle w:val="BodyTextChar"/>
          <w:rFonts w:eastAsiaTheme="minorHAnsi"/>
        </w:rPr>
        <w:fldChar w:fldCharType="begin">
          <w:ffData>
            <w:name w:val="check8"/>
            <w:enabled/>
            <w:calcOnExit w:val="0"/>
            <w:statusText w:type="text" w:val="Check this box if the following applies."/>
            <w:checkBox>
              <w:sizeAuto/>
              <w:default w:val="0"/>
            </w:checkBox>
          </w:ffData>
        </w:fldChar>
      </w:r>
      <w:bookmarkStart w:id="9" w:name="check8"/>
      <w:r>
        <w:rPr>
          <w:rStyle w:val="BodyTextChar"/>
          <w:rFonts w:eastAsiaTheme="minorHAnsi"/>
        </w:rPr>
        <w:instrText xml:space="preserve"> FORMCHECKBOX </w:instrText>
      </w:r>
      <w:r w:rsidR="000A0EC5">
        <w:rPr>
          <w:rStyle w:val="BodyTextChar"/>
          <w:rFonts w:eastAsiaTheme="minorHAnsi"/>
        </w:rPr>
      </w:r>
      <w:r w:rsidR="000A0EC5">
        <w:rPr>
          <w:rStyle w:val="BodyTextChar"/>
          <w:rFonts w:eastAsiaTheme="minorHAnsi"/>
        </w:rPr>
        <w:fldChar w:fldCharType="separate"/>
      </w:r>
      <w:r>
        <w:rPr>
          <w:rStyle w:val="BodyTextChar"/>
          <w:rFonts w:eastAsiaTheme="minorHAnsi"/>
        </w:rPr>
        <w:fldChar w:fldCharType="end"/>
      </w:r>
      <w:bookmarkEnd w:id="9"/>
      <w:r w:rsidR="004B36C7" w:rsidRPr="008B2EE7">
        <w:rPr>
          <w:rStyle w:val="BodyTextChar"/>
          <w:rFonts w:eastAsiaTheme="minorHAnsi"/>
        </w:rPr>
        <w:tab/>
        <w:t>Roof vents;</w:t>
      </w:r>
    </w:p>
    <w:p w14:paraId="1185973B" w14:textId="77777777" w:rsidR="004B36C7" w:rsidRPr="008B2EE7" w:rsidRDefault="00FF4226" w:rsidP="00851CBA">
      <w:pPr>
        <w:pStyle w:val="Level1"/>
        <w:numPr>
          <w:ilvl w:val="0"/>
          <w:numId w:val="18"/>
        </w:numPr>
        <w:autoSpaceDE w:val="0"/>
        <w:autoSpaceDN w:val="0"/>
        <w:adjustRightInd w:val="0"/>
        <w:ind w:left="1440" w:hanging="576"/>
        <w:rPr>
          <w:rStyle w:val="BodyTextChar"/>
          <w:rFonts w:eastAsiaTheme="minorHAnsi"/>
        </w:rPr>
      </w:pPr>
      <w:r>
        <w:rPr>
          <w:rStyle w:val="BodyTextChar"/>
          <w:rFonts w:eastAsiaTheme="minorHAnsi"/>
        </w:rPr>
        <w:fldChar w:fldCharType="begin">
          <w:ffData>
            <w:name w:val="check9"/>
            <w:enabled/>
            <w:calcOnExit w:val="0"/>
            <w:statusText w:type="text" w:val="Check this box if the following applies."/>
            <w:checkBox>
              <w:sizeAuto/>
              <w:default w:val="0"/>
            </w:checkBox>
          </w:ffData>
        </w:fldChar>
      </w:r>
      <w:bookmarkStart w:id="10" w:name="check9"/>
      <w:r>
        <w:rPr>
          <w:rStyle w:val="BodyTextChar"/>
          <w:rFonts w:eastAsiaTheme="minorHAnsi"/>
        </w:rPr>
        <w:instrText xml:space="preserve"> FORMCHECKBOX </w:instrText>
      </w:r>
      <w:r w:rsidR="000A0EC5">
        <w:rPr>
          <w:rStyle w:val="BodyTextChar"/>
          <w:rFonts w:eastAsiaTheme="minorHAnsi"/>
        </w:rPr>
      </w:r>
      <w:r w:rsidR="000A0EC5">
        <w:rPr>
          <w:rStyle w:val="BodyTextChar"/>
          <w:rFonts w:eastAsiaTheme="minorHAnsi"/>
        </w:rPr>
        <w:fldChar w:fldCharType="separate"/>
      </w:r>
      <w:r>
        <w:rPr>
          <w:rStyle w:val="BodyTextChar"/>
          <w:rFonts w:eastAsiaTheme="minorHAnsi"/>
        </w:rPr>
        <w:fldChar w:fldCharType="end"/>
      </w:r>
      <w:bookmarkEnd w:id="10"/>
      <w:r w:rsidR="004B36C7" w:rsidRPr="008B2EE7">
        <w:rPr>
          <w:rStyle w:val="BodyTextChar"/>
          <w:rFonts w:eastAsiaTheme="minorHAnsi"/>
        </w:rPr>
        <w:tab/>
        <w:t>Manways;</w:t>
      </w:r>
    </w:p>
    <w:p w14:paraId="4D07641C" w14:textId="77777777" w:rsidR="004B36C7" w:rsidRPr="008B2EE7" w:rsidRDefault="00FF4226" w:rsidP="00851CBA">
      <w:pPr>
        <w:pStyle w:val="Level1"/>
        <w:numPr>
          <w:ilvl w:val="0"/>
          <w:numId w:val="18"/>
        </w:numPr>
        <w:autoSpaceDE w:val="0"/>
        <w:autoSpaceDN w:val="0"/>
        <w:adjustRightInd w:val="0"/>
        <w:ind w:left="1440" w:hanging="576"/>
        <w:rPr>
          <w:rStyle w:val="BodyTextChar"/>
          <w:rFonts w:eastAsiaTheme="minorHAnsi"/>
        </w:rPr>
      </w:pPr>
      <w:r>
        <w:rPr>
          <w:rStyle w:val="BodyTextChar"/>
          <w:rFonts w:eastAsiaTheme="minorHAnsi"/>
        </w:rPr>
        <w:fldChar w:fldCharType="begin">
          <w:ffData>
            <w:name w:val="check10"/>
            <w:enabled/>
            <w:calcOnExit w:val="0"/>
            <w:statusText w:type="text" w:val="Check this box if the following applies."/>
            <w:checkBox>
              <w:sizeAuto/>
              <w:default w:val="0"/>
            </w:checkBox>
          </w:ffData>
        </w:fldChar>
      </w:r>
      <w:bookmarkStart w:id="11" w:name="check10"/>
      <w:r>
        <w:rPr>
          <w:rStyle w:val="BodyTextChar"/>
          <w:rFonts w:eastAsiaTheme="minorHAnsi"/>
        </w:rPr>
        <w:instrText xml:space="preserve"> FORMCHECKBOX </w:instrText>
      </w:r>
      <w:r w:rsidR="000A0EC5">
        <w:rPr>
          <w:rStyle w:val="BodyTextChar"/>
          <w:rFonts w:eastAsiaTheme="minorHAnsi"/>
        </w:rPr>
      </w:r>
      <w:r w:rsidR="000A0EC5">
        <w:rPr>
          <w:rStyle w:val="BodyTextChar"/>
          <w:rFonts w:eastAsiaTheme="minorHAnsi"/>
        </w:rPr>
        <w:fldChar w:fldCharType="separate"/>
      </w:r>
      <w:r>
        <w:rPr>
          <w:rStyle w:val="BodyTextChar"/>
          <w:rFonts w:eastAsiaTheme="minorHAnsi"/>
        </w:rPr>
        <w:fldChar w:fldCharType="end"/>
      </w:r>
      <w:bookmarkEnd w:id="11"/>
      <w:r w:rsidR="004B36C7" w:rsidRPr="008B2EE7">
        <w:rPr>
          <w:rStyle w:val="BodyTextChar"/>
          <w:rFonts w:eastAsiaTheme="minorHAnsi"/>
        </w:rPr>
        <w:tab/>
        <w:t>Drains;</w:t>
      </w:r>
    </w:p>
    <w:p w14:paraId="2F98706C" w14:textId="77777777" w:rsidR="004B36C7" w:rsidRPr="008B2EE7" w:rsidRDefault="00FF4226" w:rsidP="00851CBA">
      <w:pPr>
        <w:pStyle w:val="Level1"/>
        <w:numPr>
          <w:ilvl w:val="0"/>
          <w:numId w:val="18"/>
        </w:numPr>
        <w:autoSpaceDE w:val="0"/>
        <w:autoSpaceDN w:val="0"/>
        <w:adjustRightInd w:val="0"/>
        <w:ind w:left="1440" w:hanging="576"/>
        <w:rPr>
          <w:rStyle w:val="BodyTextChar"/>
          <w:rFonts w:eastAsiaTheme="minorHAnsi"/>
        </w:rPr>
      </w:pPr>
      <w:r>
        <w:rPr>
          <w:rStyle w:val="BodyTextChar"/>
          <w:rFonts w:eastAsiaTheme="minorHAnsi"/>
        </w:rPr>
        <w:fldChar w:fldCharType="begin">
          <w:ffData>
            <w:name w:val="check11"/>
            <w:enabled/>
            <w:calcOnExit w:val="0"/>
            <w:statusText w:type="text" w:val="Check this box if the following applies."/>
            <w:checkBox>
              <w:sizeAuto/>
              <w:default w:val="0"/>
            </w:checkBox>
          </w:ffData>
        </w:fldChar>
      </w:r>
      <w:bookmarkStart w:id="12" w:name="check11"/>
      <w:r>
        <w:rPr>
          <w:rStyle w:val="BodyTextChar"/>
          <w:rFonts w:eastAsiaTheme="minorHAnsi"/>
        </w:rPr>
        <w:instrText xml:space="preserve"> FORMCHECKBOX </w:instrText>
      </w:r>
      <w:r w:rsidR="000A0EC5">
        <w:rPr>
          <w:rStyle w:val="BodyTextChar"/>
          <w:rFonts w:eastAsiaTheme="minorHAnsi"/>
        </w:rPr>
      </w:r>
      <w:r w:rsidR="000A0EC5">
        <w:rPr>
          <w:rStyle w:val="BodyTextChar"/>
          <w:rFonts w:eastAsiaTheme="minorHAnsi"/>
        </w:rPr>
        <w:fldChar w:fldCharType="separate"/>
      </w:r>
      <w:r>
        <w:rPr>
          <w:rStyle w:val="BodyTextChar"/>
          <w:rFonts w:eastAsiaTheme="minorHAnsi"/>
        </w:rPr>
        <w:fldChar w:fldCharType="end"/>
      </w:r>
      <w:bookmarkEnd w:id="12"/>
      <w:r w:rsidR="004B36C7" w:rsidRPr="008B2EE7">
        <w:rPr>
          <w:rStyle w:val="BodyTextChar"/>
          <w:rFonts w:eastAsiaTheme="minorHAnsi"/>
        </w:rPr>
        <w:tab/>
        <w:t xml:space="preserve">Sample connections; </w:t>
      </w:r>
    </w:p>
    <w:p w14:paraId="061DA871" w14:textId="77777777" w:rsidR="004B36C7" w:rsidRPr="008B2EE7" w:rsidRDefault="00FF4226" w:rsidP="00851CBA">
      <w:pPr>
        <w:pStyle w:val="Level1"/>
        <w:numPr>
          <w:ilvl w:val="0"/>
          <w:numId w:val="18"/>
        </w:numPr>
        <w:autoSpaceDE w:val="0"/>
        <w:autoSpaceDN w:val="0"/>
        <w:adjustRightInd w:val="0"/>
        <w:ind w:left="1440" w:hanging="576"/>
        <w:rPr>
          <w:rStyle w:val="BodyTextChar"/>
          <w:rFonts w:eastAsiaTheme="minorHAnsi"/>
        </w:rPr>
      </w:pPr>
      <w:r>
        <w:rPr>
          <w:rStyle w:val="BodyTextChar"/>
          <w:rFonts w:eastAsiaTheme="minorHAnsi"/>
        </w:rPr>
        <w:fldChar w:fldCharType="begin">
          <w:ffData>
            <w:name w:val="check12"/>
            <w:enabled/>
            <w:calcOnExit w:val="0"/>
            <w:statusText w:type="text" w:val="Check this box if the following applies."/>
            <w:checkBox>
              <w:sizeAuto/>
              <w:default w:val="0"/>
            </w:checkBox>
          </w:ffData>
        </w:fldChar>
      </w:r>
      <w:bookmarkStart w:id="13" w:name="check12"/>
      <w:r>
        <w:rPr>
          <w:rStyle w:val="BodyTextChar"/>
          <w:rFonts w:eastAsiaTheme="minorHAnsi"/>
        </w:rPr>
        <w:instrText xml:space="preserve"> FORMCHECKBOX </w:instrText>
      </w:r>
      <w:r w:rsidR="000A0EC5">
        <w:rPr>
          <w:rStyle w:val="BodyTextChar"/>
          <w:rFonts w:eastAsiaTheme="minorHAnsi"/>
        </w:rPr>
      </w:r>
      <w:r w:rsidR="000A0EC5">
        <w:rPr>
          <w:rStyle w:val="BodyTextChar"/>
          <w:rFonts w:eastAsiaTheme="minorHAnsi"/>
        </w:rPr>
        <w:fldChar w:fldCharType="separate"/>
      </w:r>
      <w:r>
        <w:rPr>
          <w:rStyle w:val="BodyTextChar"/>
          <w:rFonts w:eastAsiaTheme="minorHAnsi"/>
        </w:rPr>
        <w:fldChar w:fldCharType="end"/>
      </w:r>
      <w:bookmarkEnd w:id="13"/>
      <w:r w:rsidR="004B36C7" w:rsidRPr="008B2EE7">
        <w:rPr>
          <w:rStyle w:val="BodyTextChar"/>
          <w:rFonts w:eastAsiaTheme="minorHAnsi"/>
        </w:rPr>
        <w:tab/>
        <w:t>Access ladders;</w:t>
      </w:r>
    </w:p>
    <w:p w14:paraId="3AD3BC49" w14:textId="77777777" w:rsidR="004B36C7" w:rsidRPr="008B2EE7" w:rsidRDefault="00FF4226" w:rsidP="00851CBA">
      <w:pPr>
        <w:pStyle w:val="Level1"/>
        <w:numPr>
          <w:ilvl w:val="0"/>
          <w:numId w:val="18"/>
        </w:numPr>
        <w:autoSpaceDE w:val="0"/>
        <w:autoSpaceDN w:val="0"/>
        <w:adjustRightInd w:val="0"/>
        <w:ind w:left="1440" w:hanging="576"/>
        <w:rPr>
          <w:rStyle w:val="BodyTextChar"/>
          <w:rFonts w:eastAsiaTheme="minorHAnsi"/>
        </w:rPr>
      </w:pPr>
      <w:r>
        <w:rPr>
          <w:rStyle w:val="BodyTextChar"/>
          <w:rFonts w:eastAsiaTheme="minorHAnsi"/>
        </w:rPr>
        <w:fldChar w:fldCharType="begin">
          <w:ffData>
            <w:name w:val="check13"/>
            <w:enabled/>
            <w:calcOnExit w:val="0"/>
            <w:statusText w:type="text" w:val="Check this box if the following applies."/>
            <w:checkBox>
              <w:sizeAuto/>
              <w:default w:val="0"/>
            </w:checkBox>
          </w:ffData>
        </w:fldChar>
      </w:r>
      <w:bookmarkStart w:id="14" w:name="check13"/>
      <w:r>
        <w:rPr>
          <w:rStyle w:val="BodyTextChar"/>
          <w:rFonts w:eastAsiaTheme="minorHAnsi"/>
        </w:rPr>
        <w:instrText xml:space="preserve"> FORMCHECKBOX </w:instrText>
      </w:r>
      <w:r w:rsidR="000A0EC5">
        <w:rPr>
          <w:rStyle w:val="BodyTextChar"/>
          <w:rFonts w:eastAsiaTheme="minorHAnsi"/>
        </w:rPr>
      </w:r>
      <w:r w:rsidR="000A0EC5">
        <w:rPr>
          <w:rStyle w:val="BodyTextChar"/>
          <w:rFonts w:eastAsiaTheme="minorHAnsi"/>
        </w:rPr>
        <w:fldChar w:fldCharType="separate"/>
      </w:r>
      <w:r>
        <w:rPr>
          <w:rStyle w:val="BodyTextChar"/>
          <w:rFonts w:eastAsiaTheme="minorHAnsi"/>
        </w:rPr>
        <w:fldChar w:fldCharType="end"/>
      </w:r>
      <w:bookmarkEnd w:id="14"/>
      <w:r w:rsidR="004B36C7" w:rsidRPr="008B2EE7">
        <w:rPr>
          <w:rStyle w:val="BodyTextChar"/>
          <w:rFonts w:eastAsiaTheme="minorHAnsi"/>
        </w:rPr>
        <w:tab/>
        <w:t xml:space="preserve">Overflows; and </w:t>
      </w:r>
    </w:p>
    <w:p w14:paraId="67EB1010" w14:textId="77777777" w:rsidR="004B36C7" w:rsidRDefault="00FF4226" w:rsidP="00851CBA">
      <w:pPr>
        <w:pStyle w:val="Level1"/>
        <w:numPr>
          <w:ilvl w:val="0"/>
          <w:numId w:val="18"/>
        </w:numPr>
        <w:autoSpaceDE w:val="0"/>
        <w:autoSpaceDN w:val="0"/>
        <w:adjustRightInd w:val="0"/>
        <w:ind w:left="1440" w:hanging="576"/>
        <w:rPr>
          <w:rStyle w:val="BodyTextChar"/>
          <w:rFonts w:eastAsiaTheme="minorHAnsi"/>
        </w:rPr>
      </w:pPr>
      <w:r>
        <w:rPr>
          <w:rStyle w:val="BodyTextChar"/>
          <w:rFonts w:eastAsiaTheme="minorHAnsi"/>
        </w:rPr>
        <w:fldChar w:fldCharType="begin">
          <w:ffData>
            <w:name w:val="check14"/>
            <w:enabled/>
            <w:calcOnExit w:val="0"/>
            <w:statusText w:type="text" w:val="Check this box if the following applies."/>
            <w:checkBox>
              <w:sizeAuto/>
              <w:default w:val="0"/>
            </w:checkBox>
          </w:ffData>
        </w:fldChar>
      </w:r>
      <w:bookmarkStart w:id="15" w:name="check14"/>
      <w:r>
        <w:rPr>
          <w:rStyle w:val="BodyTextChar"/>
          <w:rFonts w:eastAsiaTheme="minorHAnsi"/>
        </w:rPr>
        <w:instrText xml:space="preserve"> FORMCHECKBOX </w:instrText>
      </w:r>
      <w:r w:rsidR="000A0EC5">
        <w:rPr>
          <w:rStyle w:val="BodyTextChar"/>
          <w:rFonts w:eastAsiaTheme="minorHAnsi"/>
        </w:rPr>
      </w:r>
      <w:r w:rsidR="000A0EC5">
        <w:rPr>
          <w:rStyle w:val="BodyTextChar"/>
          <w:rFonts w:eastAsiaTheme="minorHAnsi"/>
        </w:rPr>
        <w:fldChar w:fldCharType="separate"/>
      </w:r>
      <w:r>
        <w:rPr>
          <w:rStyle w:val="BodyTextChar"/>
          <w:rFonts w:eastAsiaTheme="minorHAnsi"/>
        </w:rPr>
        <w:fldChar w:fldCharType="end"/>
      </w:r>
      <w:bookmarkEnd w:id="15"/>
      <w:r w:rsidR="004B36C7" w:rsidRPr="008B2EE7">
        <w:rPr>
          <w:rStyle w:val="BodyTextChar"/>
          <w:rFonts w:eastAsiaTheme="minorHAnsi"/>
        </w:rPr>
        <w:tab/>
        <w:t>Liquid level indicators.</w:t>
      </w:r>
    </w:p>
    <w:p w14:paraId="3FD423F5" w14:textId="77777777" w:rsidR="00DE0199" w:rsidRPr="008B2EE7" w:rsidRDefault="00DE0199" w:rsidP="00DE0199">
      <w:pPr>
        <w:pStyle w:val="Level1"/>
        <w:autoSpaceDE w:val="0"/>
        <w:autoSpaceDN w:val="0"/>
        <w:adjustRightInd w:val="0"/>
        <w:ind w:left="864"/>
        <w:rPr>
          <w:rStyle w:val="BodyTextChar"/>
          <w:rFonts w:eastAsiaTheme="minorHAnsi"/>
        </w:rPr>
      </w:pPr>
    </w:p>
    <w:p w14:paraId="4874484B" w14:textId="77777777" w:rsidR="004B36C7" w:rsidRPr="00DF7792" w:rsidRDefault="004B36C7" w:rsidP="00DF7792">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DF7792">
        <w:rPr>
          <w:rStyle w:val="BodyTextChar"/>
          <w:szCs w:val="20"/>
        </w:rPr>
        <w:tab/>
      </w:r>
      <w:r w:rsidR="00FF4226">
        <w:rPr>
          <w:rStyle w:val="BodyTextChar"/>
          <w:szCs w:val="20"/>
        </w:rPr>
        <w:fldChar w:fldCharType="begin">
          <w:ffData>
            <w:name w:val="check15"/>
            <w:enabled/>
            <w:calcOnExit w:val="0"/>
            <w:statusText w:type="text" w:val="Check this box if the following applies."/>
            <w:checkBox>
              <w:sizeAuto/>
              <w:default w:val="0"/>
            </w:checkBox>
          </w:ffData>
        </w:fldChar>
      </w:r>
      <w:bookmarkStart w:id="16" w:name="check15"/>
      <w:r w:rsidR="00FF4226">
        <w:rPr>
          <w:rStyle w:val="BodyTextChar"/>
          <w:szCs w:val="20"/>
        </w:rPr>
        <w:instrText xml:space="preserve"> FORMCHECKBOX </w:instrText>
      </w:r>
      <w:r w:rsidR="000A0EC5">
        <w:rPr>
          <w:rStyle w:val="BodyTextChar"/>
          <w:szCs w:val="20"/>
        </w:rPr>
      </w:r>
      <w:r w:rsidR="000A0EC5">
        <w:rPr>
          <w:rStyle w:val="BodyTextChar"/>
          <w:szCs w:val="20"/>
        </w:rPr>
        <w:fldChar w:fldCharType="separate"/>
      </w:r>
      <w:r w:rsidR="00FF4226">
        <w:rPr>
          <w:rStyle w:val="BodyTextChar"/>
          <w:szCs w:val="20"/>
        </w:rPr>
        <w:fldChar w:fldCharType="end"/>
      </w:r>
      <w:bookmarkEnd w:id="16"/>
      <w:r w:rsidRPr="00DF7792">
        <w:rPr>
          <w:rStyle w:val="BodyTextChar"/>
          <w:szCs w:val="20"/>
        </w:rPr>
        <w:tab/>
        <w:t>The roof of all tanks shall be designed and erected so that no water ponds at any point on the roof and, in addition, no area of the roof shall have a slope of less than 0.75 inch per foot; [§290.43(c)]</w:t>
      </w:r>
    </w:p>
    <w:p w14:paraId="30063A5E" w14:textId="77777777" w:rsidR="004B36C7" w:rsidRPr="00DF7792" w:rsidRDefault="004B36C7" w:rsidP="00DF7792">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DF7792">
        <w:rPr>
          <w:rStyle w:val="BodyTextChar"/>
          <w:szCs w:val="20"/>
        </w:rPr>
        <w:tab/>
      </w:r>
      <w:r w:rsidR="00FF4226">
        <w:rPr>
          <w:rStyle w:val="BodyTextChar"/>
          <w:szCs w:val="20"/>
        </w:rPr>
        <w:fldChar w:fldCharType="begin">
          <w:ffData>
            <w:name w:val="check16"/>
            <w:enabled/>
            <w:calcOnExit w:val="0"/>
            <w:statusText w:type="text" w:val="Check this box if the following applies."/>
            <w:checkBox>
              <w:sizeAuto/>
              <w:default w:val="0"/>
            </w:checkBox>
          </w:ffData>
        </w:fldChar>
      </w:r>
      <w:bookmarkStart w:id="17" w:name="check16"/>
      <w:r w:rsidR="00FF4226">
        <w:rPr>
          <w:rStyle w:val="BodyTextChar"/>
          <w:szCs w:val="20"/>
        </w:rPr>
        <w:instrText xml:space="preserve"> FORMCHECKBOX </w:instrText>
      </w:r>
      <w:r w:rsidR="000A0EC5">
        <w:rPr>
          <w:rStyle w:val="BodyTextChar"/>
          <w:szCs w:val="20"/>
        </w:rPr>
      </w:r>
      <w:r w:rsidR="000A0EC5">
        <w:rPr>
          <w:rStyle w:val="BodyTextChar"/>
          <w:szCs w:val="20"/>
        </w:rPr>
        <w:fldChar w:fldCharType="separate"/>
      </w:r>
      <w:r w:rsidR="00FF4226">
        <w:rPr>
          <w:rStyle w:val="BodyTextChar"/>
          <w:szCs w:val="20"/>
        </w:rPr>
        <w:fldChar w:fldCharType="end"/>
      </w:r>
      <w:bookmarkEnd w:id="17"/>
      <w:r w:rsidRPr="00DF7792">
        <w:rPr>
          <w:rStyle w:val="BodyTextChar"/>
          <w:szCs w:val="20"/>
        </w:rPr>
        <w:tab/>
        <w:t>Roof vents shall be gooseneck or roof ventilator and designed based on the maximum outflow; [§290.43(c)(1)]</w:t>
      </w:r>
    </w:p>
    <w:p w14:paraId="79F9E8CF" w14:textId="77777777" w:rsidR="004B36C7" w:rsidRDefault="004B36C7" w:rsidP="00DF7792">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DF7792">
        <w:rPr>
          <w:rStyle w:val="BodyTextChar"/>
          <w:szCs w:val="20"/>
        </w:rPr>
        <w:tab/>
      </w:r>
      <w:r w:rsidR="00FF4226">
        <w:rPr>
          <w:rStyle w:val="BodyTextChar"/>
          <w:szCs w:val="20"/>
        </w:rPr>
        <w:fldChar w:fldCharType="begin">
          <w:ffData>
            <w:name w:val="check17"/>
            <w:enabled/>
            <w:calcOnExit w:val="0"/>
            <w:statusText w:type="text" w:val="Check this box if the following applies."/>
            <w:checkBox>
              <w:sizeAuto/>
              <w:default w:val="0"/>
            </w:checkBox>
          </w:ffData>
        </w:fldChar>
      </w:r>
      <w:bookmarkStart w:id="18" w:name="check17"/>
      <w:r w:rsidR="00FF4226">
        <w:rPr>
          <w:rStyle w:val="BodyTextChar"/>
          <w:szCs w:val="20"/>
        </w:rPr>
        <w:instrText xml:space="preserve"> FORMCHECKBOX </w:instrText>
      </w:r>
      <w:r w:rsidR="000A0EC5">
        <w:rPr>
          <w:rStyle w:val="BodyTextChar"/>
          <w:szCs w:val="20"/>
        </w:rPr>
      </w:r>
      <w:r w:rsidR="000A0EC5">
        <w:rPr>
          <w:rStyle w:val="BodyTextChar"/>
          <w:szCs w:val="20"/>
        </w:rPr>
        <w:fldChar w:fldCharType="separate"/>
      </w:r>
      <w:r w:rsidR="00FF4226">
        <w:rPr>
          <w:rStyle w:val="BodyTextChar"/>
          <w:szCs w:val="20"/>
        </w:rPr>
        <w:fldChar w:fldCharType="end"/>
      </w:r>
      <w:bookmarkEnd w:id="18"/>
      <w:r w:rsidRPr="00DF7792">
        <w:rPr>
          <w:rStyle w:val="BodyTextChar"/>
          <w:szCs w:val="20"/>
        </w:rPr>
        <w:tab/>
        <w:t>Vents shall be equipped with screens fabricated of corrosion-resistant material and shall be 16-mesh or finer; [§290.43(c)(1)]</w:t>
      </w:r>
    </w:p>
    <w:p w14:paraId="0365440A" w14:textId="77777777" w:rsidR="00A140FC" w:rsidRDefault="00A140FC">
      <w:pPr>
        <w:spacing w:before="-1" w:after="-1"/>
        <w:rPr>
          <w:rStyle w:val="BodyTextChar"/>
        </w:rPr>
      </w:pPr>
      <w:r>
        <w:rPr>
          <w:rStyle w:val="BodyTextChar"/>
        </w:rPr>
        <w:br w:type="page"/>
      </w:r>
    </w:p>
    <w:p w14:paraId="5EEFEA67" w14:textId="77777777" w:rsidR="004B36C7" w:rsidRPr="00DF7792" w:rsidRDefault="004B36C7" w:rsidP="00DF7792">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DF7792">
        <w:rPr>
          <w:rStyle w:val="BodyTextChar"/>
          <w:szCs w:val="20"/>
        </w:rPr>
        <w:lastRenderedPageBreak/>
        <w:tab/>
      </w:r>
      <w:r w:rsidR="00FF4226">
        <w:rPr>
          <w:rStyle w:val="BodyTextChar"/>
          <w:szCs w:val="20"/>
        </w:rPr>
        <w:fldChar w:fldCharType="begin">
          <w:ffData>
            <w:name w:val="check18"/>
            <w:enabled/>
            <w:calcOnExit w:val="0"/>
            <w:statusText w:type="text" w:val="Check this box if the following applies."/>
            <w:checkBox>
              <w:sizeAuto/>
              <w:default w:val="0"/>
            </w:checkBox>
          </w:ffData>
        </w:fldChar>
      </w:r>
      <w:bookmarkStart w:id="19" w:name="check18"/>
      <w:r w:rsidR="00FF4226">
        <w:rPr>
          <w:rStyle w:val="BodyTextChar"/>
          <w:szCs w:val="20"/>
        </w:rPr>
        <w:instrText xml:space="preserve"> FORMCHECKBOX </w:instrText>
      </w:r>
      <w:r w:rsidR="000A0EC5">
        <w:rPr>
          <w:rStyle w:val="BodyTextChar"/>
          <w:szCs w:val="20"/>
        </w:rPr>
      </w:r>
      <w:r w:rsidR="000A0EC5">
        <w:rPr>
          <w:rStyle w:val="BodyTextChar"/>
          <w:szCs w:val="20"/>
        </w:rPr>
        <w:fldChar w:fldCharType="separate"/>
      </w:r>
      <w:r w:rsidR="00FF4226">
        <w:rPr>
          <w:rStyle w:val="BodyTextChar"/>
          <w:szCs w:val="20"/>
        </w:rPr>
        <w:fldChar w:fldCharType="end"/>
      </w:r>
      <w:bookmarkEnd w:id="19"/>
      <w:r w:rsidRPr="00DF7792">
        <w:rPr>
          <w:rStyle w:val="BodyTextChar"/>
          <w:szCs w:val="20"/>
        </w:rPr>
        <w:tab/>
        <w:t>All roof openings shall be 30 inches in diameter. If an alternate 30-inch diameter access opening is provided, the roof opening shall not be less than 24 inches in diameter. Each access opening shall have a raised curbing at least four inches in height with a lockable cover that overlaps the curbing at least two inches in a downward direction. Where necessary, a gasket shall be used to make a positive seal when the hatch is closed; [§290.43(c)(2)]</w:t>
      </w:r>
    </w:p>
    <w:p w14:paraId="35006928" w14:textId="77777777" w:rsidR="004B36C7" w:rsidRPr="00DF7792" w:rsidRDefault="004B36C7" w:rsidP="00DF7792">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DF7792">
        <w:rPr>
          <w:rStyle w:val="BodyTextChar"/>
          <w:szCs w:val="20"/>
        </w:rPr>
        <w:tab/>
      </w:r>
      <w:r w:rsidR="00FF4226">
        <w:rPr>
          <w:rStyle w:val="BodyTextChar"/>
          <w:szCs w:val="20"/>
        </w:rPr>
        <w:fldChar w:fldCharType="begin">
          <w:ffData>
            <w:name w:val="check19"/>
            <w:enabled/>
            <w:calcOnExit w:val="0"/>
            <w:statusText w:type="text" w:val="Check this box if the following applies."/>
            <w:checkBox>
              <w:sizeAuto/>
              <w:default w:val="0"/>
            </w:checkBox>
          </w:ffData>
        </w:fldChar>
      </w:r>
      <w:bookmarkStart w:id="20" w:name="check19"/>
      <w:r w:rsidR="00FF4226">
        <w:rPr>
          <w:rStyle w:val="BodyTextChar"/>
          <w:szCs w:val="20"/>
        </w:rPr>
        <w:instrText xml:space="preserve"> FORMCHECKBOX </w:instrText>
      </w:r>
      <w:r w:rsidR="000A0EC5">
        <w:rPr>
          <w:rStyle w:val="BodyTextChar"/>
          <w:szCs w:val="20"/>
        </w:rPr>
      </w:r>
      <w:r w:rsidR="000A0EC5">
        <w:rPr>
          <w:rStyle w:val="BodyTextChar"/>
          <w:szCs w:val="20"/>
        </w:rPr>
        <w:fldChar w:fldCharType="separate"/>
      </w:r>
      <w:r w:rsidR="00FF4226">
        <w:rPr>
          <w:rStyle w:val="BodyTextChar"/>
          <w:szCs w:val="20"/>
        </w:rPr>
        <w:fldChar w:fldCharType="end"/>
      </w:r>
      <w:bookmarkEnd w:id="20"/>
      <w:r w:rsidRPr="00DF7792">
        <w:rPr>
          <w:rStyle w:val="BodyTextChar"/>
          <w:szCs w:val="20"/>
        </w:rPr>
        <w:tab/>
        <w:t>Overflows: [§290.43(c)(3)]</w:t>
      </w:r>
    </w:p>
    <w:p w14:paraId="6BCEE10C" w14:textId="77777777" w:rsidR="004B36C7" w:rsidRPr="00851CBA" w:rsidRDefault="00FF4226" w:rsidP="00EA737C">
      <w:pPr>
        <w:pStyle w:val="Level1"/>
        <w:numPr>
          <w:ilvl w:val="0"/>
          <w:numId w:val="24"/>
        </w:numPr>
        <w:autoSpaceDE w:val="0"/>
        <w:autoSpaceDN w:val="0"/>
        <w:adjustRightInd w:val="0"/>
        <w:ind w:left="1440" w:hanging="540"/>
        <w:rPr>
          <w:rStyle w:val="BodyTextChar"/>
          <w:rFonts w:eastAsiaTheme="minorHAnsi"/>
        </w:rPr>
      </w:pPr>
      <w:r>
        <w:rPr>
          <w:rStyle w:val="BodyTextChar"/>
          <w:rFonts w:eastAsiaTheme="minorHAnsi"/>
        </w:rPr>
        <w:fldChar w:fldCharType="begin">
          <w:ffData>
            <w:name w:val="check20"/>
            <w:enabled/>
            <w:calcOnExit w:val="0"/>
            <w:statusText w:type="text" w:val="Check this box if the following applies."/>
            <w:checkBox>
              <w:sizeAuto/>
              <w:default w:val="0"/>
            </w:checkBox>
          </w:ffData>
        </w:fldChar>
      </w:r>
      <w:bookmarkStart w:id="21" w:name="check20"/>
      <w:r>
        <w:rPr>
          <w:rStyle w:val="BodyTextChar"/>
          <w:rFonts w:eastAsiaTheme="minorHAnsi"/>
        </w:rPr>
        <w:instrText xml:space="preserve"> FORMCHECKBOX </w:instrText>
      </w:r>
      <w:r w:rsidR="000A0EC5">
        <w:rPr>
          <w:rStyle w:val="BodyTextChar"/>
          <w:rFonts w:eastAsiaTheme="minorHAnsi"/>
        </w:rPr>
      </w:r>
      <w:r w:rsidR="000A0EC5">
        <w:rPr>
          <w:rStyle w:val="BodyTextChar"/>
          <w:rFonts w:eastAsiaTheme="minorHAnsi"/>
        </w:rPr>
        <w:fldChar w:fldCharType="separate"/>
      </w:r>
      <w:r>
        <w:rPr>
          <w:rStyle w:val="BodyTextChar"/>
          <w:rFonts w:eastAsiaTheme="minorHAnsi"/>
        </w:rPr>
        <w:fldChar w:fldCharType="end"/>
      </w:r>
      <w:bookmarkEnd w:id="21"/>
      <w:r w:rsidR="004B36C7" w:rsidRPr="00851CBA">
        <w:rPr>
          <w:rStyle w:val="BodyTextChar"/>
          <w:rFonts w:eastAsiaTheme="minorHAnsi"/>
        </w:rPr>
        <w:tab/>
        <w:t>Gravity-hinged and weighted cover, an elastomeric duckbill valve, or</w:t>
      </w:r>
      <w:r w:rsidR="00851CBA">
        <w:rPr>
          <w:rStyle w:val="BodyTextChar"/>
          <w:rFonts w:eastAsiaTheme="minorHAnsi"/>
        </w:rPr>
        <w:tab/>
      </w:r>
      <w:r w:rsidR="004B36C7" w:rsidRPr="00851CBA">
        <w:rPr>
          <w:rStyle w:val="BodyTextChar"/>
          <w:rFonts w:eastAsiaTheme="minorHAnsi"/>
        </w:rPr>
        <w:t>other approved device to prevent th</w:t>
      </w:r>
      <w:r w:rsidR="00851CBA">
        <w:rPr>
          <w:rStyle w:val="BodyTextChar"/>
          <w:rFonts w:eastAsiaTheme="minorHAnsi"/>
        </w:rPr>
        <w:t>e entrance of insects and other</w:t>
      </w:r>
      <w:r w:rsidR="00851CBA">
        <w:rPr>
          <w:rStyle w:val="BodyTextChar"/>
          <w:rFonts w:eastAsiaTheme="minorHAnsi"/>
        </w:rPr>
        <w:tab/>
      </w:r>
      <w:r w:rsidR="004B36C7" w:rsidRPr="00851CBA">
        <w:rPr>
          <w:rStyle w:val="BodyTextChar"/>
          <w:rFonts w:eastAsiaTheme="minorHAnsi"/>
        </w:rPr>
        <w:t xml:space="preserve">nuisances; </w:t>
      </w:r>
    </w:p>
    <w:p w14:paraId="7A9C6811" w14:textId="77777777" w:rsidR="004B36C7" w:rsidRPr="00851CBA" w:rsidRDefault="00FF4226" w:rsidP="00EA737C">
      <w:pPr>
        <w:pStyle w:val="Level1"/>
        <w:numPr>
          <w:ilvl w:val="0"/>
          <w:numId w:val="24"/>
        </w:numPr>
        <w:autoSpaceDE w:val="0"/>
        <w:autoSpaceDN w:val="0"/>
        <w:adjustRightInd w:val="0"/>
        <w:ind w:left="1440" w:hanging="540"/>
        <w:rPr>
          <w:rStyle w:val="BodyTextChar"/>
          <w:rFonts w:eastAsiaTheme="minorHAnsi"/>
        </w:rPr>
      </w:pPr>
      <w:r>
        <w:rPr>
          <w:rStyle w:val="BodyTextChar"/>
          <w:rFonts w:eastAsiaTheme="minorHAnsi"/>
        </w:rPr>
        <w:fldChar w:fldCharType="begin">
          <w:ffData>
            <w:name w:val="check21"/>
            <w:enabled/>
            <w:calcOnExit w:val="0"/>
            <w:statusText w:type="text" w:val="Check this box if the following applies."/>
            <w:checkBox>
              <w:sizeAuto/>
              <w:default w:val="0"/>
            </w:checkBox>
          </w:ffData>
        </w:fldChar>
      </w:r>
      <w:bookmarkStart w:id="22" w:name="check21"/>
      <w:r>
        <w:rPr>
          <w:rStyle w:val="BodyTextChar"/>
          <w:rFonts w:eastAsiaTheme="minorHAnsi"/>
        </w:rPr>
        <w:instrText xml:space="preserve"> FORMCHECKBOX </w:instrText>
      </w:r>
      <w:r w:rsidR="000A0EC5">
        <w:rPr>
          <w:rStyle w:val="BodyTextChar"/>
          <w:rFonts w:eastAsiaTheme="minorHAnsi"/>
        </w:rPr>
      </w:r>
      <w:r w:rsidR="000A0EC5">
        <w:rPr>
          <w:rStyle w:val="BodyTextChar"/>
          <w:rFonts w:eastAsiaTheme="minorHAnsi"/>
        </w:rPr>
        <w:fldChar w:fldCharType="separate"/>
      </w:r>
      <w:r>
        <w:rPr>
          <w:rStyle w:val="BodyTextChar"/>
          <w:rFonts w:eastAsiaTheme="minorHAnsi"/>
        </w:rPr>
        <w:fldChar w:fldCharType="end"/>
      </w:r>
      <w:bookmarkEnd w:id="22"/>
      <w:r w:rsidR="004B36C7" w:rsidRPr="00851CBA">
        <w:rPr>
          <w:rStyle w:val="BodyTextChar"/>
          <w:rFonts w:eastAsiaTheme="minorHAnsi"/>
        </w:rPr>
        <w:tab/>
        <w:t xml:space="preserve">Cover shall close automatically and have no gap over 1/16 inch; </w:t>
      </w:r>
    </w:p>
    <w:p w14:paraId="5D5144CB" w14:textId="77777777" w:rsidR="004B36C7" w:rsidRPr="00851CBA" w:rsidRDefault="00FF4226" w:rsidP="00EA737C">
      <w:pPr>
        <w:pStyle w:val="Level1"/>
        <w:numPr>
          <w:ilvl w:val="0"/>
          <w:numId w:val="24"/>
        </w:numPr>
        <w:autoSpaceDE w:val="0"/>
        <w:autoSpaceDN w:val="0"/>
        <w:adjustRightInd w:val="0"/>
        <w:ind w:left="1440" w:hanging="540"/>
        <w:rPr>
          <w:rStyle w:val="BodyTextChar"/>
          <w:rFonts w:eastAsiaTheme="minorHAnsi"/>
        </w:rPr>
      </w:pPr>
      <w:r>
        <w:rPr>
          <w:rStyle w:val="BodyTextChar"/>
          <w:rFonts w:eastAsiaTheme="minorHAnsi"/>
        </w:rPr>
        <w:fldChar w:fldCharType="begin">
          <w:ffData>
            <w:name w:val="check22"/>
            <w:enabled/>
            <w:calcOnExit w:val="0"/>
            <w:statusText w:type="text" w:val="Check this box if the following applies."/>
            <w:checkBox>
              <w:sizeAuto/>
              <w:default w:val="0"/>
            </w:checkBox>
          </w:ffData>
        </w:fldChar>
      </w:r>
      <w:bookmarkStart w:id="23" w:name="check22"/>
      <w:r>
        <w:rPr>
          <w:rStyle w:val="BodyTextChar"/>
          <w:rFonts w:eastAsiaTheme="minorHAnsi"/>
        </w:rPr>
        <w:instrText xml:space="preserve"> FORMCHECKBOX </w:instrText>
      </w:r>
      <w:r w:rsidR="000A0EC5">
        <w:rPr>
          <w:rStyle w:val="BodyTextChar"/>
          <w:rFonts w:eastAsiaTheme="minorHAnsi"/>
        </w:rPr>
      </w:r>
      <w:r w:rsidR="000A0EC5">
        <w:rPr>
          <w:rStyle w:val="BodyTextChar"/>
          <w:rFonts w:eastAsiaTheme="minorHAnsi"/>
        </w:rPr>
        <w:fldChar w:fldCharType="separate"/>
      </w:r>
      <w:r>
        <w:rPr>
          <w:rStyle w:val="BodyTextChar"/>
          <w:rFonts w:eastAsiaTheme="minorHAnsi"/>
        </w:rPr>
        <w:fldChar w:fldCharType="end"/>
      </w:r>
      <w:bookmarkEnd w:id="23"/>
      <w:r w:rsidR="004B36C7" w:rsidRPr="00851CBA">
        <w:rPr>
          <w:rStyle w:val="BodyTextChar"/>
          <w:rFonts w:eastAsiaTheme="minorHAnsi"/>
        </w:rPr>
        <w:tab/>
        <w:t>Sized to handle the maximum possible fill rate; and</w:t>
      </w:r>
    </w:p>
    <w:p w14:paraId="11C8F9E3" w14:textId="77777777" w:rsidR="004B36C7" w:rsidRPr="00851CBA" w:rsidRDefault="00FF4226" w:rsidP="00EA737C">
      <w:pPr>
        <w:pStyle w:val="Level1"/>
        <w:numPr>
          <w:ilvl w:val="0"/>
          <w:numId w:val="24"/>
        </w:numPr>
        <w:autoSpaceDE w:val="0"/>
        <w:autoSpaceDN w:val="0"/>
        <w:adjustRightInd w:val="0"/>
        <w:ind w:left="1440" w:hanging="540"/>
        <w:rPr>
          <w:rStyle w:val="BodyTextChar"/>
          <w:rFonts w:eastAsiaTheme="minorHAnsi"/>
        </w:rPr>
      </w:pPr>
      <w:r>
        <w:rPr>
          <w:rStyle w:val="BodyTextChar"/>
          <w:rFonts w:eastAsiaTheme="minorHAnsi"/>
        </w:rPr>
        <w:fldChar w:fldCharType="begin">
          <w:ffData>
            <w:name w:val="check23"/>
            <w:enabled/>
            <w:calcOnExit w:val="0"/>
            <w:statusText w:type="text" w:val="Check this box if the following applies."/>
            <w:checkBox>
              <w:sizeAuto/>
              <w:default w:val="0"/>
            </w:checkBox>
          </w:ffData>
        </w:fldChar>
      </w:r>
      <w:bookmarkStart w:id="24" w:name="check23"/>
      <w:r>
        <w:rPr>
          <w:rStyle w:val="BodyTextChar"/>
          <w:rFonts w:eastAsiaTheme="minorHAnsi"/>
        </w:rPr>
        <w:instrText xml:space="preserve"> FORMCHECKBOX </w:instrText>
      </w:r>
      <w:r w:rsidR="000A0EC5">
        <w:rPr>
          <w:rStyle w:val="BodyTextChar"/>
          <w:rFonts w:eastAsiaTheme="minorHAnsi"/>
        </w:rPr>
      </w:r>
      <w:r w:rsidR="000A0EC5">
        <w:rPr>
          <w:rStyle w:val="BodyTextChar"/>
          <w:rFonts w:eastAsiaTheme="minorHAnsi"/>
        </w:rPr>
        <w:fldChar w:fldCharType="separate"/>
      </w:r>
      <w:r>
        <w:rPr>
          <w:rStyle w:val="BodyTextChar"/>
          <w:rFonts w:eastAsiaTheme="minorHAnsi"/>
        </w:rPr>
        <w:fldChar w:fldCharType="end"/>
      </w:r>
      <w:bookmarkEnd w:id="24"/>
      <w:r w:rsidR="004B36C7" w:rsidRPr="00851CBA">
        <w:rPr>
          <w:rStyle w:val="BodyTextChar"/>
          <w:rFonts w:eastAsiaTheme="minorHAnsi"/>
        </w:rPr>
        <w:tab/>
        <w:t>Discharge opening shall be above the surface of the ground and shall not</w:t>
      </w:r>
      <w:r w:rsidR="00851CBA">
        <w:rPr>
          <w:rStyle w:val="BodyTextChar"/>
          <w:rFonts w:eastAsiaTheme="minorHAnsi"/>
        </w:rPr>
        <w:tab/>
      </w:r>
      <w:r w:rsidR="004B36C7" w:rsidRPr="00851CBA">
        <w:rPr>
          <w:rStyle w:val="BodyTextChar"/>
          <w:rFonts w:eastAsiaTheme="minorHAnsi"/>
        </w:rPr>
        <w:t>be subject to submergence.</w:t>
      </w:r>
    </w:p>
    <w:p w14:paraId="662740A5" w14:textId="77777777" w:rsidR="004B36C7" w:rsidRPr="00DF7792" w:rsidRDefault="004B36C7" w:rsidP="00DF7792">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DF7792">
        <w:rPr>
          <w:rStyle w:val="BodyTextChar"/>
          <w:szCs w:val="20"/>
        </w:rPr>
        <w:tab/>
      </w:r>
      <w:r w:rsidR="00FF4226">
        <w:rPr>
          <w:rStyle w:val="BodyTextChar"/>
          <w:szCs w:val="20"/>
        </w:rPr>
        <w:fldChar w:fldCharType="begin">
          <w:ffData>
            <w:name w:val="check24"/>
            <w:enabled/>
            <w:calcOnExit w:val="0"/>
            <w:statusText w:type="text" w:val="Check this box if the following applies."/>
            <w:checkBox>
              <w:sizeAuto/>
              <w:default w:val="0"/>
            </w:checkBox>
          </w:ffData>
        </w:fldChar>
      </w:r>
      <w:bookmarkStart w:id="25" w:name="check24"/>
      <w:r w:rsidR="00FF4226">
        <w:rPr>
          <w:rStyle w:val="BodyTextChar"/>
          <w:szCs w:val="20"/>
        </w:rPr>
        <w:instrText xml:space="preserve"> FORMCHECKBOX </w:instrText>
      </w:r>
      <w:r w:rsidR="000A0EC5">
        <w:rPr>
          <w:rStyle w:val="BodyTextChar"/>
          <w:szCs w:val="20"/>
        </w:rPr>
      </w:r>
      <w:r w:rsidR="000A0EC5">
        <w:rPr>
          <w:rStyle w:val="BodyTextChar"/>
          <w:szCs w:val="20"/>
        </w:rPr>
        <w:fldChar w:fldCharType="separate"/>
      </w:r>
      <w:r w:rsidR="00FF4226">
        <w:rPr>
          <w:rStyle w:val="BodyTextChar"/>
          <w:szCs w:val="20"/>
        </w:rPr>
        <w:fldChar w:fldCharType="end"/>
      </w:r>
      <w:bookmarkEnd w:id="25"/>
      <w:r w:rsidRPr="00DF7792">
        <w:rPr>
          <w:rStyle w:val="BodyTextChar"/>
          <w:szCs w:val="20"/>
        </w:rPr>
        <w:tab/>
        <w:t>All tanks shall have a liquid level indicator located at the tank site. The indicator can be a float, an ultrasonic, or a pressure gauge calibrated in feet of water. Pressure gauges must not be less than three inches in diameter and calibrated at not more than two-foot intervals; [§290.43(c)(4)]</w:t>
      </w:r>
    </w:p>
    <w:p w14:paraId="0AE7E937" w14:textId="77777777" w:rsidR="004B36C7" w:rsidRPr="00DF7792" w:rsidRDefault="004B36C7" w:rsidP="00DF7792">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DF7792">
        <w:rPr>
          <w:rStyle w:val="BodyTextChar"/>
          <w:szCs w:val="20"/>
        </w:rPr>
        <w:tab/>
      </w:r>
      <w:r w:rsidR="00FF4226">
        <w:rPr>
          <w:rStyle w:val="BodyTextChar"/>
          <w:szCs w:val="20"/>
        </w:rPr>
        <w:fldChar w:fldCharType="begin">
          <w:ffData>
            <w:name w:val="check25"/>
            <w:enabled/>
            <w:calcOnExit w:val="0"/>
            <w:statusText w:type="text" w:val="Check this box if the following applies."/>
            <w:checkBox>
              <w:sizeAuto/>
              <w:default w:val="0"/>
            </w:checkBox>
          </w:ffData>
        </w:fldChar>
      </w:r>
      <w:bookmarkStart w:id="26" w:name="check25"/>
      <w:r w:rsidR="00FF4226">
        <w:rPr>
          <w:rStyle w:val="BodyTextChar"/>
          <w:szCs w:val="20"/>
        </w:rPr>
        <w:instrText xml:space="preserve"> FORMCHECKBOX </w:instrText>
      </w:r>
      <w:r w:rsidR="000A0EC5">
        <w:rPr>
          <w:rStyle w:val="BodyTextChar"/>
          <w:szCs w:val="20"/>
        </w:rPr>
      </w:r>
      <w:r w:rsidR="000A0EC5">
        <w:rPr>
          <w:rStyle w:val="BodyTextChar"/>
          <w:szCs w:val="20"/>
        </w:rPr>
        <w:fldChar w:fldCharType="separate"/>
      </w:r>
      <w:r w:rsidR="00FF4226">
        <w:rPr>
          <w:rStyle w:val="BodyTextChar"/>
          <w:szCs w:val="20"/>
        </w:rPr>
        <w:fldChar w:fldCharType="end"/>
      </w:r>
      <w:bookmarkEnd w:id="26"/>
      <w:r w:rsidRPr="00DF7792">
        <w:rPr>
          <w:rStyle w:val="BodyTextChar"/>
          <w:szCs w:val="20"/>
        </w:rPr>
        <w:tab/>
        <w:t>Inlet and outlet located to prevent short circuiting; [§290.43(c)(5)]</w:t>
      </w:r>
    </w:p>
    <w:p w14:paraId="7DEA8C56" w14:textId="77777777" w:rsidR="004B36C7" w:rsidRPr="00DF7792" w:rsidRDefault="004B36C7" w:rsidP="00DF7792">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DF7792">
        <w:rPr>
          <w:rStyle w:val="BodyTextChar"/>
          <w:szCs w:val="20"/>
        </w:rPr>
        <w:tab/>
      </w:r>
      <w:r w:rsidR="00FF4226">
        <w:rPr>
          <w:rStyle w:val="BodyTextChar"/>
          <w:szCs w:val="20"/>
        </w:rPr>
        <w:fldChar w:fldCharType="begin">
          <w:ffData>
            <w:name w:val="check26"/>
            <w:enabled/>
            <w:calcOnExit w:val="0"/>
            <w:statusText w:type="text" w:val="Check this box if the following applies."/>
            <w:checkBox>
              <w:sizeAuto/>
              <w:default w:val="0"/>
            </w:checkBox>
          </w:ffData>
        </w:fldChar>
      </w:r>
      <w:bookmarkStart w:id="27" w:name="check26"/>
      <w:r w:rsidR="00FF4226">
        <w:rPr>
          <w:rStyle w:val="BodyTextChar"/>
          <w:szCs w:val="20"/>
        </w:rPr>
        <w:instrText xml:space="preserve"> FORMCHECKBOX </w:instrText>
      </w:r>
      <w:r w:rsidR="000A0EC5">
        <w:rPr>
          <w:rStyle w:val="BodyTextChar"/>
          <w:szCs w:val="20"/>
        </w:rPr>
      </w:r>
      <w:r w:rsidR="000A0EC5">
        <w:rPr>
          <w:rStyle w:val="BodyTextChar"/>
          <w:szCs w:val="20"/>
        </w:rPr>
        <w:fldChar w:fldCharType="separate"/>
      </w:r>
      <w:r w:rsidR="00FF4226">
        <w:rPr>
          <w:rStyle w:val="BodyTextChar"/>
          <w:szCs w:val="20"/>
        </w:rPr>
        <w:fldChar w:fldCharType="end"/>
      </w:r>
      <w:bookmarkEnd w:id="27"/>
      <w:r w:rsidRPr="00DF7792">
        <w:rPr>
          <w:rStyle w:val="BodyTextChar"/>
          <w:szCs w:val="20"/>
        </w:rPr>
        <w:tab/>
      </w:r>
      <w:proofErr w:type="spellStart"/>
      <w:r w:rsidRPr="00DF7792">
        <w:rPr>
          <w:rStyle w:val="BodyTextChar"/>
          <w:szCs w:val="20"/>
        </w:rPr>
        <w:t>Clearwells</w:t>
      </w:r>
      <w:proofErr w:type="spellEnd"/>
      <w:r w:rsidRPr="00DF7792">
        <w:rPr>
          <w:rStyle w:val="BodyTextChar"/>
          <w:szCs w:val="20"/>
        </w:rPr>
        <w:t xml:space="preserve"> used for disinfectant contact time shall be appropriately baffled; [§290.43(c)(5)]</w:t>
      </w:r>
    </w:p>
    <w:p w14:paraId="2A16C9A3" w14:textId="77777777" w:rsidR="004B36C7" w:rsidRPr="00DF7792" w:rsidRDefault="004B36C7" w:rsidP="00DF7792">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DF7792">
        <w:rPr>
          <w:rStyle w:val="BodyTextChar"/>
          <w:szCs w:val="20"/>
        </w:rPr>
        <w:tab/>
      </w:r>
      <w:r w:rsidR="0012325A">
        <w:rPr>
          <w:rStyle w:val="BodyTextChar"/>
          <w:szCs w:val="20"/>
        </w:rPr>
        <w:fldChar w:fldCharType="begin">
          <w:ffData>
            <w:name w:val="check27"/>
            <w:enabled/>
            <w:calcOnExit w:val="0"/>
            <w:statusText w:type="text" w:val="Check this box if the following applies."/>
            <w:checkBox>
              <w:sizeAuto/>
              <w:default w:val="0"/>
            </w:checkBox>
          </w:ffData>
        </w:fldChar>
      </w:r>
      <w:bookmarkStart w:id="28" w:name="check27"/>
      <w:r w:rsidR="0012325A">
        <w:rPr>
          <w:rStyle w:val="BodyTextChar"/>
          <w:szCs w:val="20"/>
        </w:rPr>
        <w:instrText xml:space="preserve"> FORMCHECKBOX </w:instrText>
      </w:r>
      <w:r w:rsidR="000A0EC5">
        <w:rPr>
          <w:rStyle w:val="BodyTextChar"/>
          <w:szCs w:val="20"/>
        </w:rPr>
      </w:r>
      <w:r w:rsidR="000A0EC5">
        <w:rPr>
          <w:rStyle w:val="BodyTextChar"/>
          <w:szCs w:val="20"/>
        </w:rPr>
        <w:fldChar w:fldCharType="separate"/>
      </w:r>
      <w:r w:rsidR="0012325A">
        <w:rPr>
          <w:rStyle w:val="BodyTextChar"/>
          <w:szCs w:val="20"/>
        </w:rPr>
        <w:fldChar w:fldCharType="end"/>
      </w:r>
      <w:bookmarkEnd w:id="28"/>
      <w:r w:rsidRPr="00DF7792">
        <w:rPr>
          <w:rStyle w:val="BodyTextChar"/>
          <w:szCs w:val="20"/>
        </w:rPr>
        <w:tab/>
        <w:t>Tight against leakage, above the ground water table, and no common walls with any other plant units containing water in the process of treatment; [§290.43(c)(6)]</w:t>
      </w:r>
    </w:p>
    <w:p w14:paraId="47423893" w14:textId="77777777" w:rsidR="004B36C7" w:rsidRPr="00DF7792" w:rsidRDefault="004B36C7" w:rsidP="00DF7792">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DF7792">
        <w:rPr>
          <w:rStyle w:val="BodyTextChar"/>
          <w:szCs w:val="20"/>
        </w:rPr>
        <w:tab/>
      </w:r>
      <w:r w:rsidR="0012325A">
        <w:rPr>
          <w:rStyle w:val="BodyTextChar"/>
          <w:szCs w:val="20"/>
        </w:rPr>
        <w:fldChar w:fldCharType="begin">
          <w:ffData>
            <w:name w:val="check28"/>
            <w:enabled/>
            <w:calcOnExit w:val="0"/>
            <w:statusText w:type="text" w:val="Check this box if the following applies."/>
            <w:checkBox>
              <w:sizeAuto/>
              <w:default w:val="0"/>
            </w:checkBox>
          </w:ffData>
        </w:fldChar>
      </w:r>
      <w:bookmarkStart w:id="29" w:name="check28"/>
      <w:r w:rsidR="0012325A">
        <w:rPr>
          <w:rStyle w:val="BodyTextChar"/>
          <w:szCs w:val="20"/>
        </w:rPr>
        <w:instrText xml:space="preserve"> FORMCHECKBOX </w:instrText>
      </w:r>
      <w:r w:rsidR="000A0EC5">
        <w:rPr>
          <w:rStyle w:val="BodyTextChar"/>
          <w:szCs w:val="20"/>
        </w:rPr>
      </w:r>
      <w:r w:rsidR="000A0EC5">
        <w:rPr>
          <w:rStyle w:val="BodyTextChar"/>
          <w:szCs w:val="20"/>
        </w:rPr>
        <w:fldChar w:fldCharType="separate"/>
      </w:r>
      <w:r w:rsidR="0012325A">
        <w:rPr>
          <w:rStyle w:val="BodyTextChar"/>
          <w:szCs w:val="20"/>
        </w:rPr>
        <w:fldChar w:fldCharType="end"/>
      </w:r>
      <w:bookmarkEnd w:id="29"/>
      <w:r w:rsidRPr="00DF7792">
        <w:rPr>
          <w:rStyle w:val="BodyTextChar"/>
          <w:szCs w:val="20"/>
        </w:rPr>
        <w:tab/>
        <w:t>Provided with a means of removing silt and deposits. Drains shall not be connected to any waste or sewage disposal system; [§290.43(c)(7)]</w:t>
      </w:r>
    </w:p>
    <w:p w14:paraId="52812862" w14:textId="77777777" w:rsidR="004B36C7" w:rsidRPr="00DF7792" w:rsidRDefault="004B36C7" w:rsidP="00DF7792">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DF7792">
        <w:rPr>
          <w:rStyle w:val="BodyTextChar"/>
          <w:szCs w:val="20"/>
        </w:rPr>
        <w:tab/>
      </w:r>
      <w:r w:rsidR="0012325A">
        <w:rPr>
          <w:rStyle w:val="BodyTextChar"/>
          <w:szCs w:val="20"/>
        </w:rPr>
        <w:fldChar w:fldCharType="begin">
          <w:ffData>
            <w:name w:val="check29"/>
            <w:enabled/>
            <w:calcOnExit w:val="0"/>
            <w:statusText w:type="text" w:val="Check this box if the following applies."/>
            <w:checkBox>
              <w:sizeAuto/>
              <w:default w:val="0"/>
            </w:checkBox>
          </w:ffData>
        </w:fldChar>
      </w:r>
      <w:bookmarkStart w:id="30" w:name="check29"/>
      <w:r w:rsidR="0012325A">
        <w:rPr>
          <w:rStyle w:val="BodyTextChar"/>
          <w:szCs w:val="20"/>
        </w:rPr>
        <w:instrText xml:space="preserve"> FORMCHECKBOX </w:instrText>
      </w:r>
      <w:r w:rsidR="000A0EC5">
        <w:rPr>
          <w:rStyle w:val="BodyTextChar"/>
          <w:szCs w:val="20"/>
        </w:rPr>
      </w:r>
      <w:r w:rsidR="000A0EC5">
        <w:rPr>
          <w:rStyle w:val="BodyTextChar"/>
          <w:szCs w:val="20"/>
        </w:rPr>
        <w:fldChar w:fldCharType="separate"/>
      </w:r>
      <w:r w:rsidR="0012325A">
        <w:rPr>
          <w:rStyle w:val="BodyTextChar"/>
          <w:szCs w:val="20"/>
        </w:rPr>
        <w:fldChar w:fldCharType="end"/>
      </w:r>
      <w:bookmarkEnd w:id="30"/>
      <w:r w:rsidRPr="00DF7792">
        <w:rPr>
          <w:rStyle w:val="BodyTextChar"/>
          <w:szCs w:val="20"/>
        </w:rPr>
        <w:tab/>
        <w:t>Painted and disinfected with AWWA standards. Paint conforms to ANSI/NSF Standard 61; [§290.43(c)(8)]</w:t>
      </w:r>
    </w:p>
    <w:p w14:paraId="3FF70E4B" w14:textId="77777777" w:rsidR="004B36C7" w:rsidRPr="00DF7792" w:rsidRDefault="004B36C7" w:rsidP="00DF7792">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DF7792">
        <w:rPr>
          <w:rStyle w:val="BodyTextChar"/>
          <w:szCs w:val="20"/>
        </w:rPr>
        <w:tab/>
      </w:r>
      <w:r w:rsidR="0012325A">
        <w:rPr>
          <w:rStyle w:val="BodyTextChar"/>
          <w:szCs w:val="20"/>
        </w:rPr>
        <w:fldChar w:fldCharType="begin">
          <w:ffData>
            <w:name w:val="check30"/>
            <w:enabled/>
            <w:calcOnExit w:val="0"/>
            <w:statusText w:type="text" w:val="Check this box if the following applies."/>
            <w:checkBox>
              <w:sizeAuto/>
              <w:default w:val="0"/>
            </w:checkBox>
          </w:ffData>
        </w:fldChar>
      </w:r>
      <w:bookmarkStart w:id="31" w:name="check30"/>
      <w:r w:rsidR="0012325A">
        <w:rPr>
          <w:rStyle w:val="BodyTextChar"/>
          <w:szCs w:val="20"/>
        </w:rPr>
        <w:instrText xml:space="preserve"> FORMCHECKBOX </w:instrText>
      </w:r>
      <w:r w:rsidR="000A0EC5">
        <w:rPr>
          <w:rStyle w:val="BodyTextChar"/>
          <w:szCs w:val="20"/>
        </w:rPr>
      </w:r>
      <w:r w:rsidR="000A0EC5">
        <w:rPr>
          <w:rStyle w:val="BodyTextChar"/>
          <w:szCs w:val="20"/>
        </w:rPr>
        <w:fldChar w:fldCharType="separate"/>
      </w:r>
      <w:r w:rsidR="0012325A">
        <w:rPr>
          <w:rStyle w:val="BodyTextChar"/>
          <w:szCs w:val="20"/>
        </w:rPr>
        <w:fldChar w:fldCharType="end"/>
      </w:r>
      <w:bookmarkEnd w:id="31"/>
      <w:r w:rsidRPr="00DF7792">
        <w:rPr>
          <w:rStyle w:val="BodyTextChar"/>
          <w:szCs w:val="20"/>
        </w:rPr>
        <w:tab/>
        <w:t xml:space="preserve">No tanks or containers shall be used to store potable water that have previously been used for any </w:t>
      </w:r>
      <w:proofErr w:type="spellStart"/>
      <w:r w:rsidRPr="00DF7792">
        <w:rPr>
          <w:rStyle w:val="BodyTextChar"/>
          <w:szCs w:val="20"/>
        </w:rPr>
        <w:t>nonpotable</w:t>
      </w:r>
      <w:proofErr w:type="spellEnd"/>
      <w:r w:rsidRPr="00DF7792">
        <w:rPr>
          <w:rStyle w:val="BodyTextChar"/>
          <w:szCs w:val="20"/>
        </w:rPr>
        <w:t xml:space="preserve"> purpose. Where a used tank is proposed for use, a letter from the previous owner or owners must be submitted to the executive director which states the use of the tank; [§290.43(c)(9)]</w:t>
      </w:r>
    </w:p>
    <w:p w14:paraId="03EC3329" w14:textId="77777777" w:rsidR="004B36C7" w:rsidRPr="00DF7792" w:rsidRDefault="004B36C7" w:rsidP="00DF7792">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DF7792">
        <w:rPr>
          <w:rStyle w:val="BodyTextChar"/>
          <w:szCs w:val="20"/>
        </w:rPr>
        <w:tab/>
      </w:r>
      <w:r w:rsidR="0012325A">
        <w:rPr>
          <w:rStyle w:val="BodyTextChar"/>
          <w:szCs w:val="20"/>
        </w:rPr>
        <w:fldChar w:fldCharType="begin">
          <w:ffData>
            <w:name w:val="check31"/>
            <w:enabled/>
            <w:calcOnExit w:val="0"/>
            <w:statusText w:type="text" w:val="Check this box if the following applies."/>
            <w:checkBox>
              <w:sizeAuto/>
              <w:default w:val="0"/>
            </w:checkBox>
          </w:ffData>
        </w:fldChar>
      </w:r>
      <w:bookmarkStart w:id="32" w:name="check31"/>
      <w:r w:rsidR="0012325A">
        <w:rPr>
          <w:rStyle w:val="BodyTextChar"/>
          <w:szCs w:val="20"/>
        </w:rPr>
        <w:instrText xml:space="preserve"> FORMCHECKBOX </w:instrText>
      </w:r>
      <w:r w:rsidR="000A0EC5">
        <w:rPr>
          <w:rStyle w:val="BodyTextChar"/>
          <w:szCs w:val="20"/>
        </w:rPr>
      </w:r>
      <w:r w:rsidR="000A0EC5">
        <w:rPr>
          <w:rStyle w:val="BodyTextChar"/>
          <w:szCs w:val="20"/>
        </w:rPr>
        <w:fldChar w:fldCharType="separate"/>
      </w:r>
      <w:r w:rsidR="0012325A">
        <w:rPr>
          <w:rStyle w:val="BodyTextChar"/>
          <w:szCs w:val="20"/>
        </w:rPr>
        <w:fldChar w:fldCharType="end"/>
      </w:r>
      <w:bookmarkEnd w:id="32"/>
      <w:r w:rsidRPr="00DF7792">
        <w:rPr>
          <w:rStyle w:val="BodyTextChar"/>
          <w:szCs w:val="20"/>
        </w:rPr>
        <w:tab/>
        <w:t>Access manways in the riser pipe, shell area, access tube, bowl area or any other location opening directly into the water compartment shall not be less than 24 inches in diameter. However, in the case of a riser pipe or access tube of 36 inches in diameter or smaller, the access manway may be 18 inches times 24 inches with the vertical dimension not less than 24 inches. The primary access manway in the lower ring or section of a ground storage tank shall be not less than 30 inches in diameter;</w:t>
      </w:r>
    </w:p>
    <w:p w14:paraId="17734C31" w14:textId="77777777" w:rsidR="004B36C7" w:rsidRPr="00DF7792" w:rsidRDefault="004B36C7" w:rsidP="00DF7792">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DF7792">
        <w:rPr>
          <w:rStyle w:val="BodyTextChar"/>
          <w:szCs w:val="20"/>
        </w:rPr>
        <w:tab/>
      </w:r>
      <w:r w:rsidR="0012325A">
        <w:rPr>
          <w:rStyle w:val="BodyTextChar"/>
          <w:szCs w:val="20"/>
        </w:rPr>
        <w:fldChar w:fldCharType="begin">
          <w:ffData>
            <w:name w:val="check32"/>
            <w:enabled/>
            <w:calcOnExit w:val="0"/>
            <w:statusText w:type="text" w:val="Check this box if the following applies."/>
            <w:checkBox>
              <w:sizeAuto/>
              <w:default w:val="0"/>
            </w:checkBox>
          </w:ffData>
        </w:fldChar>
      </w:r>
      <w:bookmarkStart w:id="33" w:name="check32"/>
      <w:r w:rsidR="0012325A">
        <w:rPr>
          <w:rStyle w:val="BodyTextChar"/>
          <w:szCs w:val="20"/>
        </w:rPr>
        <w:instrText xml:space="preserve"> FORMCHECKBOX </w:instrText>
      </w:r>
      <w:r w:rsidR="000A0EC5">
        <w:rPr>
          <w:rStyle w:val="BodyTextChar"/>
          <w:szCs w:val="20"/>
        </w:rPr>
      </w:r>
      <w:r w:rsidR="000A0EC5">
        <w:rPr>
          <w:rStyle w:val="BodyTextChar"/>
          <w:szCs w:val="20"/>
        </w:rPr>
        <w:fldChar w:fldCharType="separate"/>
      </w:r>
      <w:r w:rsidR="0012325A">
        <w:rPr>
          <w:rStyle w:val="BodyTextChar"/>
          <w:szCs w:val="20"/>
        </w:rPr>
        <w:fldChar w:fldCharType="end"/>
      </w:r>
      <w:bookmarkEnd w:id="33"/>
      <w:r w:rsidRPr="00DF7792">
        <w:rPr>
          <w:rStyle w:val="BodyTextChar"/>
          <w:szCs w:val="20"/>
        </w:rPr>
        <w:tab/>
        <w:t>Intruder resistant fence with lockable gates.  Pedestal-type elevated storage tanks with lockable doors and without external ladders are exempt; [§290.43(e)]</w:t>
      </w:r>
    </w:p>
    <w:p w14:paraId="3D3EB24B" w14:textId="77777777" w:rsidR="004A726B" w:rsidRDefault="004B36C7" w:rsidP="003475D0">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sidRPr="00DF7792">
        <w:rPr>
          <w:rStyle w:val="BodyTextChar"/>
          <w:szCs w:val="20"/>
        </w:rPr>
        <w:tab/>
      </w:r>
      <w:r w:rsidR="0012325A">
        <w:rPr>
          <w:rStyle w:val="BodyTextChar"/>
          <w:szCs w:val="20"/>
        </w:rPr>
        <w:fldChar w:fldCharType="begin">
          <w:ffData>
            <w:name w:val="check33"/>
            <w:enabled/>
            <w:calcOnExit w:val="0"/>
            <w:statusText w:type="text" w:val="Check this box if the following applies."/>
            <w:checkBox>
              <w:sizeAuto/>
              <w:default w:val="0"/>
            </w:checkBox>
          </w:ffData>
        </w:fldChar>
      </w:r>
      <w:bookmarkStart w:id="34" w:name="check33"/>
      <w:r w:rsidR="0012325A">
        <w:rPr>
          <w:rStyle w:val="BodyTextChar"/>
          <w:szCs w:val="20"/>
        </w:rPr>
        <w:instrText xml:space="preserve"> FORMCHECKBOX </w:instrText>
      </w:r>
      <w:r w:rsidR="000A0EC5">
        <w:rPr>
          <w:rStyle w:val="BodyTextChar"/>
          <w:szCs w:val="20"/>
        </w:rPr>
      </w:r>
      <w:r w:rsidR="000A0EC5">
        <w:rPr>
          <w:rStyle w:val="BodyTextChar"/>
          <w:szCs w:val="20"/>
        </w:rPr>
        <w:fldChar w:fldCharType="separate"/>
      </w:r>
      <w:r w:rsidR="0012325A">
        <w:rPr>
          <w:rStyle w:val="BodyTextChar"/>
          <w:szCs w:val="20"/>
        </w:rPr>
        <w:fldChar w:fldCharType="end"/>
      </w:r>
      <w:bookmarkEnd w:id="34"/>
      <w:r w:rsidRPr="00DF7792">
        <w:rPr>
          <w:rStyle w:val="BodyTextChar"/>
          <w:szCs w:val="20"/>
        </w:rPr>
        <w:tab/>
        <w:t>Service pump installations taking suction from storage tanks shall provide automatic low water level cutoff devices to prevent damage to the pumps. The service pump circuitry shall also resume pumping automatically once the minimum water level is reached in the tank</w:t>
      </w:r>
      <w:r w:rsidR="00A140FC">
        <w:rPr>
          <w:rStyle w:val="BodyTextChar"/>
          <w:szCs w:val="20"/>
        </w:rPr>
        <w:t>;</w:t>
      </w:r>
      <w:r w:rsidRPr="00DF7792">
        <w:rPr>
          <w:rStyle w:val="BodyTextChar"/>
          <w:szCs w:val="20"/>
        </w:rPr>
        <w:t xml:space="preserve"> </w:t>
      </w:r>
      <w:r w:rsidR="0083228B">
        <w:rPr>
          <w:rStyle w:val="BodyTextChar"/>
          <w:szCs w:val="20"/>
        </w:rPr>
        <w:t xml:space="preserve">and </w:t>
      </w:r>
      <w:r w:rsidRPr="00DF7792">
        <w:rPr>
          <w:rStyle w:val="BodyTextChar"/>
          <w:szCs w:val="20"/>
        </w:rPr>
        <w:t>[§290.43(f)]</w:t>
      </w:r>
    </w:p>
    <w:p w14:paraId="294AAD75" w14:textId="77777777" w:rsidR="00AA3A4C" w:rsidRPr="00114C08" w:rsidRDefault="00AA3A4C" w:rsidP="00AA3A4C">
      <w:pPr>
        <w:pStyle w:val="ListParagraph"/>
        <w:widowControl w:val="0"/>
        <w:numPr>
          <w:ilvl w:val="0"/>
          <w:numId w:val="17"/>
        </w:numPr>
        <w:tabs>
          <w:tab w:val="left" w:pos="360"/>
          <w:tab w:val="left" w:pos="450"/>
        </w:tabs>
        <w:autoSpaceDE w:val="0"/>
        <w:autoSpaceDN w:val="0"/>
        <w:adjustRightInd w:val="0"/>
        <w:ind w:left="864" w:hanging="864"/>
        <w:rPr>
          <w:rStyle w:val="BodyTextChar"/>
          <w:szCs w:val="20"/>
        </w:rPr>
      </w:pPr>
      <w:r>
        <w:rPr>
          <w:rStyle w:val="BodyTextChar"/>
          <w:szCs w:val="20"/>
        </w:rPr>
        <w:t xml:space="preserve"> </w:t>
      </w:r>
      <w:r w:rsidRPr="00114C08">
        <w:rPr>
          <w:rStyle w:val="BodyTextChar"/>
          <w:szCs w:val="20"/>
        </w:rPr>
        <w:fldChar w:fldCharType="begin">
          <w:ffData>
            <w:name w:val=""/>
            <w:enabled/>
            <w:calcOnExit w:val="0"/>
            <w:checkBox>
              <w:sizeAuto/>
              <w:default w:val="0"/>
            </w:checkBox>
          </w:ffData>
        </w:fldChar>
      </w:r>
      <w:r w:rsidRPr="00114C08">
        <w:rPr>
          <w:rStyle w:val="BodyTextChar"/>
          <w:szCs w:val="20"/>
        </w:rPr>
        <w:instrText xml:space="preserve"> FORMCHECKBOX </w:instrText>
      </w:r>
      <w:r w:rsidR="000A0EC5">
        <w:rPr>
          <w:rStyle w:val="BodyTextChar"/>
          <w:szCs w:val="20"/>
        </w:rPr>
      </w:r>
      <w:r w:rsidR="000A0EC5">
        <w:rPr>
          <w:rStyle w:val="BodyTextChar"/>
          <w:szCs w:val="20"/>
        </w:rPr>
        <w:fldChar w:fldCharType="separate"/>
      </w:r>
      <w:r w:rsidRPr="00114C08">
        <w:rPr>
          <w:rStyle w:val="BodyTextChar"/>
          <w:szCs w:val="20"/>
        </w:rPr>
        <w:fldChar w:fldCharType="end"/>
      </w:r>
      <w:r w:rsidRPr="00114C08">
        <w:rPr>
          <w:rStyle w:val="BodyTextChar"/>
          <w:szCs w:val="20"/>
        </w:rPr>
        <w:tab/>
        <w:t xml:space="preserve">Submit all necessary information to demonstrate the minimum capacity requirements specified in §290.46(x) and </w:t>
      </w:r>
      <w:r>
        <w:rPr>
          <w:rStyle w:val="BodyTextChar"/>
          <w:szCs w:val="20"/>
        </w:rPr>
        <w:t>(y) have been met</w:t>
      </w:r>
      <w:r w:rsidR="00A140FC">
        <w:rPr>
          <w:rStyle w:val="BodyTextChar"/>
          <w:szCs w:val="20"/>
        </w:rPr>
        <w:t>,</w:t>
      </w:r>
      <w:r>
        <w:rPr>
          <w:rStyle w:val="BodyTextChar"/>
          <w:szCs w:val="20"/>
        </w:rPr>
        <w:t xml:space="preserve"> if applicable</w:t>
      </w:r>
      <w:r w:rsidRPr="00114C08">
        <w:rPr>
          <w:rStyle w:val="BodyTextChar"/>
          <w:szCs w:val="20"/>
        </w:rPr>
        <w:t xml:space="preserve"> [§290.45(f)(7)] </w:t>
      </w:r>
      <w:r>
        <w:rPr>
          <w:rStyle w:val="BodyTextChar"/>
          <w:szCs w:val="20"/>
        </w:rPr>
        <w:t>s</w:t>
      </w:r>
      <w:r w:rsidRPr="00114C08">
        <w:rPr>
          <w:rStyle w:val="BodyTextChar"/>
          <w:szCs w:val="20"/>
        </w:rPr>
        <w:t>uch as:</w:t>
      </w:r>
    </w:p>
    <w:p w14:paraId="30ED1C8C" w14:textId="77777777" w:rsidR="00AA3A4C" w:rsidRPr="00114C08" w:rsidRDefault="00AA3A4C" w:rsidP="00AA3A4C">
      <w:pPr>
        <w:pStyle w:val="Level1"/>
        <w:tabs>
          <w:tab w:val="left" w:pos="1260"/>
          <w:tab w:val="left" w:pos="1350"/>
        </w:tabs>
        <w:ind w:left="1800" w:hanging="907"/>
        <w:rPr>
          <w:rFonts w:ascii="Lucida Bright" w:hAnsi="Lucida Bright"/>
          <w:sz w:val="20"/>
          <w:szCs w:val="22"/>
        </w:rPr>
      </w:pPr>
      <w:r w:rsidRPr="00114C08">
        <w:rPr>
          <w:rFonts w:ascii="Lucida Bright" w:hAnsi="Lucida Bright"/>
          <w:sz w:val="20"/>
          <w:szCs w:val="22"/>
        </w:rPr>
        <w:fldChar w:fldCharType="begin">
          <w:ffData>
            <w:name w:val=""/>
            <w:enabled/>
            <w:calcOnExit w:val="0"/>
            <w:checkBox>
              <w:sizeAuto/>
              <w:default w:val="0"/>
            </w:checkBox>
          </w:ffData>
        </w:fldChar>
      </w:r>
      <w:r w:rsidRPr="00114C08">
        <w:rPr>
          <w:rFonts w:ascii="Lucida Bright" w:hAnsi="Lucida Bright"/>
          <w:sz w:val="20"/>
          <w:szCs w:val="22"/>
        </w:rPr>
        <w:instrText xml:space="preserve"> FORMCHECKBOX </w:instrText>
      </w:r>
      <w:r w:rsidR="000A0EC5">
        <w:rPr>
          <w:rFonts w:ascii="Lucida Bright" w:hAnsi="Lucida Bright"/>
          <w:sz w:val="20"/>
          <w:szCs w:val="22"/>
        </w:rPr>
      </w:r>
      <w:r w:rsidR="000A0EC5">
        <w:rPr>
          <w:rFonts w:ascii="Lucida Bright" w:hAnsi="Lucida Bright"/>
          <w:sz w:val="20"/>
          <w:szCs w:val="22"/>
        </w:rPr>
        <w:fldChar w:fldCharType="separate"/>
      </w:r>
      <w:r w:rsidRPr="00114C08">
        <w:rPr>
          <w:rFonts w:ascii="Lucida Bright" w:hAnsi="Lucida Bright"/>
          <w:sz w:val="20"/>
          <w:szCs w:val="22"/>
        </w:rPr>
        <w:fldChar w:fldCharType="end"/>
      </w:r>
      <w:r>
        <w:rPr>
          <w:rFonts w:ascii="Lucida Bright" w:hAnsi="Lucida Bright"/>
          <w:sz w:val="20"/>
          <w:szCs w:val="22"/>
        </w:rPr>
        <w:tab/>
      </w:r>
      <w:r w:rsidRPr="00114C08">
        <w:rPr>
          <w:rStyle w:val="BodyTextChar"/>
        </w:rPr>
        <w:t>a.</w:t>
      </w:r>
      <w:r w:rsidRPr="00114C08">
        <w:rPr>
          <w:rStyle w:val="BodyTextChar"/>
        </w:rPr>
        <w:tab/>
        <w:t>Fire hydrants placed as required by city ordinance and TCEQ rules 290.44(e)(6).</w:t>
      </w:r>
    </w:p>
    <w:p w14:paraId="136D05CC" w14:textId="77777777" w:rsidR="00AA3A4C" w:rsidRPr="00114C08" w:rsidRDefault="00AA3A4C" w:rsidP="00AA3A4C">
      <w:pPr>
        <w:pStyle w:val="Level1"/>
        <w:tabs>
          <w:tab w:val="left" w:pos="1260"/>
          <w:tab w:val="left" w:pos="1350"/>
        </w:tabs>
        <w:ind w:left="1800" w:hanging="907"/>
        <w:rPr>
          <w:rStyle w:val="BodyTextChar"/>
        </w:rPr>
      </w:pPr>
      <w:r w:rsidRPr="00114C08">
        <w:rPr>
          <w:rFonts w:ascii="Lucida Bright" w:hAnsi="Lucida Bright"/>
          <w:sz w:val="20"/>
          <w:szCs w:val="22"/>
        </w:rPr>
        <w:fldChar w:fldCharType="begin">
          <w:ffData>
            <w:name w:val=""/>
            <w:enabled/>
            <w:calcOnExit w:val="0"/>
            <w:checkBox>
              <w:sizeAuto/>
              <w:default w:val="0"/>
            </w:checkBox>
          </w:ffData>
        </w:fldChar>
      </w:r>
      <w:r w:rsidRPr="00114C08">
        <w:rPr>
          <w:rFonts w:ascii="Lucida Bright" w:hAnsi="Lucida Bright"/>
          <w:sz w:val="20"/>
          <w:szCs w:val="22"/>
        </w:rPr>
        <w:instrText xml:space="preserve"> FORMCHECKBOX </w:instrText>
      </w:r>
      <w:r w:rsidR="000A0EC5">
        <w:rPr>
          <w:rFonts w:ascii="Lucida Bright" w:hAnsi="Lucida Bright"/>
          <w:sz w:val="20"/>
          <w:szCs w:val="22"/>
        </w:rPr>
      </w:r>
      <w:r w:rsidR="000A0EC5">
        <w:rPr>
          <w:rFonts w:ascii="Lucida Bright" w:hAnsi="Lucida Bright"/>
          <w:sz w:val="20"/>
          <w:szCs w:val="22"/>
        </w:rPr>
        <w:fldChar w:fldCharType="separate"/>
      </w:r>
      <w:r w:rsidRPr="00114C08">
        <w:rPr>
          <w:rFonts w:ascii="Lucida Bright" w:hAnsi="Lucida Bright"/>
          <w:sz w:val="20"/>
          <w:szCs w:val="22"/>
        </w:rPr>
        <w:fldChar w:fldCharType="end"/>
      </w:r>
      <w:r w:rsidRPr="00114C08">
        <w:rPr>
          <w:rFonts w:ascii="Lucida Bright" w:hAnsi="Lucida Bright"/>
          <w:sz w:val="20"/>
          <w:szCs w:val="22"/>
        </w:rPr>
        <w:tab/>
      </w:r>
      <w:r w:rsidRPr="00114C08">
        <w:rPr>
          <w:rStyle w:val="BodyTextChar"/>
        </w:rPr>
        <w:t>b.</w:t>
      </w:r>
      <w:r w:rsidRPr="00114C08">
        <w:rPr>
          <w:rStyle w:val="BodyTextChar"/>
        </w:rPr>
        <w:tab/>
        <w:t>GST capacity sufficient for water supply and fire flow (i.e. 250 gpm for 120 minutes or ordinance requirements, whichever greater)</w:t>
      </w:r>
      <w:r>
        <w:rPr>
          <w:rStyle w:val="BodyTextChar"/>
        </w:rPr>
        <w:t>.</w:t>
      </w:r>
    </w:p>
    <w:p w14:paraId="58841BE7" w14:textId="77777777" w:rsidR="00AA3A4C" w:rsidRPr="00114C08" w:rsidRDefault="00AA3A4C" w:rsidP="00AA3A4C">
      <w:pPr>
        <w:pStyle w:val="Level1"/>
        <w:tabs>
          <w:tab w:val="left" w:pos="1260"/>
          <w:tab w:val="left" w:pos="1350"/>
        </w:tabs>
        <w:ind w:left="1800" w:hanging="907"/>
        <w:rPr>
          <w:rFonts w:ascii="Lucida Bright" w:hAnsi="Lucida Bright"/>
          <w:sz w:val="20"/>
          <w:szCs w:val="22"/>
        </w:rPr>
      </w:pPr>
      <w:r w:rsidRPr="00114C08">
        <w:rPr>
          <w:rFonts w:ascii="Lucida Bright" w:hAnsi="Lucida Bright"/>
          <w:sz w:val="20"/>
          <w:szCs w:val="22"/>
        </w:rPr>
        <w:fldChar w:fldCharType="begin">
          <w:ffData>
            <w:name w:val=""/>
            <w:enabled/>
            <w:calcOnExit w:val="0"/>
            <w:checkBox>
              <w:sizeAuto/>
              <w:default w:val="0"/>
            </w:checkBox>
          </w:ffData>
        </w:fldChar>
      </w:r>
      <w:r w:rsidRPr="00114C08">
        <w:rPr>
          <w:rFonts w:ascii="Lucida Bright" w:hAnsi="Lucida Bright"/>
          <w:sz w:val="20"/>
          <w:szCs w:val="22"/>
        </w:rPr>
        <w:instrText xml:space="preserve"> FORMCHECKBOX </w:instrText>
      </w:r>
      <w:r w:rsidR="000A0EC5">
        <w:rPr>
          <w:rFonts w:ascii="Lucida Bright" w:hAnsi="Lucida Bright"/>
          <w:sz w:val="20"/>
          <w:szCs w:val="22"/>
        </w:rPr>
      </w:r>
      <w:r w:rsidR="000A0EC5">
        <w:rPr>
          <w:rFonts w:ascii="Lucida Bright" w:hAnsi="Lucida Bright"/>
          <w:sz w:val="20"/>
          <w:szCs w:val="22"/>
        </w:rPr>
        <w:fldChar w:fldCharType="separate"/>
      </w:r>
      <w:r w:rsidRPr="00114C08">
        <w:rPr>
          <w:rFonts w:ascii="Lucida Bright" w:hAnsi="Lucida Bright"/>
          <w:sz w:val="20"/>
          <w:szCs w:val="22"/>
        </w:rPr>
        <w:fldChar w:fldCharType="end"/>
      </w:r>
      <w:r>
        <w:rPr>
          <w:rFonts w:ascii="Lucida Bright" w:hAnsi="Lucida Bright"/>
          <w:sz w:val="20"/>
          <w:szCs w:val="22"/>
        </w:rPr>
        <w:tab/>
      </w:r>
      <w:r w:rsidRPr="00114C08">
        <w:rPr>
          <w:rStyle w:val="BodyTextChar"/>
        </w:rPr>
        <w:t>c.</w:t>
      </w:r>
      <w:r>
        <w:rPr>
          <w:rStyle w:val="BodyTextChar"/>
        </w:rPr>
        <w:tab/>
      </w:r>
      <w:r w:rsidRPr="00114C08">
        <w:rPr>
          <w:rStyle w:val="BodyTextChar"/>
        </w:rPr>
        <w:t xml:space="preserve">Service </w:t>
      </w:r>
      <w:r w:rsidR="00A140FC">
        <w:rPr>
          <w:rStyle w:val="BodyTextChar"/>
        </w:rPr>
        <w:t>p</w:t>
      </w:r>
      <w:r w:rsidRPr="00114C08">
        <w:rPr>
          <w:rStyle w:val="BodyTextChar"/>
        </w:rPr>
        <w:t xml:space="preserve">umps sufficient for water supply and fire flow (250 gpm or ordinance </w:t>
      </w:r>
      <w:r w:rsidR="00A140FC">
        <w:rPr>
          <w:rStyle w:val="BodyTextChar"/>
        </w:rPr>
        <w:t xml:space="preserve">requirements </w:t>
      </w:r>
      <w:r w:rsidRPr="00114C08">
        <w:rPr>
          <w:rStyle w:val="BodyTextChar"/>
        </w:rPr>
        <w:t>whichever greater).</w:t>
      </w:r>
    </w:p>
    <w:p w14:paraId="5F2F60FB" w14:textId="77777777" w:rsidR="00AA3A4C" w:rsidRPr="00114C08" w:rsidRDefault="00AA3A4C" w:rsidP="00AA3A4C">
      <w:pPr>
        <w:pStyle w:val="Level1"/>
        <w:tabs>
          <w:tab w:val="left" w:pos="1260"/>
          <w:tab w:val="left" w:pos="1350"/>
        </w:tabs>
        <w:ind w:left="1800" w:hanging="907"/>
        <w:rPr>
          <w:rFonts w:ascii="Lucida Bright" w:hAnsi="Lucida Bright"/>
          <w:sz w:val="20"/>
          <w:szCs w:val="22"/>
        </w:rPr>
      </w:pPr>
      <w:r w:rsidRPr="00114C08">
        <w:rPr>
          <w:rFonts w:ascii="Lucida Bright" w:hAnsi="Lucida Bright"/>
          <w:sz w:val="20"/>
          <w:szCs w:val="22"/>
        </w:rPr>
        <w:fldChar w:fldCharType="begin">
          <w:ffData>
            <w:name w:val=""/>
            <w:enabled/>
            <w:calcOnExit w:val="0"/>
            <w:checkBox>
              <w:sizeAuto/>
              <w:default w:val="0"/>
            </w:checkBox>
          </w:ffData>
        </w:fldChar>
      </w:r>
      <w:r w:rsidRPr="00114C08">
        <w:rPr>
          <w:rFonts w:ascii="Lucida Bright" w:hAnsi="Lucida Bright"/>
          <w:sz w:val="20"/>
          <w:szCs w:val="22"/>
        </w:rPr>
        <w:instrText xml:space="preserve"> FORMCHECKBOX </w:instrText>
      </w:r>
      <w:r w:rsidR="000A0EC5">
        <w:rPr>
          <w:rFonts w:ascii="Lucida Bright" w:hAnsi="Lucida Bright"/>
          <w:sz w:val="20"/>
          <w:szCs w:val="22"/>
        </w:rPr>
      </w:r>
      <w:r w:rsidR="000A0EC5">
        <w:rPr>
          <w:rFonts w:ascii="Lucida Bright" w:hAnsi="Lucida Bright"/>
          <w:sz w:val="20"/>
          <w:szCs w:val="22"/>
        </w:rPr>
        <w:fldChar w:fldCharType="separate"/>
      </w:r>
      <w:r w:rsidRPr="00114C08">
        <w:rPr>
          <w:rFonts w:ascii="Lucida Bright" w:hAnsi="Lucida Bright"/>
          <w:sz w:val="20"/>
          <w:szCs w:val="22"/>
        </w:rPr>
        <w:fldChar w:fldCharType="end"/>
      </w:r>
      <w:r w:rsidRPr="00114C08">
        <w:rPr>
          <w:rFonts w:ascii="Lucida Bright" w:hAnsi="Lucida Bright"/>
          <w:sz w:val="20"/>
          <w:szCs w:val="22"/>
        </w:rPr>
        <w:tab/>
      </w:r>
      <w:r w:rsidRPr="00864009">
        <w:rPr>
          <w:rStyle w:val="BodyTextChar"/>
        </w:rPr>
        <w:t>d.</w:t>
      </w:r>
      <w:r w:rsidRPr="00864009">
        <w:rPr>
          <w:rStyle w:val="BodyTextChar"/>
        </w:rPr>
        <w:tab/>
        <w:t>Distribution piping sized at least 6-inches or distribution model to demonstrate sufficient capacity (250 gpm or ordinance requirement, whichever greater).</w:t>
      </w:r>
      <w:r w:rsidRPr="00114C08">
        <w:rPr>
          <w:rFonts w:ascii="Lucida Bright" w:hAnsi="Lucida Bright"/>
          <w:sz w:val="20"/>
          <w:szCs w:val="22"/>
        </w:rPr>
        <w:br w:type="page"/>
      </w:r>
    </w:p>
    <w:p w14:paraId="37A864E3" w14:textId="77777777" w:rsidR="00AA3A4C" w:rsidRPr="00241FC6" w:rsidRDefault="00AA3A4C" w:rsidP="00AA3A4C">
      <w:pPr>
        <w:pStyle w:val="BodyText"/>
        <w:spacing w:before="240"/>
        <w:rPr>
          <w:b/>
          <w:u w:val="single"/>
        </w:rPr>
      </w:pPr>
      <w:r w:rsidRPr="00241FC6">
        <w:rPr>
          <w:b/>
          <w:u w:val="single"/>
        </w:rPr>
        <w:lastRenderedPageBreak/>
        <w:t>Fire Flow Requirements Breakdown</w:t>
      </w:r>
    </w:p>
    <w:p w14:paraId="52331AED" w14:textId="77777777" w:rsidR="00AA3A4C" w:rsidRPr="00241FC6" w:rsidRDefault="00AA3A4C" w:rsidP="00AA3A4C">
      <w:pPr>
        <w:pStyle w:val="BodyText"/>
        <w:spacing w:before="240"/>
        <w:rPr>
          <w:b/>
        </w:rPr>
      </w:pPr>
      <w:r w:rsidRPr="00241FC6">
        <w:rPr>
          <w:b/>
        </w:rPr>
        <w:t>§290.46(x) Public safety standards.</w:t>
      </w:r>
    </w:p>
    <w:p w14:paraId="0D9CD45C" w14:textId="77777777" w:rsidR="00AA3A4C" w:rsidRPr="00241FC6" w:rsidRDefault="00AA3A4C" w:rsidP="00AA3A4C">
      <w:pPr>
        <w:pStyle w:val="BodyText"/>
        <w:spacing w:before="240"/>
      </w:pPr>
      <w:r w:rsidRPr="00241FC6">
        <w:t>This subsection only applies to a municipality with a population of 1,000,000 or more, with a public utility within its corporate limits; a municipality with a population of more than 36,000 and less than 41,000 located in two counties, one of which is a county with a population of more than 1.8 million; a municipality, including any industrial district within the municipality or its extraterritorial jurisdiction (ETJ), with a population of more than 7,000 and less than 30,000 located in a county with a population of more than 155,000 and less than 180,000; or a municipality, including any industrial district within the municipality or its ETJ, with a population of more than 11,000 and less than 18,000 located in a county with a population of more than 125,000 and less than 230,000.</w:t>
      </w:r>
    </w:p>
    <w:p w14:paraId="548B943A" w14:textId="5656BDAB" w:rsidR="00AA3A4C" w:rsidRPr="00241FC6" w:rsidRDefault="00AA3A4C" w:rsidP="00AA3A4C">
      <w:pPr>
        <w:pStyle w:val="BodyText"/>
        <w:spacing w:before="240"/>
      </w:pPr>
      <w:r w:rsidRPr="00241FC6">
        <w:rPr>
          <w:b/>
        </w:rPr>
        <w:t xml:space="preserve">Fire Flow Requirements at a Glance as of </w:t>
      </w:r>
      <w:r w:rsidR="00D50CA1">
        <w:rPr>
          <w:b/>
        </w:rPr>
        <w:t>May</w:t>
      </w:r>
      <w:r w:rsidRPr="00241FC6">
        <w:rPr>
          <w:b/>
        </w:rPr>
        <w:t xml:space="preserve"> 20</w:t>
      </w:r>
      <w:r w:rsidR="00D50CA1">
        <w:rPr>
          <w:b/>
        </w:rPr>
        <w:t>23</w:t>
      </w:r>
      <w:r w:rsidRPr="00241FC6">
        <w:t xml:space="preserve">: (subject to change with each subsequent </w:t>
      </w:r>
      <w:r w:rsidR="00D50CA1">
        <w:t xml:space="preserve">decennial </w:t>
      </w:r>
      <w:r w:rsidRPr="00241FC6">
        <w:t>census)</w:t>
      </w:r>
    </w:p>
    <w:p w14:paraId="09C267DD" w14:textId="25613854" w:rsidR="00AA3A4C" w:rsidRPr="00241FC6" w:rsidRDefault="00AA3A4C" w:rsidP="00AA3A4C">
      <w:pPr>
        <w:pStyle w:val="BodyText"/>
        <w:spacing w:before="240"/>
      </w:pPr>
      <w:r w:rsidRPr="00241FC6">
        <w:t xml:space="preserve">30 TAC 290.46(x) Flow requirements are applicable only to </w:t>
      </w:r>
      <w:r w:rsidR="000A0EC5" w:rsidRPr="00241FC6">
        <w:t>investor-owned</w:t>
      </w:r>
      <w:r w:rsidRPr="00241FC6">
        <w:t xml:space="preserve"> utilities within municipal jurisdiction.</w:t>
      </w:r>
    </w:p>
    <w:p w14:paraId="02174741" w14:textId="77777777" w:rsidR="00AA3A4C" w:rsidRPr="00241FC6" w:rsidRDefault="00AA3A4C" w:rsidP="00AA3A4C">
      <w:pPr>
        <w:pStyle w:val="BodyText"/>
        <w:spacing w:before="240"/>
      </w:pPr>
      <w:r w:rsidRPr="00241FC6">
        <w:t>Municipalities &gt;1,000,000 population:</w:t>
      </w:r>
    </w:p>
    <w:p w14:paraId="52154468" w14:textId="77777777" w:rsidR="00AA3A4C" w:rsidRPr="006C6656" w:rsidRDefault="00AA3A4C" w:rsidP="00AA3A4C">
      <w:pPr>
        <w:widowControl w:val="0"/>
        <w:numPr>
          <w:ilvl w:val="0"/>
          <w:numId w:val="20"/>
        </w:numPr>
        <w:autoSpaceDE w:val="0"/>
        <w:autoSpaceDN w:val="0"/>
        <w:adjustRightInd w:val="0"/>
        <w:rPr>
          <w:rStyle w:val="BodyTextChar"/>
        </w:rPr>
      </w:pPr>
      <w:r w:rsidRPr="006C6656">
        <w:rPr>
          <w:rStyle w:val="BodyTextChar"/>
        </w:rPr>
        <w:t>City of Dallas</w:t>
      </w:r>
    </w:p>
    <w:p w14:paraId="14EE21AD" w14:textId="77777777" w:rsidR="00AA3A4C" w:rsidRPr="006C6656" w:rsidRDefault="00AA3A4C" w:rsidP="00AA3A4C">
      <w:pPr>
        <w:widowControl w:val="0"/>
        <w:numPr>
          <w:ilvl w:val="0"/>
          <w:numId w:val="20"/>
        </w:numPr>
        <w:autoSpaceDE w:val="0"/>
        <w:autoSpaceDN w:val="0"/>
        <w:adjustRightInd w:val="0"/>
        <w:rPr>
          <w:rStyle w:val="BodyTextChar"/>
        </w:rPr>
      </w:pPr>
      <w:r w:rsidRPr="006C6656">
        <w:rPr>
          <w:rStyle w:val="BodyTextChar"/>
        </w:rPr>
        <w:t>City of Houston</w:t>
      </w:r>
    </w:p>
    <w:p w14:paraId="0E8EB6CD" w14:textId="77777777" w:rsidR="00AA3A4C" w:rsidRPr="006C6656" w:rsidRDefault="00AA3A4C" w:rsidP="00AA3A4C">
      <w:pPr>
        <w:widowControl w:val="0"/>
        <w:numPr>
          <w:ilvl w:val="0"/>
          <w:numId w:val="20"/>
        </w:numPr>
        <w:autoSpaceDE w:val="0"/>
        <w:autoSpaceDN w:val="0"/>
        <w:adjustRightInd w:val="0"/>
        <w:rPr>
          <w:rStyle w:val="BodyTextChar"/>
        </w:rPr>
      </w:pPr>
      <w:r w:rsidRPr="006C6656">
        <w:rPr>
          <w:rStyle w:val="BodyTextChar"/>
        </w:rPr>
        <w:t>City of San Antonio</w:t>
      </w:r>
    </w:p>
    <w:p w14:paraId="14079EDB" w14:textId="77777777" w:rsidR="00AA3A4C" w:rsidRPr="00241FC6" w:rsidRDefault="00AA3A4C" w:rsidP="00AA3A4C">
      <w:pPr>
        <w:pStyle w:val="BodyText"/>
        <w:spacing w:before="240"/>
      </w:pPr>
      <w:r w:rsidRPr="006C6656">
        <w:rPr>
          <w:rStyle w:val="BodyTextChar"/>
          <w:rFonts w:eastAsia="Times New Roman"/>
        </w:rPr>
        <w:t xml:space="preserve">Municipalities &gt;36,000 &lt;41,000 population located in two counties. One </w:t>
      </w:r>
      <w:r w:rsidR="00714D0D">
        <w:rPr>
          <w:rStyle w:val="BodyTextChar"/>
          <w:rFonts w:eastAsia="Times New Roman"/>
        </w:rPr>
        <w:t xml:space="preserve">of which is </w:t>
      </w:r>
      <w:r w:rsidRPr="006C6656">
        <w:rPr>
          <w:rStyle w:val="BodyTextChar"/>
          <w:rFonts w:eastAsia="Times New Roman"/>
        </w:rPr>
        <w:t>greater than a</w:t>
      </w:r>
      <w:r w:rsidRPr="00241FC6">
        <w:t xml:space="preserve"> population of 1.8 million:</w:t>
      </w:r>
    </w:p>
    <w:p w14:paraId="7AA2AB29" w14:textId="4CC90F56" w:rsidR="00AA3A4C" w:rsidRPr="006C6656" w:rsidRDefault="00D50CA1" w:rsidP="00AA3A4C">
      <w:pPr>
        <w:widowControl w:val="0"/>
        <w:numPr>
          <w:ilvl w:val="0"/>
          <w:numId w:val="21"/>
        </w:numPr>
        <w:autoSpaceDE w:val="0"/>
        <w:autoSpaceDN w:val="0"/>
        <w:adjustRightInd w:val="0"/>
        <w:rPr>
          <w:rStyle w:val="BodyTextChar"/>
        </w:rPr>
      </w:pPr>
      <w:r>
        <w:rPr>
          <w:rStyle w:val="BodyTextChar"/>
        </w:rPr>
        <w:t>None</w:t>
      </w:r>
    </w:p>
    <w:p w14:paraId="4D8D2DEB" w14:textId="77777777" w:rsidR="00AA3A4C" w:rsidRPr="00241FC6" w:rsidRDefault="00AA3A4C" w:rsidP="00AA3A4C">
      <w:pPr>
        <w:pStyle w:val="BodyText"/>
        <w:spacing w:before="240"/>
      </w:pPr>
      <w:r w:rsidRPr="00241FC6">
        <w:t>30 TAC 290.46(x) Flow requirements are applicable only to investor owned utilities within municipal jurisdiction including ETJ and Industrial district)</w:t>
      </w:r>
    </w:p>
    <w:p w14:paraId="3C276B1C" w14:textId="77777777" w:rsidR="00AA3A4C" w:rsidRPr="00241FC6" w:rsidRDefault="00AA3A4C" w:rsidP="00AA3A4C">
      <w:pPr>
        <w:pStyle w:val="BodyText"/>
        <w:spacing w:before="240"/>
      </w:pPr>
      <w:r w:rsidRPr="00241FC6">
        <w:t>Municipalities &gt;7,000 &lt;30,000 pop., in one county &gt;155,000 &lt;180,000 population:</w:t>
      </w:r>
    </w:p>
    <w:p w14:paraId="21C7C5F6" w14:textId="43F93658" w:rsidR="00AA3A4C" w:rsidRDefault="00D50CA1" w:rsidP="00AA3A4C">
      <w:pPr>
        <w:widowControl w:val="0"/>
        <w:numPr>
          <w:ilvl w:val="0"/>
          <w:numId w:val="20"/>
        </w:numPr>
        <w:autoSpaceDE w:val="0"/>
        <w:autoSpaceDN w:val="0"/>
        <w:adjustRightInd w:val="0"/>
        <w:rPr>
          <w:rStyle w:val="BodyTextChar"/>
        </w:rPr>
      </w:pPr>
      <w:r>
        <w:rPr>
          <w:rStyle w:val="BodyTextChar"/>
        </w:rPr>
        <w:t xml:space="preserve">City of </w:t>
      </w:r>
      <w:proofErr w:type="spellStart"/>
      <w:r>
        <w:rPr>
          <w:rStyle w:val="BodyTextChar"/>
        </w:rPr>
        <w:t>Azle</w:t>
      </w:r>
      <w:proofErr w:type="spellEnd"/>
    </w:p>
    <w:p w14:paraId="4AA6B9A4" w14:textId="65E35572" w:rsidR="00D50CA1" w:rsidRDefault="00383A6E" w:rsidP="00AA3A4C">
      <w:pPr>
        <w:widowControl w:val="0"/>
        <w:numPr>
          <w:ilvl w:val="0"/>
          <w:numId w:val="20"/>
        </w:numPr>
        <w:autoSpaceDE w:val="0"/>
        <w:autoSpaceDN w:val="0"/>
        <w:adjustRightInd w:val="0"/>
        <w:rPr>
          <w:rStyle w:val="BodyTextChar"/>
        </w:rPr>
      </w:pPr>
      <w:r>
        <w:rPr>
          <w:rStyle w:val="BodyTextChar"/>
        </w:rPr>
        <w:t>City of Fair Oaks Ranch</w:t>
      </w:r>
    </w:p>
    <w:p w14:paraId="5D51DEA3" w14:textId="5AB49819" w:rsidR="00383A6E" w:rsidRDefault="00383A6E" w:rsidP="00AA3A4C">
      <w:pPr>
        <w:widowControl w:val="0"/>
        <w:numPr>
          <w:ilvl w:val="0"/>
          <w:numId w:val="20"/>
        </w:numPr>
        <w:autoSpaceDE w:val="0"/>
        <w:autoSpaceDN w:val="0"/>
        <w:adjustRightInd w:val="0"/>
        <w:rPr>
          <w:rStyle w:val="BodyTextChar"/>
        </w:rPr>
      </w:pPr>
      <w:r>
        <w:rPr>
          <w:rStyle w:val="BodyTextChar"/>
        </w:rPr>
        <w:t>City of Forney</w:t>
      </w:r>
    </w:p>
    <w:p w14:paraId="5D3BD86A" w14:textId="46925CD5" w:rsidR="00383A6E" w:rsidRDefault="00383A6E" w:rsidP="00AA3A4C">
      <w:pPr>
        <w:widowControl w:val="0"/>
        <w:numPr>
          <w:ilvl w:val="0"/>
          <w:numId w:val="20"/>
        </w:numPr>
        <w:autoSpaceDE w:val="0"/>
        <w:autoSpaceDN w:val="0"/>
        <w:adjustRightInd w:val="0"/>
        <w:rPr>
          <w:rStyle w:val="BodyTextChar"/>
        </w:rPr>
      </w:pPr>
      <w:r>
        <w:rPr>
          <w:rStyle w:val="BodyTextChar"/>
        </w:rPr>
        <w:t>City of Heath</w:t>
      </w:r>
    </w:p>
    <w:p w14:paraId="78002ED1" w14:textId="5823BA4C" w:rsidR="00383A6E" w:rsidRDefault="00383A6E" w:rsidP="00AA3A4C">
      <w:pPr>
        <w:widowControl w:val="0"/>
        <w:numPr>
          <w:ilvl w:val="0"/>
          <w:numId w:val="20"/>
        </w:numPr>
        <w:autoSpaceDE w:val="0"/>
        <w:autoSpaceDN w:val="0"/>
        <w:adjustRightInd w:val="0"/>
        <w:rPr>
          <w:rStyle w:val="BodyTextChar"/>
        </w:rPr>
      </w:pPr>
      <w:r>
        <w:rPr>
          <w:rStyle w:val="BodyTextChar"/>
        </w:rPr>
        <w:t>City of Mineral Wells</w:t>
      </w:r>
    </w:p>
    <w:p w14:paraId="6DAEDEA8" w14:textId="0EC45052" w:rsidR="00383A6E" w:rsidRDefault="00383A6E" w:rsidP="00AA3A4C">
      <w:pPr>
        <w:widowControl w:val="0"/>
        <w:numPr>
          <w:ilvl w:val="0"/>
          <w:numId w:val="20"/>
        </w:numPr>
        <w:autoSpaceDE w:val="0"/>
        <w:autoSpaceDN w:val="0"/>
        <w:adjustRightInd w:val="0"/>
        <w:rPr>
          <w:rStyle w:val="BodyTextChar"/>
        </w:rPr>
      </w:pPr>
      <w:r>
        <w:rPr>
          <w:rStyle w:val="BodyTextChar"/>
        </w:rPr>
        <w:t>City of Seagoville</w:t>
      </w:r>
    </w:p>
    <w:p w14:paraId="1C4A2133" w14:textId="4FBC0F3A" w:rsidR="00383A6E" w:rsidRDefault="00383A6E" w:rsidP="00AA3A4C">
      <w:pPr>
        <w:widowControl w:val="0"/>
        <w:numPr>
          <w:ilvl w:val="0"/>
          <w:numId w:val="20"/>
        </w:numPr>
        <w:autoSpaceDE w:val="0"/>
        <w:autoSpaceDN w:val="0"/>
        <w:adjustRightInd w:val="0"/>
        <w:rPr>
          <w:rStyle w:val="BodyTextChar"/>
        </w:rPr>
      </w:pPr>
      <w:r>
        <w:rPr>
          <w:rStyle w:val="BodyTextChar"/>
        </w:rPr>
        <w:t>City of Seguin</w:t>
      </w:r>
    </w:p>
    <w:p w14:paraId="7CA1138F" w14:textId="21C887E4" w:rsidR="00383A6E" w:rsidRDefault="00383A6E" w:rsidP="00AA3A4C">
      <w:pPr>
        <w:widowControl w:val="0"/>
        <w:numPr>
          <w:ilvl w:val="0"/>
          <w:numId w:val="20"/>
        </w:numPr>
        <w:autoSpaceDE w:val="0"/>
        <w:autoSpaceDN w:val="0"/>
        <w:adjustRightInd w:val="0"/>
        <w:rPr>
          <w:rStyle w:val="BodyTextChar"/>
        </w:rPr>
      </w:pPr>
      <w:r>
        <w:rPr>
          <w:rStyle w:val="BodyTextChar"/>
        </w:rPr>
        <w:t>City of Selma</w:t>
      </w:r>
    </w:p>
    <w:p w14:paraId="25120148" w14:textId="4E74760B" w:rsidR="00383A6E" w:rsidRDefault="00383A6E" w:rsidP="00AA3A4C">
      <w:pPr>
        <w:widowControl w:val="0"/>
        <w:numPr>
          <w:ilvl w:val="0"/>
          <w:numId w:val="20"/>
        </w:numPr>
        <w:autoSpaceDE w:val="0"/>
        <w:autoSpaceDN w:val="0"/>
        <w:adjustRightInd w:val="0"/>
        <w:rPr>
          <w:rStyle w:val="BodyTextChar"/>
        </w:rPr>
      </w:pPr>
      <w:r>
        <w:rPr>
          <w:rStyle w:val="BodyTextChar"/>
        </w:rPr>
        <w:t>City of Terrell</w:t>
      </w:r>
    </w:p>
    <w:p w14:paraId="64E1616E" w14:textId="2B67E36F" w:rsidR="00383A6E" w:rsidRPr="006C6656" w:rsidRDefault="00383A6E" w:rsidP="00AA3A4C">
      <w:pPr>
        <w:widowControl w:val="0"/>
        <w:numPr>
          <w:ilvl w:val="0"/>
          <w:numId w:val="20"/>
        </w:numPr>
        <w:autoSpaceDE w:val="0"/>
        <w:autoSpaceDN w:val="0"/>
        <w:adjustRightInd w:val="0"/>
        <w:rPr>
          <w:rStyle w:val="BodyTextChar"/>
        </w:rPr>
      </w:pPr>
      <w:r>
        <w:rPr>
          <w:rStyle w:val="BodyTextChar"/>
        </w:rPr>
        <w:t>City of University City</w:t>
      </w:r>
    </w:p>
    <w:p w14:paraId="08024117" w14:textId="77777777" w:rsidR="00AA3A4C" w:rsidRPr="00241FC6" w:rsidRDefault="00AA3A4C" w:rsidP="00AA3A4C">
      <w:pPr>
        <w:pStyle w:val="BodyText"/>
        <w:spacing w:before="240"/>
      </w:pPr>
      <w:r w:rsidRPr="00241FC6">
        <w:t>Municipalities &gt;11,000 &lt;18,000 pop., in one county &gt;125,000 &lt;230,000 population:</w:t>
      </w:r>
    </w:p>
    <w:p w14:paraId="4B5813E0" w14:textId="27D1BA7B" w:rsidR="00AA3A4C" w:rsidRDefault="00AA3A4C" w:rsidP="00E23D1D">
      <w:pPr>
        <w:widowControl w:val="0"/>
        <w:numPr>
          <w:ilvl w:val="0"/>
          <w:numId w:val="20"/>
        </w:numPr>
        <w:autoSpaceDE w:val="0"/>
        <w:autoSpaceDN w:val="0"/>
        <w:adjustRightInd w:val="0"/>
        <w:rPr>
          <w:rStyle w:val="BodyTextChar"/>
        </w:rPr>
      </w:pPr>
      <w:r w:rsidRPr="006C6656">
        <w:rPr>
          <w:rStyle w:val="BodyTextChar"/>
        </w:rPr>
        <w:t xml:space="preserve">City of </w:t>
      </w:r>
      <w:proofErr w:type="spellStart"/>
      <w:r w:rsidR="00383A6E">
        <w:rPr>
          <w:rStyle w:val="BodyTextChar"/>
        </w:rPr>
        <w:t>Azle</w:t>
      </w:r>
      <w:proofErr w:type="spellEnd"/>
    </w:p>
    <w:p w14:paraId="33EBB86E" w14:textId="6ACD8BF9" w:rsidR="00383A6E" w:rsidRDefault="00383A6E" w:rsidP="00E23D1D">
      <w:pPr>
        <w:widowControl w:val="0"/>
        <w:numPr>
          <w:ilvl w:val="0"/>
          <w:numId w:val="20"/>
        </w:numPr>
        <w:autoSpaceDE w:val="0"/>
        <w:autoSpaceDN w:val="0"/>
        <w:adjustRightInd w:val="0"/>
        <w:rPr>
          <w:rStyle w:val="BodyTextChar"/>
        </w:rPr>
      </w:pPr>
      <w:r>
        <w:rPr>
          <w:rStyle w:val="BodyTextChar"/>
        </w:rPr>
        <w:t>City of Canyon</w:t>
      </w:r>
    </w:p>
    <w:p w14:paraId="6A7FAFBD" w14:textId="4A83A231" w:rsidR="00383A6E" w:rsidRDefault="00383A6E" w:rsidP="00E23D1D">
      <w:pPr>
        <w:widowControl w:val="0"/>
        <w:numPr>
          <w:ilvl w:val="0"/>
          <w:numId w:val="20"/>
        </w:numPr>
        <w:autoSpaceDE w:val="0"/>
        <w:autoSpaceDN w:val="0"/>
        <w:adjustRightInd w:val="0"/>
        <w:rPr>
          <w:rStyle w:val="BodyTextChar"/>
        </w:rPr>
      </w:pPr>
      <w:r>
        <w:rPr>
          <w:rStyle w:val="BodyTextChar"/>
        </w:rPr>
        <w:t>City of Glenn Heights</w:t>
      </w:r>
    </w:p>
    <w:p w14:paraId="36F20160" w14:textId="73956CC5" w:rsidR="00383A6E" w:rsidRDefault="00383A6E" w:rsidP="00E23D1D">
      <w:pPr>
        <w:widowControl w:val="0"/>
        <w:numPr>
          <w:ilvl w:val="0"/>
          <w:numId w:val="20"/>
        </w:numPr>
        <w:autoSpaceDE w:val="0"/>
        <w:autoSpaceDN w:val="0"/>
        <w:adjustRightInd w:val="0"/>
        <w:rPr>
          <w:rStyle w:val="BodyTextChar"/>
        </w:rPr>
      </w:pPr>
      <w:r>
        <w:rPr>
          <w:rStyle w:val="BodyTextChar"/>
        </w:rPr>
        <w:t>City of Mineral Wells</w:t>
      </w:r>
    </w:p>
    <w:p w14:paraId="467ABA80" w14:textId="2CA60D46" w:rsidR="00383A6E" w:rsidRDefault="00383A6E" w:rsidP="00E23D1D">
      <w:pPr>
        <w:widowControl w:val="0"/>
        <w:numPr>
          <w:ilvl w:val="0"/>
          <w:numId w:val="20"/>
        </w:numPr>
        <w:autoSpaceDE w:val="0"/>
        <w:autoSpaceDN w:val="0"/>
        <w:adjustRightInd w:val="0"/>
        <w:rPr>
          <w:rStyle w:val="BodyTextChar"/>
        </w:rPr>
      </w:pPr>
      <w:r>
        <w:rPr>
          <w:rStyle w:val="BodyTextChar"/>
        </w:rPr>
        <w:t>City of Red Oak</w:t>
      </w:r>
    </w:p>
    <w:p w14:paraId="7957F5D1" w14:textId="5478F78B" w:rsidR="00383A6E" w:rsidRPr="006C6656" w:rsidRDefault="00383A6E" w:rsidP="00E23D1D">
      <w:pPr>
        <w:widowControl w:val="0"/>
        <w:numPr>
          <w:ilvl w:val="0"/>
          <w:numId w:val="20"/>
        </w:numPr>
        <w:autoSpaceDE w:val="0"/>
        <w:autoSpaceDN w:val="0"/>
        <w:adjustRightInd w:val="0"/>
        <w:rPr>
          <w:rStyle w:val="BodyTextChar"/>
        </w:rPr>
      </w:pPr>
      <w:r>
        <w:rPr>
          <w:rStyle w:val="BodyTextChar"/>
        </w:rPr>
        <w:t>City of Terrell</w:t>
      </w:r>
    </w:p>
    <w:p w14:paraId="0CFF4960" w14:textId="77777777" w:rsidR="00AA3A4C" w:rsidRPr="00A140FC" w:rsidRDefault="00AA3A4C" w:rsidP="00A140FC">
      <w:pPr>
        <w:pStyle w:val="BodyText"/>
        <w:spacing w:before="240"/>
      </w:pPr>
      <w:r w:rsidRPr="00241FC6">
        <w:rPr>
          <w:b/>
        </w:rPr>
        <w:lastRenderedPageBreak/>
        <w:t>§290.46(y)(2)</w:t>
      </w:r>
      <w:r w:rsidRPr="00241FC6">
        <w:t xml:space="preserve"> The governing body of a municipality by ordinance may adopt standards set by the executive director requiring a utility to maintain a minimum sufficient water  flow and pressure to fire hydrants in a residential area located in the municipality or the  municipality's ETJ. The municipality must submit a signed copy of the ordinance to the executive director within 60 days of the adoption of an ordinance by its governing body.</w:t>
      </w:r>
    </w:p>
    <w:p w14:paraId="38AEA8EA" w14:textId="77777777" w:rsidR="00A140FC" w:rsidRPr="00A140FC" w:rsidRDefault="00A140FC" w:rsidP="00A140FC">
      <w:pPr>
        <w:widowControl w:val="0"/>
        <w:autoSpaceDE w:val="0"/>
        <w:autoSpaceDN w:val="0"/>
        <w:adjustRightInd w:val="0"/>
        <w:rPr>
          <w:rFonts w:ascii="Lucida Bright" w:hAnsi="Lucida Bright" w:cstheme="minorBidi"/>
          <w:sz w:val="20"/>
          <w:szCs w:val="24"/>
        </w:rPr>
      </w:pPr>
      <w:r w:rsidRPr="00A140FC">
        <w:rPr>
          <w:rFonts w:ascii="Lucida Bright" w:hAnsi="Lucida Bright" w:cstheme="minorBidi"/>
          <w:sz w:val="20"/>
          <w:szCs w:val="24"/>
        </w:rPr>
        <w:t>The engineer shall check municipal requirements and ensure the design is adequate to meet specific municipal requirements.</w:t>
      </w:r>
    </w:p>
    <w:p w14:paraId="1F92E5F6" w14:textId="77777777" w:rsidR="00AA3A4C" w:rsidRPr="00AA3A4C" w:rsidRDefault="00AA3A4C" w:rsidP="00A140FC">
      <w:pPr>
        <w:pStyle w:val="BodyText"/>
        <w:rPr>
          <w:szCs w:val="20"/>
        </w:rPr>
      </w:pPr>
    </w:p>
    <w:sectPr w:rsidR="00AA3A4C" w:rsidRPr="00AA3A4C" w:rsidSect="004B36C7">
      <w:headerReference w:type="default" r:id="rId9"/>
      <w:footerReference w:type="even" r:id="rId10"/>
      <w:footerReference w:type="default" r:id="rId11"/>
      <w:footerReference w:type="first" r:id="rId12"/>
      <w:footnotePr>
        <w:numFmt w:val="lowerLetter"/>
      </w:footnotePr>
      <w:endnotePr>
        <w:numFmt w:val="lowerLetter"/>
      </w:endnotePr>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170BE" w14:textId="77777777" w:rsidR="000D2814" w:rsidRDefault="000D2814" w:rsidP="00E52C9A">
      <w:r>
        <w:separator/>
      </w:r>
    </w:p>
  </w:endnote>
  <w:endnote w:type="continuationSeparator" w:id="0">
    <w:p w14:paraId="5A06A6BD" w14:textId="77777777" w:rsidR="000D2814" w:rsidRDefault="000D2814"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D525" w14:textId="77777777" w:rsidR="004E71EF" w:rsidRDefault="00774B9D">
    <w:pPr>
      <w:widowControl w:val="0"/>
      <w:tabs>
        <w:tab w:val="right" w:pos="9810"/>
      </w:tabs>
    </w:pPr>
    <w:r>
      <w:rPr>
        <w:sz w:val="16"/>
      </w:rPr>
      <w:t>Revised 8/9/05</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963E" w14:textId="7AF93872" w:rsidR="004E71EF" w:rsidRPr="00FA228B" w:rsidRDefault="007779DC" w:rsidP="00FA228B">
    <w:pPr>
      <w:pStyle w:val="Footer"/>
      <w:tabs>
        <w:tab w:val="left" w:pos="900"/>
      </w:tabs>
      <w:rPr>
        <w:sz w:val="16"/>
        <w:szCs w:val="16"/>
      </w:rPr>
    </w:pPr>
    <w:r>
      <w:rPr>
        <w:sz w:val="16"/>
        <w:szCs w:val="16"/>
      </w:rPr>
      <w:t>Revised 0</w:t>
    </w:r>
    <w:r w:rsidR="008A10A9">
      <w:rPr>
        <w:sz w:val="16"/>
        <w:szCs w:val="16"/>
      </w:rPr>
      <w:t>5</w:t>
    </w:r>
    <w:r w:rsidR="00FA228B">
      <w:rPr>
        <w:sz w:val="16"/>
        <w:szCs w:val="16"/>
      </w:rPr>
      <w:t>/20</w:t>
    </w:r>
    <w:r w:rsidR="008A10A9">
      <w:rPr>
        <w:sz w:val="16"/>
        <w:szCs w:val="16"/>
      </w:rPr>
      <w:t>23</w:t>
    </w:r>
    <w:r w:rsidR="00774B9D">
      <w:rPr>
        <w:sz w:val="16"/>
        <w:szCs w:val="16"/>
      </w:rPr>
      <w:tab/>
    </w:r>
    <w:r w:rsidR="00774B9D">
      <w:rPr>
        <w:sz w:val="16"/>
        <w:szCs w:val="16"/>
      </w:rPr>
      <w:tab/>
      <w:t xml:space="preserve">Page </w:t>
    </w:r>
    <w:r w:rsidR="00774B9D">
      <w:rPr>
        <w:b/>
        <w:bCs/>
        <w:sz w:val="16"/>
        <w:szCs w:val="16"/>
      </w:rPr>
      <w:fldChar w:fldCharType="begin"/>
    </w:r>
    <w:r w:rsidR="00774B9D">
      <w:rPr>
        <w:b/>
        <w:bCs/>
        <w:sz w:val="16"/>
        <w:szCs w:val="16"/>
      </w:rPr>
      <w:instrText xml:space="preserve"> PAGE </w:instrText>
    </w:r>
    <w:r w:rsidR="00774B9D">
      <w:rPr>
        <w:b/>
        <w:bCs/>
        <w:sz w:val="16"/>
        <w:szCs w:val="16"/>
      </w:rPr>
      <w:fldChar w:fldCharType="separate"/>
    </w:r>
    <w:r w:rsidR="00714D0D">
      <w:rPr>
        <w:b/>
        <w:bCs/>
        <w:noProof/>
        <w:sz w:val="16"/>
        <w:szCs w:val="16"/>
      </w:rPr>
      <w:t>2</w:t>
    </w:r>
    <w:r w:rsidR="00774B9D">
      <w:rPr>
        <w:b/>
        <w:bCs/>
        <w:sz w:val="16"/>
        <w:szCs w:val="16"/>
      </w:rPr>
      <w:fldChar w:fldCharType="end"/>
    </w:r>
    <w:r w:rsidR="00774B9D">
      <w:rPr>
        <w:sz w:val="16"/>
        <w:szCs w:val="16"/>
      </w:rPr>
      <w:t xml:space="preserve"> of </w:t>
    </w:r>
    <w:r w:rsidR="00774B9D">
      <w:rPr>
        <w:b/>
        <w:bCs/>
        <w:sz w:val="16"/>
        <w:szCs w:val="16"/>
      </w:rPr>
      <w:fldChar w:fldCharType="begin"/>
    </w:r>
    <w:r w:rsidR="00774B9D">
      <w:rPr>
        <w:b/>
        <w:bCs/>
        <w:sz w:val="16"/>
        <w:szCs w:val="16"/>
      </w:rPr>
      <w:instrText xml:space="preserve"> NUMPAGES  </w:instrText>
    </w:r>
    <w:r w:rsidR="00774B9D">
      <w:rPr>
        <w:b/>
        <w:bCs/>
        <w:sz w:val="16"/>
        <w:szCs w:val="16"/>
      </w:rPr>
      <w:fldChar w:fldCharType="separate"/>
    </w:r>
    <w:r w:rsidR="00714D0D">
      <w:rPr>
        <w:b/>
        <w:bCs/>
        <w:noProof/>
        <w:sz w:val="16"/>
        <w:szCs w:val="16"/>
      </w:rPr>
      <w:t>3</w:t>
    </w:r>
    <w:r w:rsidR="00774B9D">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478A" w14:textId="712493E8" w:rsidR="00B24E37" w:rsidRDefault="00FA228B" w:rsidP="00B24E37">
    <w:pPr>
      <w:pStyle w:val="Footer"/>
      <w:tabs>
        <w:tab w:val="left" w:pos="900"/>
      </w:tabs>
      <w:rPr>
        <w:sz w:val="16"/>
        <w:szCs w:val="16"/>
      </w:rPr>
    </w:pPr>
    <w:r>
      <w:rPr>
        <w:sz w:val="16"/>
        <w:szCs w:val="16"/>
      </w:rPr>
      <w:t>Revised 0</w:t>
    </w:r>
    <w:r w:rsidR="00B01290">
      <w:rPr>
        <w:sz w:val="16"/>
        <w:szCs w:val="16"/>
      </w:rPr>
      <w:t>5</w:t>
    </w:r>
    <w:r>
      <w:rPr>
        <w:sz w:val="16"/>
        <w:szCs w:val="16"/>
      </w:rPr>
      <w:t>/20</w:t>
    </w:r>
    <w:r w:rsidR="00B01290">
      <w:rPr>
        <w:sz w:val="16"/>
        <w:szCs w:val="16"/>
      </w:rPr>
      <w:t>23</w:t>
    </w:r>
    <w:r w:rsidR="00774B9D">
      <w:rPr>
        <w:sz w:val="16"/>
        <w:szCs w:val="16"/>
      </w:rPr>
      <w:tab/>
    </w:r>
    <w:r w:rsidR="00774B9D">
      <w:rPr>
        <w:sz w:val="16"/>
        <w:szCs w:val="16"/>
      </w:rPr>
      <w:tab/>
      <w:t xml:space="preserve">Page </w:t>
    </w:r>
    <w:r w:rsidR="00774B9D">
      <w:rPr>
        <w:b/>
        <w:bCs/>
        <w:sz w:val="16"/>
        <w:szCs w:val="16"/>
      </w:rPr>
      <w:fldChar w:fldCharType="begin"/>
    </w:r>
    <w:r w:rsidR="00774B9D">
      <w:rPr>
        <w:b/>
        <w:bCs/>
        <w:sz w:val="16"/>
        <w:szCs w:val="16"/>
      </w:rPr>
      <w:instrText xml:space="preserve"> PAGE </w:instrText>
    </w:r>
    <w:r w:rsidR="00774B9D">
      <w:rPr>
        <w:b/>
        <w:bCs/>
        <w:sz w:val="16"/>
        <w:szCs w:val="16"/>
      </w:rPr>
      <w:fldChar w:fldCharType="separate"/>
    </w:r>
    <w:r w:rsidR="00714D0D">
      <w:rPr>
        <w:b/>
        <w:bCs/>
        <w:noProof/>
        <w:sz w:val="16"/>
        <w:szCs w:val="16"/>
      </w:rPr>
      <w:t>1</w:t>
    </w:r>
    <w:r w:rsidR="00774B9D">
      <w:rPr>
        <w:b/>
        <w:bCs/>
        <w:sz w:val="16"/>
        <w:szCs w:val="16"/>
      </w:rPr>
      <w:fldChar w:fldCharType="end"/>
    </w:r>
    <w:r w:rsidR="00774B9D">
      <w:rPr>
        <w:sz w:val="16"/>
        <w:szCs w:val="16"/>
      </w:rPr>
      <w:t xml:space="preserve"> of </w:t>
    </w:r>
    <w:r w:rsidR="00774B9D">
      <w:rPr>
        <w:b/>
        <w:bCs/>
        <w:sz w:val="16"/>
        <w:szCs w:val="16"/>
      </w:rPr>
      <w:fldChar w:fldCharType="begin"/>
    </w:r>
    <w:r w:rsidR="00774B9D">
      <w:rPr>
        <w:b/>
        <w:bCs/>
        <w:sz w:val="16"/>
        <w:szCs w:val="16"/>
      </w:rPr>
      <w:instrText xml:space="preserve"> NUMPAGES  </w:instrText>
    </w:r>
    <w:r w:rsidR="00774B9D">
      <w:rPr>
        <w:b/>
        <w:bCs/>
        <w:sz w:val="16"/>
        <w:szCs w:val="16"/>
      </w:rPr>
      <w:fldChar w:fldCharType="separate"/>
    </w:r>
    <w:r w:rsidR="00714D0D">
      <w:rPr>
        <w:b/>
        <w:bCs/>
        <w:noProof/>
        <w:sz w:val="16"/>
        <w:szCs w:val="16"/>
      </w:rPr>
      <w:t>3</w:t>
    </w:r>
    <w:r w:rsidR="00774B9D">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618F3" w14:textId="77777777" w:rsidR="000D2814" w:rsidRDefault="000D2814" w:rsidP="00E52C9A">
      <w:r>
        <w:separator/>
      </w:r>
    </w:p>
  </w:footnote>
  <w:footnote w:type="continuationSeparator" w:id="0">
    <w:p w14:paraId="5E754B71" w14:textId="77777777" w:rsidR="000D2814" w:rsidRDefault="000D2814"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5EDD" w14:textId="77777777" w:rsidR="00E621CF" w:rsidRPr="00ED13BC" w:rsidRDefault="00774B9D" w:rsidP="00ED13BC">
    <w:pPr>
      <w:pStyle w:val="Title"/>
      <w:rPr>
        <w:sz w:val="28"/>
      </w:rPr>
    </w:pPr>
    <w:r w:rsidRPr="00ED13BC">
      <w:rPr>
        <w:sz w:val="28"/>
      </w:rPr>
      <w:t>WATER STORAGE TANK CONSTRUCTION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C6D2EC60"/>
    <w:lvl w:ilvl="0">
      <w:start w:val="1"/>
      <w:numFmt w:val="decimal"/>
      <w:suff w:val="nothing"/>
      <w:lvlText w:val="%1."/>
      <w:lvlJc w:val="left"/>
      <w:rPr>
        <w:sz w:val="20"/>
      </w:rPr>
    </w:lvl>
  </w:abstractNum>
  <w:abstractNum w:abstractNumId="11" w15:restartNumberingAfterBreak="0">
    <w:nsid w:val="06F16CE1"/>
    <w:multiLevelType w:val="hybridMultilevel"/>
    <w:tmpl w:val="13226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32129"/>
    <w:multiLevelType w:val="hybridMultilevel"/>
    <w:tmpl w:val="CE7E515E"/>
    <w:lvl w:ilvl="0" w:tplc="03B0D03C">
      <w:start w:val="1"/>
      <w:numFmt w:val="lowerRoman"/>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74B07"/>
    <w:multiLevelType w:val="hybridMultilevel"/>
    <w:tmpl w:val="29F89892"/>
    <w:lvl w:ilvl="0" w:tplc="AD0E8526">
      <w:start w:val="1"/>
      <w:numFmt w:val="lowerRoman"/>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0210D8"/>
    <w:multiLevelType w:val="hybridMultilevel"/>
    <w:tmpl w:val="A638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5733C"/>
    <w:multiLevelType w:val="hybridMultilevel"/>
    <w:tmpl w:val="3890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1060A9"/>
    <w:multiLevelType w:val="hybridMultilevel"/>
    <w:tmpl w:val="F05A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577D68"/>
    <w:multiLevelType w:val="hybridMultilevel"/>
    <w:tmpl w:val="B734C044"/>
    <w:lvl w:ilvl="0" w:tplc="4536A5F8">
      <w:start w:val="1"/>
      <w:numFmt w:val="lowerRoman"/>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9"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76730874">
    <w:abstractNumId w:val="9"/>
  </w:num>
  <w:num w:numId="2" w16cid:durableId="389153568">
    <w:abstractNumId w:val="8"/>
  </w:num>
  <w:num w:numId="3" w16cid:durableId="216017336">
    <w:abstractNumId w:val="7"/>
  </w:num>
  <w:num w:numId="4" w16cid:durableId="1905136789">
    <w:abstractNumId w:val="6"/>
  </w:num>
  <w:num w:numId="5" w16cid:durableId="140271865">
    <w:abstractNumId w:val="5"/>
  </w:num>
  <w:num w:numId="6" w16cid:durableId="1793983309">
    <w:abstractNumId w:val="4"/>
  </w:num>
  <w:num w:numId="7" w16cid:durableId="1139541513">
    <w:abstractNumId w:val="3"/>
  </w:num>
  <w:num w:numId="8" w16cid:durableId="565263094">
    <w:abstractNumId w:val="2"/>
  </w:num>
  <w:num w:numId="9" w16cid:durableId="449007308">
    <w:abstractNumId w:val="1"/>
  </w:num>
  <w:num w:numId="10" w16cid:durableId="1027757939">
    <w:abstractNumId w:val="0"/>
  </w:num>
  <w:num w:numId="11" w16cid:durableId="1175652495">
    <w:abstractNumId w:val="21"/>
  </w:num>
  <w:num w:numId="12" w16cid:durableId="1555967359">
    <w:abstractNumId w:val="20"/>
  </w:num>
  <w:num w:numId="13" w16cid:durableId="2140342690">
    <w:abstractNumId w:val="19"/>
  </w:num>
  <w:num w:numId="14" w16cid:durableId="1451902207">
    <w:abstractNumId w:val="9"/>
  </w:num>
  <w:num w:numId="15" w16cid:durableId="785151395">
    <w:abstractNumId w:val="8"/>
    <w:lvlOverride w:ilvl="0">
      <w:startOverride w:val="1"/>
    </w:lvlOverride>
  </w:num>
  <w:num w:numId="16" w16cid:durableId="550726347">
    <w:abstractNumId w:val="14"/>
  </w:num>
  <w:num w:numId="17" w16cid:durableId="1442412451">
    <w:abstractNumId w:val="10"/>
  </w:num>
  <w:num w:numId="18" w16cid:durableId="20937568">
    <w:abstractNumId w:val="18"/>
  </w:num>
  <w:num w:numId="19" w16cid:durableId="676688259">
    <w:abstractNumId w:val="11"/>
  </w:num>
  <w:num w:numId="20" w16cid:durableId="1362435527">
    <w:abstractNumId w:val="15"/>
  </w:num>
  <w:num w:numId="21" w16cid:durableId="994453639">
    <w:abstractNumId w:val="16"/>
  </w:num>
  <w:num w:numId="22" w16cid:durableId="660162333">
    <w:abstractNumId w:val="17"/>
  </w:num>
  <w:num w:numId="23" w16cid:durableId="1680618008">
    <w:abstractNumId w:val="12"/>
  </w:num>
  <w:num w:numId="24" w16cid:durableId="174340515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0NzI1NjIyNzY2NDZV0lEKTi0uzszPAykwrgUAPVytuCwAAAA="/>
  </w:docVars>
  <w:rsids>
    <w:rsidRoot w:val="004B36C7"/>
    <w:rsid w:val="00022B14"/>
    <w:rsid w:val="00051B7F"/>
    <w:rsid w:val="000A0EC5"/>
    <w:rsid w:val="000D2814"/>
    <w:rsid w:val="000E00B0"/>
    <w:rsid w:val="001135B1"/>
    <w:rsid w:val="00116413"/>
    <w:rsid w:val="0012325A"/>
    <w:rsid w:val="00164CE2"/>
    <w:rsid w:val="00174280"/>
    <w:rsid w:val="0017492A"/>
    <w:rsid w:val="00174F92"/>
    <w:rsid w:val="001918A9"/>
    <w:rsid w:val="001E0185"/>
    <w:rsid w:val="001E3A69"/>
    <w:rsid w:val="00203919"/>
    <w:rsid w:val="0024066A"/>
    <w:rsid w:val="00244152"/>
    <w:rsid w:val="00246B61"/>
    <w:rsid w:val="00261265"/>
    <w:rsid w:val="00266FEF"/>
    <w:rsid w:val="00267310"/>
    <w:rsid w:val="002677C4"/>
    <w:rsid w:val="00285450"/>
    <w:rsid w:val="00297D38"/>
    <w:rsid w:val="002B21BF"/>
    <w:rsid w:val="002C68F3"/>
    <w:rsid w:val="00315557"/>
    <w:rsid w:val="003475D0"/>
    <w:rsid w:val="00351FD0"/>
    <w:rsid w:val="003534C7"/>
    <w:rsid w:val="00380236"/>
    <w:rsid w:val="00383A6E"/>
    <w:rsid w:val="0039259A"/>
    <w:rsid w:val="00393C75"/>
    <w:rsid w:val="003A1D7F"/>
    <w:rsid w:val="003B41DF"/>
    <w:rsid w:val="003D7D1F"/>
    <w:rsid w:val="003F5ABB"/>
    <w:rsid w:val="00417619"/>
    <w:rsid w:val="0046089F"/>
    <w:rsid w:val="00487965"/>
    <w:rsid w:val="004A726B"/>
    <w:rsid w:val="004B36C7"/>
    <w:rsid w:val="004D0D40"/>
    <w:rsid w:val="004D2CA6"/>
    <w:rsid w:val="0053697C"/>
    <w:rsid w:val="00540447"/>
    <w:rsid w:val="005464F5"/>
    <w:rsid w:val="00550A48"/>
    <w:rsid w:val="0055212A"/>
    <w:rsid w:val="005B74B6"/>
    <w:rsid w:val="005E2709"/>
    <w:rsid w:val="005F337F"/>
    <w:rsid w:val="00602FFB"/>
    <w:rsid w:val="006146E4"/>
    <w:rsid w:val="006514EA"/>
    <w:rsid w:val="0065525B"/>
    <w:rsid w:val="00666D7E"/>
    <w:rsid w:val="006709EB"/>
    <w:rsid w:val="00671530"/>
    <w:rsid w:val="006730D8"/>
    <w:rsid w:val="006955C6"/>
    <w:rsid w:val="006B7D8B"/>
    <w:rsid w:val="00714D0D"/>
    <w:rsid w:val="0072249E"/>
    <w:rsid w:val="00727F1C"/>
    <w:rsid w:val="00732647"/>
    <w:rsid w:val="00746472"/>
    <w:rsid w:val="0075745D"/>
    <w:rsid w:val="00774B9D"/>
    <w:rsid w:val="007779DC"/>
    <w:rsid w:val="007A18B2"/>
    <w:rsid w:val="007F1D92"/>
    <w:rsid w:val="0083228B"/>
    <w:rsid w:val="0085033F"/>
    <w:rsid w:val="00851CBA"/>
    <w:rsid w:val="008755F2"/>
    <w:rsid w:val="008A10A9"/>
    <w:rsid w:val="008B2EE7"/>
    <w:rsid w:val="008E33DD"/>
    <w:rsid w:val="008E6CA0"/>
    <w:rsid w:val="008F4441"/>
    <w:rsid w:val="0094541B"/>
    <w:rsid w:val="00951A1C"/>
    <w:rsid w:val="0097286B"/>
    <w:rsid w:val="00996B99"/>
    <w:rsid w:val="009A7482"/>
    <w:rsid w:val="00A03680"/>
    <w:rsid w:val="00A140FC"/>
    <w:rsid w:val="00A2193F"/>
    <w:rsid w:val="00A274A2"/>
    <w:rsid w:val="00A75BA9"/>
    <w:rsid w:val="00AA3A4C"/>
    <w:rsid w:val="00AB074C"/>
    <w:rsid w:val="00AC16EF"/>
    <w:rsid w:val="00B01290"/>
    <w:rsid w:val="00B3681B"/>
    <w:rsid w:val="00B4403F"/>
    <w:rsid w:val="00B868F1"/>
    <w:rsid w:val="00B9230C"/>
    <w:rsid w:val="00BE39E1"/>
    <w:rsid w:val="00BF000E"/>
    <w:rsid w:val="00C443AD"/>
    <w:rsid w:val="00C95864"/>
    <w:rsid w:val="00CC59A8"/>
    <w:rsid w:val="00CC6108"/>
    <w:rsid w:val="00CF4CB6"/>
    <w:rsid w:val="00D44331"/>
    <w:rsid w:val="00D50CA1"/>
    <w:rsid w:val="00D53F25"/>
    <w:rsid w:val="00D642CF"/>
    <w:rsid w:val="00D9218C"/>
    <w:rsid w:val="00DB72FD"/>
    <w:rsid w:val="00DB788B"/>
    <w:rsid w:val="00DC278A"/>
    <w:rsid w:val="00DE0199"/>
    <w:rsid w:val="00DE7C8C"/>
    <w:rsid w:val="00DF7792"/>
    <w:rsid w:val="00E14844"/>
    <w:rsid w:val="00E52C9A"/>
    <w:rsid w:val="00E70309"/>
    <w:rsid w:val="00E93DEF"/>
    <w:rsid w:val="00EA1F7C"/>
    <w:rsid w:val="00EA737C"/>
    <w:rsid w:val="00EB1DE7"/>
    <w:rsid w:val="00ED13BC"/>
    <w:rsid w:val="00ED2D18"/>
    <w:rsid w:val="00EF6A56"/>
    <w:rsid w:val="00F14AF7"/>
    <w:rsid w:val="00F56A6D"/>
    <w:rsid w:val="00F56E78"/>
    <w:rsid w:val="00F63A75"/>
    <w:rsid w:val="00F84103"/>
    <w:rsid w:val="00F84C3B"/>
    <w:rsid w:val="00FA1D63"/>
    <w:rsid w:val="00FA228B"/>
    <w:rsid w:val="00FB1DEC"/>
    <w:rsid w:val="00FF4226"/>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906F"/>
  <w15:chartTrackingRefBased/>
  <w15:docId w15:val="{E6E8D34D-58A9-443C-A831-D4CAA91C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36C7"/>
    <w:pPr>
      <w:spacing w:before="0" w:after="0"/>
    </w:pPr>
    <w:rPr>
      <w:rFonts w:ascii="Times New Roman" w:eastAsia="Times New Roman" w:hAnsi="Times New Roman"/>
      <w:szCs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uiPriority w:val="99"/>
    <w:rsid w:val="00CC59A8"/>
    <w:pPr>
      <w:tabs>
        <w:tab w:val="center" w:pos="4320"/>
        <w:tab w:val="right" w:pos="8640"/>
      </w:tabs>
    </w:pPr>
  </w:style>
  <w:style w:type="character" w:customStyle="1" w:styleId="HeaderChar">
    <w:name w:val="Header Char"/>
    <w:basedOn w:val="DefaultParagraphFont"/>
    <w:link w:val="Header"/>
    <w:uiPriority w:val="99"/>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 w:type="paragraph" w:customStyle="1" w:styleId="Level1">
    <w:name w:val="Level 1"/>
    <w:basedOn w:val="Normal"/>
    <w:rsid w:val="004B36C7"/>
    <w:pPr>
      <w:widowControl w:val="0"/>
    </w:pPr>
  </w:style>
  <w:style w:type="character" w:styleId="UnresolvedMention">
    <w:name w:val="Unresolved Mention"/>
    <w:basedOn w:val="DefaultParagraphFont"/>
    <w:uiPriority w:val="99"/>
    <w:semiHidden/>
    <w:unhideWhenUsed/>
    <w:rsid w:val="00A14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rules/indxpdf.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94CDF-5C7D-4D64-8203-110005B7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Water Storage Tank Construction Checklist</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Storage Tank Construction Checklist</dc:title>
  <dc:subject>Water Storage Tank Construction Checklist</dc:subject>
  <dc:creator>TCEDQ</dc:creator>
  <cp:keywords>Water Storage Tank Construction Checklist</cp:keywords>
  <dc:description/>
  <cp:lastModifiedBy>James-Eric Simon</cp:lastModifiedBy>
  <cp:revision>6</cp:revision>
  <dcterms:created xsi:type="dcterms:W3CDTF">2023-05-08T15:27:00Z</dcterms:created>
  <dcterms:modified xsi:type="dcterms:W3CDTF">2023-05-10T18:22:00Z</dcterms:modified>
</cp:coreProperties>
</file>