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D214" w14:textId="77777777" w:rsidR="0040250B" w:rsidRPr="00A53FB0" w:rsidRDefault="0040250B" w:rsidP="00A53FB0">
      <w:pPr>
        <w:pStyle w:val="Title"/>
        <w:rPr>
          <w:sz w:val="32"/>
        </w:rPr>
      </w:pPr>
      <w:bookmarkStart w:id="0" w:name="OLE_LINK1"/>
      <w:bookmarkStart w:id="1" w:name="OLE_LINK2"/>
      <w:bookmarkStart w:id="2" w:name="_Hlk264891144"/>
      <w:r w:rsidRPr="00A53FB0">
        <w:rPr>
          <w:sz w:val="32"/>
        </w:rPr>
        <w:t>Surface Water Source and Intake Construction Checklist</w:t>
      </w:r>
      <w:bookmarkEnd w:id="0"/>
      <w:bookmarkEnd w:id="1"/>
      <w:bookmarkEnd w:id="2"/>
    </w:p>
    <w:p w14:paraId="130812A0" w14:textId="77777777" w:rsidR="0040250B" w:rsidRPr="008D07DC" w:rsidRDefault="0040250B" w:rsidP="0040250B">
      <w:pPr>
        <w:tabs>
          <w:tab w:val="left" w:pos="7837"/>
          <w:tab w:val="left" w:pos="9360"/>
        </w:tabs>
        <w:rPr>
          <w:color w:val="000000" w:themeColor="text1"/>
          <w:sz w:val="28"/>
          <w:szCs w:val="28"/>
        </w:rPr>
      </w:pPr>
    </w:p>
    <w:p w14:paraId="37BF30EF" w14:textId="77777777" w:rsidR="00A53FB0" w:rsidRPr="00962331" w:rsidRDefault="00A53FB0" w:rsidP="00A53FB0">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962331">
        <w:rPr>
          <w:rStyle w:val="BodyTextChar"/>
          <w:rFonts w:ascii="Times New Roman" w:hAnsi="Times New Roman" w:cs="Times New Roman"/>
        </w:rPr>
        <w:t>_________________</w:t>
      </w:r>
    </w:p>
    <w:p w14:paraId="3CC50C21" w14:textId="77777777" w:rsidR="00A53FB0" w:rsidRPr="00962331" w:rsidRDefault="00A53FB0" w:rsidP="00A53FB0">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962331">
        <w:rPr>
          <w:rStyle w:val="BodyTextChar"/>
          <w:rFonts w:ascii="Times New Roman" w:hAnsi="Times New Roman" w:cs="Times New Roman"/>
        </w:rPr>
        <w:t>_____________________________</w:t>
      </w:r>
    </w:p>
    <w:p w14:paraId="6E6F1684" w14:textId="77777777" w:rsidR="00A53FB0" w:rsidRPr="00B27855" w:rsidRDefault="00A53FB0" w:rsidP="00A53FB0">
      <w:pPr>
        <w:pStyle w:val="BodyText"/>
        <w:spacing w:after="0"/>
      </w:pPr>
      <w:r w:rsidRPr="00B27855">
        <w:t>Plan Review Team MC-159</w:t>
      </w:r>
    </w:p>
    <w:p w14:paraId="36BFBF90" w14:textId="77777777" w:rsidR="00A53FB0" w:rsidRDefault="00A53FB0" w:rsidP="00A53FB0">
      <w:pPr>
        <w:pStyle w:val="BodyText"/>
        <w:spacing w:after="0"/>
      </w:pPr>
      <w:r w:rsidRPr="00B27855">
        <w:t>P.O. Box 13</w:t>
      </w:r>
      <w:r>
        <w:t xml:space="preserve"> </w:t>
      </w:r>
      <w:r w:rsidRPr="00B27855">
        <w:t>087, Austin, Texas 78711-3087</w:t>
      </w:r>
    </w:p>
    <w:p w14:paraId="7524C9A8" w14:textId="77777777" w:rsidR="0040250B" w:rsidRPr="00A53FB0" w:rsidRDefault="0040250B" w:rsidP="00A53FB0">
      <w:pPr>
        <w:pStyle w:val="BodyText"/>
        <w:spacing w:before="240"/>
      </w:pPr>
      <w:r w:rsidRPr="00A53FB0">
        <w:t>The following list is a brief outline of the "Rules for Public Water Systems," 30 TAC Chapter 290 regarding proposed surface water source and intake construction.  Engineering report, sealed plans,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1F5923C6" w14:textId="77777777" w:rsidR="0040250B" w:rsidRPr="00E23FFE" w:rsidRDefault="0040250B" w:rsidP="0040250B">
      <w:pPr>
        <w:widowControl w:val="0"/>
        <w:rPr>
          <w:color w:val="000000" w:themeColor="text1"/>
          <w:sz w:val="22"/>
          <w:szCs w:val="24"/>
        </w:rPr>
      </w:pPr>
    </w:p>
    <w:p w14:paraId="39BE3294"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1"/>
            <w:enabled/>
            <w:calcOnExit w:val="0"/>
            <w:statusText w:type="text" w:val="Check this box if the following applies."/>
            <w:checkBox>
              <w:sizeAuto/>
              <w:default w:val="0"/>
            </w:checkBox>
          </w:ffData>
        </w:fldChar>
      </w:r>
      <w:bookmarkStart w:id="3" w:name="check1"/>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3"/>
      <w:r w:rsidRPr="00A53FB0">
        <w:rPr>
          <w:rStyle w:val="BodyTextChar"/>
          <w:szCs w:val="20"/>
        </w:rPr>
        <w:tab/>
        <w:t>Engineering report addressing all applicable requirements in §290.41(e)(1)(A) to (G)</w:t>
      </w:r>
    </w:p>
    <w:p w14:paraId="50A734D3"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2"/>
            <w:enabled/>
            <w:calcOnExit w:val="0"/>
            <w:statusText w:type="text" w:val="Check this box if the following applies."/>
            <w:checkBox>
              <w:sizeAuto/>
              <w:default w:val="0"/>
            </w:checkBox>
          </w:ffData>
        </w:fldChar>
      </w:r>
      <w:bookmarkStart w:id="4" w:name="check2"/>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4"/>
      <w:r w:rsidRPr="00A53FB0">
        <w:rPr>
          <w:rStyle w:val="BodyTextChar"/>
          <w:szCs w:val="20"/>
        </w:rPr>
        <w:tab/>
        <w:t>Intakes shall be located and constructed in a manner which will secure raw water of the best quality available from the source. [§290.41(e)(2)]</w:t>
      </w:r>
    </w:p>
    <w:p w14:paraId="39A2736C"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3"/>
            <w:enabled/>
            <w:calcOnExit w:val="0"/>
            <w:statusText w:type="text" w:val="Check this box if the following applies."/>
            <w:checkBox>
              <w:sizeAuto/>
              <w:default w:val="0"/>
            </w:checkBox>
          </w:ffData>
        </w:fldChar>
      </w:r>
      <w:bookmarkStart w:id="5" w:name="check3"/>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5"/>
      <w:r w:rsidRPr="00A53FB0">
        <w:rPr>
          <w:rStyle w:val="BodyTextChar"/>
          <w:szCs w:val="20"/>
        </w:rPr>
        <w:tab/>
        <w:t>Intakes shall not be located in areas subject to excessive siltation or in areas subject to receiving immediate runoff from wooded sloughs or swamps. [§290.41(e)(2)(A)]</w:t>
      </w:r>
    </w:p>
    <w:p w14:paraId="2832B7E0"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4"/>
            <w:enabled/>
            <w:calcOnExit w:val="0"/>
            <w:statusText w:type="text" w:val="Check this box if the following applies."/>
            <w:checkBox>
              <w:sizeAuto/>
              <w:default w:val="0"/>
            </w:checkBox>
          </w:ffData>
        </w:fldChar>
      </w:r>
      <w:bookmarkStart w:id="6" w:name="check4"/>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6"/>
      <w:r w:rsidRPr="00A53FB0">
        <w:rPr>
          <w:rStyle w:val="BodyTextChar"/>
          <w:szCs w:val="20"/>
        </w:rPr>
        <w:tab/>
        <w:t>Raw water intakes shall not be located within 1,000 feet of boat launching ramps, marinas, docks, or floating fishing piers which are accessible by the public. [§290.41(e)(2)(B)]</w:t>
      </w:r>
    </w:p>
    <w:p w14:paraId="3CC4C459"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5"/>
            <w:enabled/>
            <w:calcOnExit w:val="0"/>
            <w:statusText w:type="text" w:val="Check this box if the following applies."/>
            <w:checkBox>
              <w:sizeAuto/>
              <w:default w:val="0"/>
            </w:checkBox>
          </w:ffData>
        </w:fldChar>
      </w:r>
      <w:bookmarkStart w:id="7" w:name="check5"/>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7"/>
      <w:r w:rsidRPr="00A53FB0">
        <w:rPr>
          <w:rStyle w:val="BodyTextChar"/>
          <w:szCs w:val="20"/>
        </w:rPr>
        <w:tab/>
        <w:t>A restricted zone of 200 feet radius from the raw water intake works shall be established and all recreational activities and trespassing shall be prohibited in this area. [§290.41(e)(2)(C)]</w:t>
      </w:r>
    </w:p>
    <w:p w14:paraId="63AD581B"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6"/>
            <w:enabled/>
            <w:calcOnExit w:val="0"/>
            <w:statusText w:type="text" w:val="Check this box if the following applies."/>
            <w:checkBox>
              <w:sizeAuto/>
              <w:default w:val="0"/>
            </w:checkBox>
          </w:ffData>
        </w:fldChar>
      </w:r>
      <w:bookmarkStart w:id="8" w:name="check6"/>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8"/>
      <w:r w:rsidRPr="00A53FB0">
        <w:rPr>
          <w:rStyle w:val="BodyTextChar"/>
          <w:szCs w:val="20"/>
        </w:rPr>
        <w:tab/>
        <w:t>Commission staff shall make an on-site evaluation of any proposed raw water intake location. The evaluation must be requested prior to final design and must be supported by preliminary design drawings (please coordinate with both the central TCEQ office and the regional TCEQ office for your system before your plan submittal). Once the final intake location has been selected, the executive director shall be furnished with an original or legible copy of a United States Geological Survey 7.5-minute topographic quadrangle showing the accurate intake location. [§290.41(e)(2)(D)]</w:t>
      </w:r>
    </w:p>
    <w:p w14:paraId="0C19F27B"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7"/>
            <w:enabled/>
            <w:calcOnExit w:val="0"/>
            <w:statusText w:type="text" w:val="Check this box if the following applies."/>
            <w:checkBox>
              <w:sizeAuto/>
              <w:default w:val="0"/>
            </w:checkBox>
          </w:ffData>
        </w:fldChar>
      </w:r>
      <w:bookmarkStart w:id="9" w:name="check7"/>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9"/>
      <w:r w:rsidRPr="00A53FB0">
        <w:rPr>
          <w:rStyle w:val="BodyTextChar"/>
          <w:szCs w:val="20"/>
        </w:rPr>
        <w:tab/>
        <w:t>Intakes shall be located and constructed in a manner which will allow raw water to be taken from a variety of depths and which will permit withdrawal of water when reservoir levels are very low. Fixed level intakes are acceptable if water quality data is available to establish that the effect on raw water quality will be minimal. [§290.41(e)(2)(E)]</w:t>
      </w:r>
    </w:p>
    <w:p w14:paraId="5A781706"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8"/>
            <w:enabled/>
            <w:calcOnExit w:val="0"/>
            <w:statusText w:type="text" w:val="Check this box if the following applies."/>
            <w:checkBox>
              <w:sizeAuto/>
              <w:default w:val="0"/>
            </w:checkBox>
          </w:ffData>
        </w:fldChar>
      </w:r>
      <w:bookmarkStart w:id="10" w:name="check8"/>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10"/>
      <w:r w:rsidRPr="00A53FB0">
        <w:rPr>
          <w:rStyle w:val="BodyTextChar"/>
          <w:szCs w:val="20"/>
        </w:rPr>
        <w:tab/>
        <w:t>Water intake works shall be provided with screens or grates to minimize the amount of debris entering the plant. [§290.41(e)(2)(F)]</w:t>
      </w:r>
    </w:p>
    <w:p w14:paraId="4C181FD0"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9"/>
            <w:enabled/>
            <w:calcOnExit w:val="0"/>
            <w:statusText w:type="text" w:val="Check this box if the following applies."/>
            <w:checkBox>
              <w:sizeAuto/>
              <w:default w:val="0"/>
            </w:checkBox>
          </w:ffData>
        </w:fldChar>
      </w:r>
      <w:bookmarkStart w:id="11" w:name="check9"/>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11"/>
      <w:r w:rsidRPr="00A53FB0">
        <w:rPr>
          <w:rStyle w:val="BodyTextChar"/>
          <w:szCs w:val="20"/>
        </w:rPr>
        <w:tab/>
        <w:t>Intakes shall not be located within 500 feet of a sewage treatment plant or lands irrigated with sewage effluent. [§290.41(e)(2)(G)]</w:t>
      </w:r>
    </w:p>
    <w:p w14:paraId="54895836"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10"/>
            <w:enabled/>
            <w:calcOnExit w:val="0"/>
            <w:statusText w:type="text" w:val="Check this box if the following applies."/>
            <w:checkBox>
              <w:sizeAuto/>
              <w:default w:val="0"/>
            </w:checkBox>
          </w:ffData>
        </w:fldChar>
      </w:r>
      <w:bookmarkStart w:id="12" w:name="check10"/>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12"/>
      <w:r w:rsidRPr="00A53FB0">
        <w:rPr>
          <w:rStyle w:val="BodyTextChar"/>
          <w:szCs w:val="20"/>
        </w:rPr>
        <w:tab/>
        <w:t>The raw water pump station shall be located in a well-drained area and shall be designed to remain in operation during flood events. [§290.41(e)(3)]</w:t>
      </w:r>
    </w:p>
    <w:p w14:paraId="3409EDCE"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11"/>
            <w:enabled/>
            <w:calcOnExit w:val="0"/>
            <w:statusText w:type="text" w:val="Check this box if the following applies."/>
            <w:checkBox>
              <w:sizeAuto/>
              <w:default w:val="0"/>
            </w:checkBox>
          </w:ffData>
        </w:fldChar>
      </w:r>
      <w:bookmarkStart w:id="13" w:name="check11"/>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13"/>
      <w:r w:rsidRPr="00A53FB0">
        <w:rPr>
          <w:rStyle w:val="BodyTextChar"/>
          <w:szCs w:val="20"/>
        </w:rPr>
        <w:tab/>
        <w:t>An all-weather road shall be provided to the raw water pump station. [§290.41(e)(4)]</w:t>
      </w:r>
    </w:p>
    <w:p w14:paraId="7BF4B7AC" w14:textId="77777777" w:rsidR="0040250B" w:rsidRPr="00A53FB0" w:rsidRDefault="0040250B" w:rsidP="00A53FB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53FB0">
        <w:rPr>
          <w:rStyle w:val="BodyTextChar"/>
          <w:szCs w:val="20"/>
        </w:rPr>
        <w:tab/>
      </w:r>
      <w:r w:rsidR="00FD7E8B">
        <w:rPr>
          <w:rStyle w:val="BodyTextChar"/>
          <w:szCs w:val="20"/>
        </w:rPr>
        <w:fldChar w:fldCharType="begin">
          <w:ffData>
            <w:name w:val="check12"/>
            <w:enabled/>
            <w:calcOnExit w:val="0"/>
            <w:statusText w:type="text" w:val="Check this box if the following applies."/>
            <w:checkBox>
              <w:sizeAuto/>
              <w:default w:val="0"/>
            </w:checkBox>
          </w:ffData>
        </w:fldChar>
      </w:r>
      <w:bookmarkStart w:id="14" w:name="check12"/>
      <w:r w:rsidR="00FD7E8B">
        <w:rPr>
          <w:rStyle w:val="BodyTextChar"/>
          <w:szCs w:val="20"/>
        </w:rPr>
        <w:instrText xml:space="preserve"> FORMCHECKBOX </w:instrText>
      </w:r>
      <w:r w:rsidR="006716B5">
        <w:rPr>
          <w:rStyle w:val="BodyTextChar"/>
          <w:szCs w:val="20"/>
        </w:rPr>
      </w:r>
      <w:r w:rsidR="006716B5">
        <w:rPr>
          <w:rStyle w:val="BodyTextChar"/>
          <w:szCs w:val="20"/>
        </w:rPr>
        <w:fldChar w:fldCharType="separate"/>
      </w:r>
      <w:r w:rsidR="00FD7E8B">
        <w:rPr>
          <w:rStyle w:val="BodyTextChar"/>
          <w:szCs w:val="20"/>
        </w:rPr>
        <w:fldChar w:fldCharType="end"/>
      </w:r>
      <w:bookmarkEnd w:id="14"/>
      <w:r w:rsidRPr="00A53FB0">
        <w:rPr>
          <w:rStyle w:val="BodyTextChar"/>
          <w:szCs w:val="20"/>
        </w:rPr>
        <w:tab/>
        <w:t>The raw water pump station and all appurtenances must be installed in a lockable building that is designed to prevent intruder access or enclosed by an intruder-resistant fence with lockable gates. [§290.41(e)(5)]</w:t>
      </w:r>
    </w:p>
    <w:p w14:paraId="76373865" w14:textId="77777777" w:rsidR="004A726B" w:rsidRPr="003475D0" w:rsidRDefault="004A726B" w:rsidP="003475D0"/>
    <w:sectPr w:rsidR="004A726B" w:rsidRPr="003475D0" w:rsidSect="0040250B">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C0D4" w14:textId="77777777" w:rsidR="006716B5" w:rsidRDefault="006716B5" w:rsidP="00E52C9A">
      <w:r>
        <w:separator/>
      </w:r>
    </w:p>
  </w:endnote>
  <w:endnote w:type="continuationSeparator" w:id="0">
    <w:p w14:paraId="27755D98" w14:textId="77777777" w:rsidR="006716B5" w:rsidRDefault="006716B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7DC6" w14:textId="77777777" w:rsidR="004E71EF" w:rsidRDefault="00964CF6">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B89E" w14:textId="77777777" w:rsidR="00E621CF" w:rsidRDefault="00964CF6" w:rsidP="00E621CF">
    <w:pPr>
      <w:pStyle w:val="Footer"/>
      <w:tabs>
        <w:tab w:val="left" w:pos="900"/>
      </w:tabs>
      <w:rPr>
        <w:sz w:val="16"/>
        <w:szCs w:val="16"/>
      </w:rPr>
    </w:pPr>
    <w:r>
      <w:rPr>
        <w:sz w:val="16"/>
        <w:szCs w:val="16"/>
      </w:rPr>
      <w:t>Revised 09/10/15</w:t>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A53FB0">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A53FB0">
      <w:rPr>
        <w:b/>
        <w:bCs/>
        <w:noProof/>
        <w:sz w:val="16"/>
        <w:szCs w:val="16"/>
      </w:rPr>
      <w:t>2</w:t>
    </w:r>
    <w:r>
      <w:rPr>
        <w:b/>
        <w:bCs/>
        <w:sz w:val="16"/>
        <w:szCs w:val="16"/>
      </w:rPr>
      <w:fldChar w:fldCharType="end"/>
    </w:r>
  </w:p>
  <w:p w14:paraId="6DFC84ED" w14:textId="77777777" w:rsidR="004E71EF" w:rsidRPr="00E621CF" w:rsidRDefault="006716B5" w:rsidP="00E62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2B96" w14:textId="77777777" w:rsidR="00B24E37" w:rsidRPr="00E23FFE" w:rsidRDefault="00964CF6" w:rsidP="00E23FFE">
    <w:pPr>
      <w:pStyle w:val="Footer"/>
      <w:tabs>
        <w:tab w:val="left" w:pos="900"/>
      </w:tabs>
      <w:rPr>
        <w:color w:val="000000" w:themeColor="text1"/>
        <w:sz w:val="16"/>
        <w:szCs w:val="16"/>
      </w:rPr>
    </w:pPr>
    <w:r>
      <w:rPr>
        <w:color w:val="000000" w:themeColor="text1"/>
        <w:sz w:val="16"/>
        <w:szCs w:val="16"/>
      </w:rPr>
      <w:t xml:space="preserve">Revised </w:t>
    </w:r>
    <w:r w:rsidR="00EF36D7">
      <w:rPr>
        <w:color w:val="000000" w:themeColor="text1"/>
        <w:sz w:val="16"/>
        <w:szCs w:val="16"/>
      </w:rPr>
      <w:t>02</w:t>
    </w:r>
    <w:r w:rsidR="00AF3A20">
      <w:rPr>
        <w:color w:val="000000" w:themeColor="text1"/>
        <w:sz w:val="16"/>
        <w:szCs w:val="16"/>
      </w:rPr>
      <w:t>/2019</w:t>
    </w:r>
    <w:r w:rsidRPr="00E23FFE">
      <w:rPr>
        <w:color w:val="000000" w:themeColor="text1"/>
        <w:sz w:val="16"/>
        <w:szCs w:val="16"/>
      </w:rPr>
      <w:tab/>
    </w:r>
    <w:r w:rsidRPr="00E23FFE">
      <w:rPr>
        <w:color w:val="000000" w:themeColor="text1"/>
        <w:sz w:val="16"/>
        <w:szCs w:val="16"/>
      </w:rPr>
      <w:tab/>
      <w:t xml:space="preserve">Page </w:t>
    </w:r>
    <w:r w:rsidRPr="00E23FFE">
      <w:rPr>
        <w:bCs/>
        <w:color w:val="000000" w:themeColor="text1"/>
        <w:sz w:val="16"/>
        <w:szCs w:val="16"/>
      </w:rPr>
      <w:fldChar w:fldCharType="begin"/>
    </w:r>
    <w:r w:rsidRPr="00E23FFE">
      <w:rPr>
        <w:bCs/>
        <w:color w:val="000000" w:themeColor="text1"/>
        <w:sz w:val="16"/>
        <w:szCs w:val="16"/>
      </w:rPr>
      <w:instrText xml:space="preserve"> PAGE </w:instrText>
    </w:r>
    <w:r w:rsidRPr="00E23FFE">
      <w:rPr>
        <w:bCs/>
        <w:color w:val="000000" w:themeColor="text1"/>
        <w:sz w:val="16"/>
        <w:szCs w:val="16"/>
      </w:rPr>
      <w:fldChar w:fldCharType="separate"/>
    </w:r>
    <w:r w:rsidR="00EF36D7">
      <w:rPr>
        <w:bCs/>
        <w:noProof/>
        <w:color w:val="000000" w:themeColor="text1"/>
        <w:sz w:val="16"/>
        <w:szCs w:val="16"/>
      </w:rPr>
      <w:t>1</w:t>
    </w:r>
    <w:r w:rsidRPr="00E23FFE">
      <w:rPr>
        <w:bCs/>
        <w:color w:val="000000" w:themeColor="text1"/>
        <w:sz w:val="16"/>
        <w:szCs w:val="16"/>
      </w:rPr>
      <w:fldChar w:fldCharType="end"/>
    </w:r>
    <w:r w:rsidRPr="00E23FFE">
      <w:rPr>
        <w:color w:val="000000" w:themeColor="text1"/>
        <w:sz w:val="16"/>
        <w:szCs w:val="16"/>
      </w:rPr>
      <w:t xml:space="preserve"> of </w:t>
    </w:r>
    <w:r w:rsidRPr="00E23FFE">
      <w:rPr>
        <w:bCs/>
        <w:color w:val="000000" w:themeColor="text1"/>
        <w:sz w:val="16"/>
        <w:szCs w:val="16"/>
      </w:rPr>
      <w:fldChar w:fldCharType="begin"/>
    </w:r>
    <w:r w:rsidRPr="00E23FFE">
      <w:rPr>
        <w:bCs/>
        <w:color w:val="000000" w:themeColor="text1"/>
        <w:sz w:val="16"/>
        <w:szCs w:val="16"/>
      </w:rPr>
      <w:instrText xml:space="preserve"> NUMPAGES  </w:instrText>
    </w:r>
    <w:r w:rsidRPr="00E23FFE">
      <w:rPr>
        <w:bCs/>
        <w:color w:val="000000" w:themeColor="text1"/>
        <w:sz w:val="16"/>
        <w:szCs w:val="16"/>
      </w:rPr>
      <w:fldChar w:fldCharType="separate"/>
    </w:r>
    <w:r w:rsidR="00EF36D7">
      <w:rPr>
        <w:bCs/>
        <w:noProof/>
        <w:color w:val="000000" w:themeColor="text1"/>
        <w:sz w:val="16"/>
        <w:szCs w:val="16"/>
      </w:rPr>
      <w:t>1</w:t>
    </w:r>
    <w:r w:rsidRPr="00E23FFE">
      <w:rPr>
        <w:bCs/>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2CC0" w14:textId="77777777" w:rsidR="006716B5" w:rsidRDefault="006716B5" w:rsidP="00E52C9A">
      <w:r>
        <w:separator/>
      </w:r>
    </w:p>
  </w:footnote>
  <w:footnote w:type="continuationSeparator" w:id="0">
    <w:p w14:paraId="3804EB07" w14:textId="77777777" w:rsidR="006716B5" w:rsidRDefault="006716B5"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F533" w14:textId="77777777" w:rsidR="00E621CF" w:rsidRPr="00E621CF" w:rsidRDefault="00964CF6" w:rsidP="00E621CF">
    <w:pPr>
      <w:pStyle w:val="Header"/>
      <w:jc w:val="center"/>
      <w:rPr>
        <w:b/>
      </w:rPr>
    </w:pPr>
    <w:r>
      <w:rPr>
        <w:b/>
        <w:sz w:val="32"/>
        <w:szCs w:val="32"/>
      </w:rPr>
      <w:t>Surface Water Source Intake</w:t>
    </w:r>
    <w:r w:rsidRPr="00E621CF">
      <w:rPr>
        <w:b/>
        <w:sz w:val="32"/>
        <w:szCs w:val="32"/>
      </w:rPr>
      <w:t xml:space="preserve"> C</w:t>
    </w:r>
    <w:r>
      <w:rPr>
        <w:b/>
        <w:sz w:val="32"/>
        <w:szCs w:val="32"/>
      </w:rPr>
      <w:t>onstruction</w:t>
    </w:r>
    <w:r w:rsidRPr="00E621CF">
      <w:rPr>
        <w:b/>
        <w:sz w:val="32"/>
        <w:szCs w:val="32"/>
      </w:rPr>
      <w:t xml:space="preserve"> C</w:t>
    </w:r>
    <w:r>
      <w:rPr>
        <w:b/>
        <w:sz w:val="32"/>
        <w:szCs w:val="32"/>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suff w:val="nothing"/>
      <w:lvlText w:val="%1."/>
      <w:lvlJc w:val="left"/>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40250B"/>
    <w:rsid w:val="00051B7F"/>
    <w:rsid w:val="001135B1"/>
    <w:rsid w:val="00116413"/>
    <w:rsid w:val="001251E4"/>
    <w:rsid w:val="00164CE2"/>
    <w:rsid w:val="00174280"/>
    <w:rsid w:val="0017492A"/>
    <w:rsid w:val="001918A9"/>
    <w:rsid w:val="00203919"/>
    <w:rsid w:val="00244152"/>
    <w:rsid w:val="00246B61"/>
    <w:rsid w:val="00261265"/>
    <w:rsid w:val="00267310"/>
    <w:rsid w:val="002677C4"/>
    <w:rsid w:val="00297D38"/>
    <w:rsid w:val="002B21BF"/>
    <w:rsid w:val="002C68F3"/>
    <w:rsid w:val="00315557"/>
    <w:rsid w:val="003475D0"/>
    <w:rsid w:val="00351FD0"/>
    <w:rsid w:val="003534C7"/>
    <w:rsid w:val="0039259A"/>
    <w:rsid w:val="00393C75"/>
    <w:rsid w:val="003B41DF"/>
    <w:rsid w:val="003D7D1F"/>
    <w:rsid w:val="003F5ABB"/>
    <w:rsid w:val="0040250B"/>
    <w:rsid w:val="00417619"/>
    <w:rsid w:val="0046089F"/>
    <w:rsid w:val="00487965"/>
    <w:rsid w:val="004A726B"/>
    <w:rsid w:val="004D2CA6"/>
    <w:rsid w:val="0053697C"/>
    <w:rsid w:val="00540447"/>
    <w:rsid w:val="005464F5"/>
    <w:rsid w:val="00550A48"/>
    <w:rsid w:val="0055212A"/>
    <w:rsid w:val="00596E01"/>
    <w:rsid w:val="005B74B6"/>
    <w:rsid w:val="005E2709"/>
    <w:rsid w:val="005F337F"/>
    <w:rsid w:val="00602FFB"/>
    <w:rsid w:val="006146E4"/>
    <w:rsid w:val="006514EA"/>
    <w:rsid w:val="0065525B"/>
    <w:rsid w:val="00666D7E"/>
    <w:rsid w:val="006709EB"/>
    <w:rsid w:val="00671530"/>
    <w:rsid w:val="006716B5"/>
    <w:rsid w:val="006730D8"/>
    <w:rsid w:val="006955C6"/>
    <w:rsid w:val="006B7D8B"/>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64CF6"/>
    <w:rsid w:val="0097286B"/>
    <w:rsid w:val="00996B99"/>
    <w:rsid w:val="00A03680"/>
    <w:rsid w:val="00A2193F"/>
    <w:rsid w:val="00A53FB0"/>
    <w:rsid w:val="00A75BA9"/>
    <w:rsid w:val="00AB074C"/>
    <w:rsid w:val="00AC16EF"/>
    <w:rsid w:val="00AF3A20"/>
    <w:rsid w:val="00B3681B"/>
    <w:rsid w:val="00B4403F"/>
    <w:rsid w:val="00B868F1"/>
    <w:rsid w:val="00B9230C"/>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1DE7"/>
    <w:rsid w:val="00EF36D7"/>
    <w:rsid w:val="00EF6A56"/>
    <w:rsid w:val="00F14AF7"/>
    <w:rsid w:val="00F56A6D"/>
    <w:rsid w:val="00F56E78"/>
    <w:rsid w:val="00F63A75"/>
    <w:rsid w:val="00F84103"/>
    <w:rsid w:val="00F84C3B"/>
    <w:rsid w:val="00FA1D63"/>
    <w:rsid w:val="00FB1DEC"/>
    <w:rsid w:val="00FD7E8B"/>
    <w:rsid w:val="00FF12D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A3DB"/>
  <w15:chartTrackingRefBased/>
  <w15:docId w15:val="{E58514BE-D004-4950-9A5F-BE671EE6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0B"/>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FA3F-3049-4D68-88C7-DA8E2FEF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Water Source and Intake Construction Checklist</dc:title>
  <dc:subject>Surface Water Source and Intake Construction Checklist</dc:subject>
  <dc:creator>TCEQ</dc:creator>
  <cp:keywords>Surface Water Source and Intake Construction Checklist</cp:keywords>
  <dc:description/>
  <cp:lastModifiedBy>WSD</cp:lastModifiedBy>
  <cp:revision>6</cp:revision>
  <dcterms:created xsi:type="dcterms:W3CDTF">2019-01-23T19:44:00Z</dcterms:created>
  <dcterms:modified xsi:type="dcterms:W3CDTF">2022-02-18T17:48:00Z</dcterms:modified>
</cp:coreProperties>
</file>