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CDC4" w14:textId="77777777" w:rsidR="00FA3795" w:rsidRPr="006F44F0" w:rsidRDefault="00FA3795" w:rsidP="00FA3795">
      <w:pPr>
        <w:pStyle w:val="Title"/>
        <w:rPr>
          <w:sz w:val="24"/>
          <w:szCs w:val="22"/>
        </w:rPr>
      </w:pPr>
      <w:r w:rsidRPr="006F44F0">
        <w:rPr>
          <w:sz w:val="24"/>
          <w:szCs w:val="22"/>
        </w:rPr>
        <w:t xml:space="preserve">Checklist for an Exception to the Wholesaler PWS Emergency Power and Pressure Capacity Requirements When a Direct Pressure Interconnection is Made </w:t>
      </w:r>
      <w:r w:rsidR="006F44F0" w:rsidRPr="006F44F0">
        <w:rPr>
          <w:sz w:val="24"/>
          <w:szCs w:val="22"/>
        </w:rPr>
        <w:t>with</w:t>
      </w:r>
      <w:r w:rsidRPr="006F44F0">
        <w:rPr>
          <w:sz w:val="24"/>
          <w:szCs w:val="22"/>
        </w:rPr>
        <w:t xml:space="preserve"> a Purchaser PWS</w:t>
      </w:r>
    </w:p>
    <w:p w14:paraId="5EA4AE98" w14:textId="77777777" w:rsidR="00DF585D" w:rsidRDefault="00DF585D" w:rsidP="00E4099D">
      <w:pPr>
        <w:rPr>
          <w:rFonts w:ascii="Lucida Bright" w:hAnsi="Lucida Bright"/>
          <w:sz w:val="20"/>
        </w:rPr>
      </w:pPr>
    </w:p>
    <w:p w14:paraId="6ECAE79D" w14:textId="1670A5A9" w:rsidR="00E4099D" w:rsidRPr="00410DC9" w:rsidRDefault="00E4099D" w:rsidP="00E4099D">
      <w:pPr>
        <w:rPr>
          <w:rFonts w:ascii="Lucida Bright" w:hAnsi="Lucida Bright"/>
          <w:sz w:val="20"/>
        </w:rPr>
      </w:pPr>
      <w:r w:rsidRPr="00410DC9">
        <w:rPr>
          <w:rFonts w:ascii="Lucida Bright" w:hAnsi="Lucida Bright"/>
          <w:sz w:val="20"/>
        </w:rPr>
        <w:t xml:space="preserve">If an alternative to one or more of the emergency power or minimum service pump capacity requirements is proposed by a wholesaler or the purchaser public water system (PWS), then a request for an exception to the emergency power and pressure capacity requirements specified in Title 30 of the Texas Administrative Code (30 TAC) §290.45(e)(3) must be submitted in writing to the TCEQ’s Technical Review </w:t>
      </w:r>
      <w:r w:rsidR="00202115">
        <w:rPr>
          <w:rFonts w:ascii="Lucida Bright" w:hAnsi="Lucida Bright"/>
          <w:sz w:val="20"/>
        </w:rPr>
        <w:t>and</w:t>
      </w:r>
      <w:r w:rsidRPr="00410DC9">
        <w:rPr>
          <w:rFonts w:ascii="Lucida Bright" w:hAnsi="Lucida Bright"/>
          <w:sz w:val="20"/>
        </w:rPr>
        <w:t xml:space="preserve"> Oversight Team (MC 159). As required by 30 TAC §290.39(l), an exception request must be supported by carefully documented data. Once an exception has been approved by the Technical Review </w:t>
      </w:r>
      <w:r w:rsidR="00202115">
        <w:rPr>
          <w:rFonts w:ascii="Lucida Bright" w:hAnsi="Lucida Bright"/>
          <w:sz w:val="20"/>
        </w:rPr>
        <w:t xml:space="preserve">and </w:t>
      </w:r>
      <w:r w:rsidRPr="00410DC9">
        <w:rPr>
          <w:rFonts w:ascii="Lucida Bright" w:hAnsi="Lucida Bright"/>
          <w:sz w:val="20"/>
        </w:rPr>
        <w:t>Oversight Team</w:t>
      </w:r>
      <w:r>
        <w:rPr>
          <w:rFonts w:ascii="Lucida Bright" w:hAnsi="Lucida Bright"/>
          <w:sz w:val="20"/>
        </w:rPr>
        <w:t xml:space="preserve"> (TROT)</w:t>
      </w:r>
      <w:r w:rsidRPr="00410DC9">
        <w:rPr>
          <w:rFonts w:ascii="Lucida Bright" w:hAnsi="Lucida Bright"/>
          <w:sz w:val="20"/>
        </w:rPr>
        <w:t xml:space="preserve">, a separate submittal to the TCEQ Plan Review Team will be required for the approval of the construction of the interconnection between the two public water systems (PWS) in accordance with the requirements in 30 TAC §290.44(g) and §290.46(k). The following data must be provided to TCEQ </w:t>
      </w:r>
      <w:r>
        <w:rPr>
          <w:rFonts w:ascii="Lucida Bright" w:hAnsi="Lucida Bright"/>
          <w:sz w:val="20"/>
        </w:rPr>
        <w:t xml:space="preserve">TROT </w:t>
      </w:r>
      <w:r w:rsidRPr="00410DC9">
        <w:rPr>
          <w:rFonts w:ascii="Lucida Bright" w:hAnsi="Lucida Bright"/>
          <w:sz w:val="20"/>
        </w:rPr>
        <w:t>staff for review of this exception request:</w:t>
      </w:r>
    </w:p>
    <w:p w14:paraId="79246F89" w14:textId="77777777" w:rsidR="00E4099D" w:rsidRPr="00410DC9" w:rsidRDefault="00E4099D" w:rsidP="00E4099D">
      <w:pPr>
        <w:rPr>
          <w:rFonts w:ascii="Lucida Bright" w:hAnsi="Lucida Bright"/>
          <w:sz w:val="20"/>
        </w:rPr>
      </w:pPr>
    </w:p>
    <w:p w14:paraId="05D7E491" w14:textId="77777777" w:rsidR="00633988" w:rsidRPr="008E673F" w:rsidRDefault="00E4099D" w:rsidP="006F44F0">
      <w:pPr>
        <w:pStyle w:val="Level1"/>
        <w:numPr>
          <w:ilvl w:val="0"/>
          <w:numId w:val="18"/>
        </w:numPr>
        <w:tabs>
          <w:tab w:val="left" w:pos="-1440"/>
        </w:tabs>
        <w:spacing w:after="120"/>
        <w:rPr>
          <w:rFonts w:ascii="Lucida Bright" w:hAnsi="Lucida Bright"/>
          <w:sz w:val="20"/>
        </w:rPr>
      </w:pPr>
      <w:r w:rsidRPr="00410DC9">
        <w:rPr>
          <w:rFonts w:ascii="Lucida Bright" w:hAnsi="Lucida Bright"/>
          <w:sz w:val="20"/>
        </w:rPr>
        <w:t>A copy of a signed and dated letter from the purchasing PWS’s responsible party (General Manager, Board President, Owner) stating the following:</w:t>
      </w:r>
    </w:p>
    <w:p w14:paraId="466843A6" w14:textId="77777777" w:rsidR="00633988" w:rsidRPr="00633988" w:rsidRDefault="00E4099D" w:rsidP="006F44F0">
      <w:pPr>
        <w:pStyle w:val="Level1"/>
        <w:numPr>
          <w:ilvl w:val="1"/>
          <w:numId w:val="18"/>
        </w:numPr>
        <w:tabs>
          <w:tab w:val="left" w:pos="-1440"/>
        </w:tabs>
        <w:spacing w:after="60"/>
        <w:rPr>
          <w:rFonts w:ascii="Lucida Bright" w:hAnsi="Lucida Bright"/>
          <w:sz w:val="20"/>
          <w:szCs w:val="20"/>
        </w:rPr>
      </w:pPr>
      <w:r w:rsidRPr="00633988">
        <w:rPr>
          <w:rFonts w:ascii="Lucida Bright" w:hAnsi="Lucida Bright"/>
          <w:sz w:val="20"/>
          <w:szCs w:val="20"/>
        </w:rPr>
        <w:t>The purchaser PWS understands that the wholesaler PWS will not be providing the minimum pressure maintenance facilities or emergency power facilities specified in 30 TAC §290.45(e)(3) for the purpose of meeting the purchase PWS’s minimum capacity requirements.</w:t>
      </w:r>
    </w:p>
    <w:p w14:paraId="28F82141" w14:textId="77777777" w:rsidR="00E4099D" w:rsidRPr="006F44F0" w:rsidRDefault="00E4099D" w:rsidP="006F44F0">
      <w:pPr>
        <w:pStyle w:val="Level1"/>
        <w:numPr>
          <w:ilvl w:val="1"/>
          <w:numId w:val="18"/>
        </w:numPr>
        <w:tabs>
          <w:tab w:val="left" w:pos="-1440"/>
        </w:tabs>
        <w:spacing w:after="120"/>
        <w:rPr>
          <w:rFonts w:ascii="Lucida Bright" w:hAnsi="Lucida Bright"/>
          <w:sz w:val="20"/>
        </w:rPr>
      </w:pPr>
      <w:r w:rsidRPr="00633988">
        <w:rPr>
          <w:rFonts w:ascii="Lucida Bright" w:hAnsi="Lucida Bright"/>
          <w:sz w:val="20"/>
          <w:szCs w:val="20"/>
        </w:rPr>
        <w:t>The wholesaler is only responsible for satisfying their contractual obligations, such as delivering a potable water quality that meets the drinking water standards at a specified flow rate.</w:t>
      </w:r>
    </w:p>
    <w:p w14:paraId="52208E4F" w14:textId="77777777" w:rsidR="00E4099D" w:rsidRPr="006F44F0" w:rsidRDefault="00E4099D" w:rsidP="006F44F0">
      <w:pPr>
        <w:pStyle w:val="Level1"/>
        <w:numPr>
          <w:ilvl w:val="0"/>
          <w:numId w:val="18"/>
        </w:numPr>
        <w:tabs>
          <w:tab w:val="left" w:pos="-1440"/>
        </w:tabs>
        <w:spacing w:after="120"/>
        <w:rPr>
          <w:rFonts w:ascii="Lucida Bright" w:hAnsi="Lucida Bright"/>
          <w:sz w:val="20"/>
        </w:rPr>
      </w:pPr>
      <w:r w:rsidRPr="00410DC9">
        <w:rPr>
          <w:rFonts w:ascii="Lucida Bright" w:hAnsi="Lucida Bright"/>
          <w:sz w:val="20"/>
        </w:rPr>
        <w:t xml:space="preserve">A reduced pressure zone backflow prevention assembly (RPBA) and flow measuring device must be installed on the interconnection piping if no emergency power or service pump capacity will be obligated under the contract.  </w:t>
      </w:r>
    </w:p>
    <w:p w14:paraId="4600426B" w14:textId="77777777" w:rsidR="00E4099D" w:rsidRPr="006F44F0" w:rsidRDefault="00E4099D" w:rsidP="006F44F0">
      <w:pPr>
        <w:pStyle w:val="Level1"/>
        <w:numPr>
          <w:ilvl w:val="0"/>
          <w:numId w:val="18"/>
        </w:numPr>
        <w:tabs>
          <w:tab w:val="left" w:pos="-1440"/>
        </w:tabs>
        <w:spacing w:after="120"/>
        <w:rPr>
          <w:rFonts w:ascii="Lucida Bright" w:hAnsi="Lucida Bright"/>
          <w:sz w:val="20"/>
        </w:rPr>
      </w:pPr>
      <w:r w:rsidRPr="00410DC9">
        <w:rPr>
          <w:rFonts w:ascii="Lucida Bright" w:hAnsi="Lucida Bright"/>
          <w:sz w:val="20"/>
        </w:rPr>
        <w:t xml:space="preserve">Ownership and maintenance responsibility of the RPBA must be stated in the request if an RPBA is required. </w:t>
      </w:r>
    </w:p>
    <w:p w14:paraId="1300D4EC" w14:textId="77777777" w:rsidR="00E4099D" w:rsidRPr="006F44F0" w:rsidRDefault="00E4099D" w:rsidP="006F44F0">
      <w:pPr>
        <w:pStyle w:val="Level1"/>
        <w:numPr>
          <w:ilvl w:val="0"/>
          <w:numId w:val="18"/>
        </w:numPr>
        <w:tabs>
          <w:tab w:val="left" w:pos="-1440"/>
        </w:tabs>
        <w:spacing w:after="120"/>
        <w:rPr>
          <w:rFonts w:ascii="Lucida Bright" w:hAnsi="Lucida Bright"/>
          <w:sz w:val="20"/>
        </w:rPr>
      </w:pPr>
      <w:r w:rsidRPr="00410DC9">
        <w:rPr>
          <w:rFonts w:ascii="Lucida Bright" w:hAnsi="Lucida Bright"/>
          <w:sz w:val="20"/>
        </w:rPr>
        <w:t xml:space="preserve">Ownership and maintenance responsibility of the flow measuring device must be stated in the request. </w:t>
      </w:r>
    </w:p>
    <w:p w14:paraId="21F5113E" w14:textId="77777777" w:rsidR="00E4099D" w:rsidRPr="006F44F0" w:rsidRDefault="00E4099D" w:rsidP="006F44F0">
      <w:pPr>
        <w:pStyle w:val="Level1"/>
        <w:numPr>
          <w:ilvl w:val="0"/>
          <w:numId w:val="18"/>
        </w:numPr>
        <w:tabs>
          <w:tab w:val="left" w:pos="-1440"/>
        </w:tabs>
        <w:spacing w:after="120"/>
        <w:rPr>
          <w:rFonts w:ascii="Lucida Bright" w:hAnsi="Lucida Bright"/>
          <w:sz w:val="20"/>
        </w:rPr>
      </w:pPr>
      <w:r w:rsidRPr="00410DC9">
        <w:rPr>
          <w:rFonts w:ascii="Lucida Bright" w:hAnsi="Lucida Bright"/>
          <w:sz w:val="20"/>
        </w:rPr>
        <w:t>The wholesaler PWS’s engineer must provide a sealed, signed</w:t>
      </w:r>
      <w:r>
        <w:rPr>
          <w:rFonts w:ascii="Lucida Bright" w:hAnsi="Lucida Bright"/>
          <w:sz w:val="20"/>
        </w:rPr>
        <w:t>,</w:t>
      </w:r>
      <w:r w:rsidRPr="00410DC9">
        <w:rPr>
          <w:rFonts w:ascii="Lucida Bright" w:hAnsi="Lucida Bright"/>
          <w:sz w:val="20"/>
        </w:rPr>
        <w:t xml:space="preserve"> and dated statement that the wholesaler’s potable water transfer system can provide the maximum required flow rate specified in the contract through the RPBA (if required), flow measuring device</w:t>
      </w:r>
      <w:r>
        <w:rPr>
          <w:rFonts w:ascii="Lucida Bright" w:hAnsi="Lucida Bright"/>
          <w:sz w:val="20"/>
        </w:rPr>
        <w:t>,</w:t>
      </w:r>
      <w:r w:rsidRPr="00410DC9">
        <w:rPr>
          <w:rFonts w:ascii="Lucida Bright" w:hAnsi="Lucida Bright"/>
          <w:sz w:val="20"/>
        </w:rPr>
        <w:t xml:space="preserve"> and against the purchaser’s maximum operating head when the wholesaler PWS is operating under peak demands.</w:t>
      </w:r>
    </w:p>
    <w:p w14:paraId="51A33124" w14:textId="77777777" w:rsidR="00E4099D" w:rsidRPr="00410DC9" w:rsidRDefault="00E4099D" w:rsidP="00633988">
      <w:pPr>
        <w:pStyle w:val="Level1"/>
        <w:numPr>
          <w:ilvl w:val="0"/>
          <w:numId w:val="18"/>
        </w:numPr>
        <w:tabs>
          <w:tab w:val="left" w:pos="-1440"/>
        </w:tabs>
        <w:rPr>
          <w:rFonts w:ascii="Lucida Bright" w:hAnsi="Lucida Bright"/>
          <w:sz w:val="20"/>
        </w:rPr>
      </w:pPr>
      <w:r w:rsidRPr="00410DC9">
        <w:rPr>
          <w:rFonts w:ascii="Lucida Bright" w:hAnsi="Lucida Bright"/>
          <w:b/>
          <w:bCs/>
          <w:sz w:val="20"/>
        </w:rPr>
        <w:t>If either the wholesale PWS or the purchase PWS have historically failed to maintain a minimum</w:t>
      </w:r>
      <w:r>
        <w:rPr>
          <w:rFonts w:ascii="Lucida Bright" w:hAnsi="Lucida Bright"/>
          <w:b/>
          <w:bCs/>
          <w:sz w:val="20"/>
        </w:rPr>
        <w:t xml:space="preserve"> pressure of </w:t>
      </w:r>
      <w:r w:rsidRPr="00410DC9">
        <w:rPr>
          <w:rFonts w:ascii="Lucida Bright" w:hAnsi="Lucida Bright"/>
          <w:b/>
          <w:bCs/>
          <w:sz w:val="20"/>
        </w:rPr>
        <w:t xml:space="preserve">35 </w:t>
      </w:r>
      <w:r>
        <w:rPr>
          <w:rFonts w:ascii="Lucida Bright" w:hAnsi="Lucida Bright"/>
          <w:b/>
          <w:bCs/>
          <w:sz w:val="20"/>
        </w:rPr>
        <w:t>pounds per square inch (</w:t>
      </w:r>
      <w:r w:rsidRPr="00410DC9">
        <w:rPr>
          <w:rFonts w:ascii="Lucida Bright" w:hAnsi="Lucida Bright"/>
          <w:b/>
          <w:bCs/>
          <w:sz w:val="20"/>
        </w:rPr>
        <w:t>psi</w:t>
      </w:r>
      <w:r>
        <w:rPr>
          <w:rFonts w:ascii="Lucida Bright" w:hAnsi="Lucida Bright"/>
          <w:b/>
          <w:bCs/>
          <w:sz w:val="20"/>
        </w:rPr>
        <w:t>)</w:t>
      </w:r>
      <w:r w:rsidRPr="00410DC9">
        <w:rPr>
          <w:rFonts w:ascii="Lucida Bright" w:hAnsi="Lucida Bright"/>
          <w:b/>
          <w:bCs/>
          <w:sz w:val="20"/>
        </w:rPr>
        <w:t xml:space="preserve"> throughout distribution under normal operating conditions and 20 psi under combined fire and drinking water flow conditions, </w:t>
      </w:r>
      <w:r w:rsidRPr="00410DC9">
        <w:rPr>
          <w:rFonts w:ascii="Lucida Bright" w:hAnsi="Lucida Bright"/>
          <w:sz w:val="20"/>
        </w:rPr>
        <w:t>a copy of an engineering report for the specific PWS must be submitted stating what additional pressure maintenance facilities have been installed and verification data showing that the low-pressure problems have been eliminated.</w:t>
      </w:r>
    </w:p>
    <w:p w14:paraId="7CA12610" w14:textId="77777777" w:rsidR="00E4099D" w:rsidRPr="00410DC9" w:rsidRDefault="00E4099D" w:rsidP="00E4099D">
      <w:pPr>
        <w:rPr>
          <w:rFonts w:ascii="Lucida Bright" w:hAnsi="Lucida Bright"/>
          <w:sz w:val="20"/>
        </w:rPr>
      </w:pPr>
    </w:p>
    <w:p w14:paraId="4D3E3AE8" w14:textId="77777777" w:rsidR="004A726B" w:rsidRPr="00504D93" w:rsidRDefault="00E4099D" w:rsidP="00504D93">
      <w:pPr>
        <w:rPr>
          <w:rFonts w:ascii="Lucida Bright" w:hAnsi="Lucida Bright"/>
          <w:sz w:val="20"/>
        </w:rPr>
      </w:pPr>
      <w:r w:rsidRPr="00410DC9">
        <w:rPr>
          <w:rFonts w:ascii="Lucida Bright" w:hAnsi="Lucida Bright"/>
          <w:sz w:val="20"/>
        </w:rPr>
        <w:t xml:space="preserve">A separate request for an exception to this requirement must be made for each individual interconnection that involves discharge directly into a purchase PWS’s distribution. </w:t>
      </w:r>
      <w:r w:rsidRPr="00410DC9">
        <w:rPr>
          <w:rFonts w:ascii="Lucida Bright" w:hAnsi="Lucida Bright"/>
          <w:b/>
          <w:bCs/>
          <w:sz w:val="20"/>
        </w:rPr>
        <w:t xml:space="preserve">A blanket exception </w:t>
      </w:r>
      <w:bookmarkStart w:id="0" w:name="_GoBack"/>
      <w:bookmarkEnd w:id="0"/>
      <w:r w:rsidRPr="00410DC9">
        <w:rPr>
          <w:rFonts w:ascii="Lucida Bright" w:hAnsi="Lucida Bright"/>
          <w:b/>
          <w:bCs/>
          <w:sz w:val="20"/>
        </w:rPr>
        <w:t>approval for multiple interconnections shall not be granted.</w:t>
      </w:r>
    </w:p>
    <w:sectPr w:rsidR="004A726B" w:rsidRPr="00504D93" w:rsidSect="00E4099D">
      <w:headerReference w:type="default" r:id="rId8"/>
      <w:footerReference w:type="default" r:id="rId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5444" w14:textId="77777777" w:rsidR="00E6781C" w:rsidRDefault="00E6781C" w:rsidP="00E52C9A">
      <w:r>
        <w:separator/>
      </w:r>
    </w:p>
  </w:endnote>
  <w:endnote w:type="continuationSeparator" w:id="0">
    <w:p w14:paraId="681489C3" w14:textId="77777777" w:rsidR="00E6781C" w:rsidRDefault="00E6781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eastAsiaTheme="minorHAnsi" w:hAnsi="Lucida Bright" w:cstheme="minorBidi"/>
        <w:sz w:val="20"/>
      </w:rPr>
      <w:id w:val="-1716347206"/>
      <w:docPartObj>
        <w:docPartGallery w:val="Page Numbers (Bottom of Page)"/>
        <w:docPartUnique/>
      </w:docPartObj>
    </w:sdtPr>
    <w:sdtEndPr/>
    <w:sdtContent>
      <w:sdt>
        <w:sdtPr>
          <w:rPr>
            <w:rFonts w:ascii="Lucida Bright" w:eastAsiaTheme="minorHAnsi" w:hAnsi="Lucida Bright" w:cstheme="minorBidi"/>
            <w:sz w:val="20"/>
          </w:rPr>
          <w:id w:val="1728636285"/>
          <w:docPartObj>
            <w:docPartGallery w:val="Page Numbers (Top of Page)"/>
            <w:docPartUnique/>
          </w:docPartObj>
        </w:sdtPr>
        <w:sdtEndPr/>
        <w:sdtContent>
          <w:p w14:paraId="775B58F6" w14:textId="77777777" w:rsidR="008E673F" w:rsidRPr="008E673F" w:rsidRDefault="008E673F" w:rsidP="008E673F">
            <w:pPr>
              <w:widowControl/>
              <w:tabs>
                <w:tab w:val="left" w:pos="720"/>
                <w:tab w:val="center" w:pos="4320"/>
                <w:tab w:val="right" w:pos="8640"/>
              </w:tabs>
              <w:autoSpaceDE/>
              <w:autoSpaceDN/>
              <w:adjustRightInd/>
              <w:jc w:val="center"/>
              <w:rPr>
                <w:rFonts w:ascii="Lucida Bright" w:eastAsiaTheme="minorHAnsi" w:hAnsi="Lucida Bright" w:cstheme="minorBidi"/>
                <w:sz w:val="20"/>
              </w:rPr>
            </w:pPr>
            <w:r w:rsidRPr="008E673F">
              <w:rPr>
                <w:rFonts w:ascii="Lucida Bright" w:eastAsiaTheme="minorHAnsi" w:hAnsi="Lucida Bright" w:cstheme="minorBidi"/>
                <w:sz w:val="20"/>
              </w:rPr>
              <w:t xml:space="preserve">Page </w:t>
            </w:r>
            <w:r w:rsidRPr="008E673F">
              <w:rPr>
                <w:rFonts w:ascii="Lucida Bright" w:eastAsiaTheme="minorHAnsi" w:hAnsi="Lucida Bright" w:cstheme="minorBidi"/>
                <w:b/>
                <w:bCs/>
              </w:rPr>
              <w:fldChar w:fldCharType="begin"/>
            </w:r>
            <w:r w:rsidRPr="008E673F">
              <w:rPr>
                <w:rFonts w:ascii="Lucida Bright" w:eastAsiaTheme="minorHAnsi" w:hAnsi="Lucida Bright" w:cstheme="minorBidi"/>
                <w:b/>
                <w:bCs/>
                <w:sz w:val="20"/>
              </w:rPr>
              <w:instrText xml:space="preserve"> PAGE </w:instrText>
            </w:r>
            <w:r w:rsidRPr="008E673F">
              <w:rPr>
                <w:rFonts w:ascii="Lucida Bright" w:eastAsiaTheme="minorHAnsi" w:hAnsi="Lucida Bright" w:cstheme="minorBidi"/>
                <w:b/>
                <w:bCs/>
              </w:rPr>
              <w:fldChar w:fldCharType="separate"/>
            </w:r>
            <w:r w:rsidRPr="008E673F">
              <w:rPr>
                <w:rFonts w:ascii="Lucida Bright" w:eastAsiaTheme="minorHAnsi" w:hAnsi="Lucida Bright" w:cstheme="minorBidi"/>
                <w:b/>
                <w:bCs/>
                <w:sz w:val="20"/>
              </w:rPr>
              <w:t>1</w:t>
            </w:r>
            <w:r w:rsidRPr="008E673F">
              <w:rPr>
                <w:rFonts w:ascii="Lucida Bright" w:eastAsiaTheme="minorHAnsi" w:hAnsi="Lucida Bright" w:cstheme="minorBidi"/>
                <w:b/>
                <w:bCs/>
              </w:rPr>
              <w:fldChar w:fldCharType="end"/>
            </w:r>
            <w:r w:rsidRPr="008E673F">
              <w:rPr>
                <w:rFonts w:ascii="Lucida Bright" w:eastAsiaTheme="minorHAnsi" w:hAnsi="Lucida Bright" w:cstheme="minorBidi"/>
                <w:sz w:val="20"/>
              </w:rPr>
              <w:t xml:space="preserve"> of </w:t>
            </w:r>
            <w:r w:rsidRPr="008E673F">
              <w:rPr>
                <w:rFonts w:ascii="Lucida Bright" w:eastAsiaTheme="minorHAnsi" w:hAnsi="Lucida Bright" w:cstheme="minorBidi"/>
                <w:b/>
                <w:bCs/>
              </w:rPr>
              <w:fldChar w:fldCharType="begin"/>
            </w:r>
            <w:r w:rsidRPr="008E673F">
              <w:rPr>
                <w:rFonts w:ascii="Lucida Bright" w:eastAsiaTheme="minorHAnsi" w:hAnsi="Lucida Bright" w:cstheme="minorBidi"/>
                <w:b/>
                <w:bCs/>
                <w:sz w:val="20"/>
              </w:rPr>
              <w:instrText xml:space="preserve"> NUMPAGES  </w:instrText>
            </w:r>
            <w:r w:rsidRPr="008E673F">
              <w:rPr>
                <w:rFonts w:ascii="Lucida Bright" w:eastAsiaTheme="minorHAnsi" w:hAnsi="Lucida Bright" w:cstheme="minorBidi"/>
                <w:b/>
                <w:bCs/>
              </w:rPr>
              <w:fldChar w:fldCharType="separate"/>
            </w:r>
            <w:r w:rsidRPr="008E673F">
              <w:rPr>
                <w:rFonts w:ascii="Lucida Bright" w:eastAsiaTheme="minorHAnsi" w:hAnsi="Lucida Bright" w:cstheme="minorBidi"/>
                <w:b/>
                <w:bCs/>
                <w:sz w:val="20"/>
              </w:rPr>
              <w:t>2</w:t>
            </w:r>
            <w:r w:rsidRPr="008E673F">
              <w:rPr>
                <w:rFonts w:ascii="Lucida Bright" w:eastAsiaTheme="minorHAnsi" w:hAnsi="Lucida Bright" w:cstheme="minorBidi"/>
                <w:b/>
                <w:bCs/>
              </w:rPr>
              <w:fldChar w:fldCharType="end"/>
            </w:r>
          </w:p>
        </w:sdtContent>
      </w:sdt>
    </w:sdtContent>
  </w:sdt>
  <w:p w14:paraId="0670E010" w14:textId="4EED4751" w:rsidR="00DC60D4" w:rsidRPr="006F44F0" w:rsidRDefault="008E673F" w:rsidP="006F44F0">
    <w:pPr>
      <w:widowControl/>
      <w:tabs>
        <w:tab w:val="left" w:pos="720"/>
      </w:tabs>
      <w:autoSpaceDE/>
      <w:autoSpaceDN/>
      <w:adjustRightInd/>
      <w:spacing w:line="200" w:lineRule="exact"/>
      <w:rPr>
        <w:rFonts w:ascii="Lucida Bright" w:eastAsiaTheme="minorHAnsi" w:hAnsi="Lucida Bright" w:cstheme="minorBidi"/>
        <w:sz w:val="18"/>
        <w:szCs w:val="20"/>
      </w:rPr>
    </w:pPr>
    <w:r w:rsidRPr="006F44F0">
      <w:rPr>
        <w:rFonts w:ascii="Lucida Bright" w:eastAsiaTheme="minorHAnsi" w:hAnsi="Lucida Bright" w:cstheme="minorBidi"/>
        <w:sz w:val="18"/>
        <w:szCs w:val="20"/>
      </w:rPr>
      <w:t xml:space="preserve">Revised </w:t>
    </w:r>
    <w:r w:rsidR="00905E1B">
      <w:rPr>
        <w:rFonts w:ascii="Lucida Bright" w:eastAsiaTheme="minorHAnsi" w:hAnsi="Lucida Bright" w:cstheme="minorBidi"/>
        <w:sz w:val="18"/>
        <w:szCs w:val="20"/>
      </w:rPr>
      <w:t>07</w:t>
    </w:r>
    <w:r w:rsidRPr="006F44F0">
      <w:rPr>
        <w:rFonts w:ascii="Lucida Bright" w:eastAsiaTheme="minorHAnsi" w:hAnsi="Lucida Bright" w:cstheme="minorBidi"/>
        <w:sz w:val="18"/>
        <w:szCs w:val="20"/>
      </w:rPr>
      <w:t>/</w:t>
    </w:r>
    <w:r w:rsidR="00905E1B">
      <w:rPr>
        <w:rFonts w:ascii="Lucida Bright" w:eastAsiaTheme="minorHAnsi" w:hAnsi="Lucida Bright" w:cstheme="minorBidi"/>
        <w:sz w:val="18"/>
        <w:szCs w:val="20"/>
      </w:rPr>
      <w:t>10</w:t>
    </w:r>
    <w:r w:rsidRPr="006F44F0">
      <w:rPr>
        <w:rFonts w:ascii="Lucida Bright" w:eastAsiaTheme="minorHAnsi" w:hAnsi="Lucida Bright" w:cstheme="minorBidi"/>
        <w:sz w:val="18"/>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17A4" w14:textId="77777777" w:rsidR="00E6781C" w:rsidRDefault="00E6781C" w:rsidP="00E52C9A">
      <w:r>
        <w:separator/>
      </w:r>
    </w:p>
  </w:footnote>
  <w:footnote w:type="continuationSeparator" w:id="0">
    <w:p w14:paraId="2286D481" w14:textId="77777777" w:rsidR="00E6781C" w:rsidRDefault="00E6781C"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AE1E" w14:textId="77777777" w:rsidR="00F94BA1" w:rsidRDefault="00905E1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07F9A"/>
    <w:multiLevelType w:val="hybridMultilevel"/>
    <w:tmpl w:val="2708B4A2"/>
    <w:lvl w:ilvl="0" w:tplc="4F528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8B027C"/>
    <w:multiLevelType w:val="hybridMultilevel"/>
    <w:tmpl w:val="153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4"/>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E4099D"/>
    <w:rsid w:val="00051B7F"/>
    <w:rsid w:val="00100C53"/>
    <w:rsid w:val="001135B1"/>
    <w:rsid w:val="00116413"/>
    <w:rsid w:val="00164CE2"/>
    <w:rsid w:val="00174280"/>
    <w:rsid w:val="0017492A"/>
    <w:rsid w:val="001918A9"/>
    <w:rsid w:val="00202115"/>
    <w:rsid w:val="00203919"/>
    <w:rsid w:val="00244152"/>
    <w:rsid w:val="00246B61"/>
    <w:rsid w:val="00261265"/>
    <w:rsid w:val="00267310"/>
    <w:rsid w:val="002677C4"/>
    <w:rsid w:val="00297D38"/>
    <w:rsid w:val="002B21BF"/>
    <w:rsid w:val="002C1065"/>
    <w:rsid w:val="002C68F3"/>
    <w:rsid w:val="002E5E30"/>
    <w:rsid w:val="00315557"/>
    <w:rsid w:val="003475D0"/>
    <w:rsid w:val="00351FD0"/>
    <w:rsid w:val="003534C7"/>
    <w:rsid w:val="0039259A"/>
    <w:rsid w:val="00393C75"/>
    <w:rsid w:val="003B41DF"/>
    <w:rsid w:val="003D7D1F"/>
    <w:rsid w:val="003F5ABB"/>
    <w:rsid w:val="00417619"/>
    <w:rsid w:val="0044278C"/>
    <w:rsid w:val="00451F7E"/>
    <w:rsid w:val="0046089F"/>
    <w:rsid w:val="00487965"/>
    <w:rsid w:val="004A726B"/>
    <w:rsid w:val="004D2CA6"/>
    <w:rsid w:val="00504D93"/>
    <w:rsid w:val="0053697C"/>
    <w:rsid w:val="00540447"/>
    <w:rsid w:val="005464F5"/>
    <w:rsid w:val="00550A48"/>
    <w:rsid w:val="0055212A"/>
    <w:rsid w:val="005B74B6"/>
    <w:rsid w:val="005E2709"/>
    <w:rsid w:val="005F337F"/>
    <w:rsid w:val="00602FFB"/>
    <w:rsid w:val="006146E4"/>
    <w:rsid w:val="00633988"/>
    <w:rsid w:val="006514EA"/>
    <w:rsid w:val="0065525B"/>
    <w:rsid w:val="00666D7E"/>
    <w:rsid w:val="006709EB"/>
    <w:rsid w:val="00671530"/>
    <w:rsid w:val="006730D8"/>
    <w:rsid w:val="006955C6"/>
    <w:rsid w:val="006B7D8B"/>
    <w:rsid w:val="006F44F0"/>
    <w:rsid w:val="0072249E"/>
    <w:rsid w:val="00727F1C"/>
    <w:rsid w:val="00732647"/>
    <w:rsid w:val="00746472"/>
    <w:rsid w:val="0075745D"/>
    <w:rsid w:val="007A18B2"/>
    <w:rsid w:val="007F1D92"/>
    <w:rsid w:val="0085033F"/>
    <w:rsid w:val="008755F2"/>
    <w:rsid w:val="008E33DD"/>
    <w:rsid w:val="008E673F"/>
    <w:rsid w:val="008E6CA0"/>
    <w:rsid w:val="008F4441"/>
    <w:rsid w:val="00905E1B"/>
    <w:rsid w:val="0094541B"/>
    <w:rsid w:val="00951A1C"/>
    <w:rsid w:val="0097286B"/>
    <w:rsid w:val="00996B99"/>
    <w:rsid w:val="00A03680"/>
    <w:rsid w:val="00A12B56"/>
    <w:rsid w:val="00A2193F"/>
    <w:rsid w:val="00A75BA9"/>
    <w:rsid w:val="00AB074C"/>
    <w:rsid w:val="00AC16EF"/>
    <w:rsid w:val="00B210BF"/>
    <w:rsid w:val="00B3681B"/>
    <w:rsid w:val="00B4403F"/>
    <w:rsid w:val="00B868F1"/>
    <w:rsid w:val="00B9230C"/>
    <w:rsid w:val="00BE39E1"/>
    <w:rsid w:val="00BF000E"/>
    <w:rsid w:val="00BF5988"/>
    <w:rsid w:val="00C95864"/>
    <w:rsid w:val="00CC59A8"/>
    <w:rsid w:val="00CC6108"/>
    <w:rsid w:val="00CD33F4"/>
    <w:rsid w:val="00CF4CB6"/>
    <w:rsid w:val="00D44331"/>
    <w:rsid w:val="00D53F25"/>
    <w:rsid w:val="00D642CF"/>
    <w:rsid w:val="00D9218C"/>
    <w:rsid w:val="00DB72FD"/>
    <w:rsid w:val="00DB788B"/>
    <w:rsid w:val="00DC05CD"/>
    <w:rsid w:val="00DC278A"/>
    <w:rsid w:val="00DE7C8C"/>
    <w:rsid w:val="00DF585D"/>
    <w:rsid w:val="00E14844"/>
    <w:rsid w:val="00E4099D"/>
    <w:rsid w:val="00E52C9A"/>
    <w:rsid w:val="00E6781C"/>
    <w:rsid w:val="00E93DEF"/>
    <w:rsid w:val="00EA1F7C"/>
    <w:rsid w:val="00EB1DE7"/>
    <w:rsid w:val="00EF6A56"/>
    <w:rsid w:val="00F14AF7"/>
    <w:rsid w:val="00F56A6D"/>
    <w:rsid w:val="00F56E78"/>
    <w:rsid w:val="00F63A75"/>
    <w:rsid w:val="00F84103"/>
    <w:rsid w:val="00F84C3B"/>
    <w:rsid w:val="00FA1D63"/>
    <w:rsid w:val="00FA3795"/>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80C2"/>
  <w15:chartTrackingRefBased/>
  <w15:docId w15:val="{4B3BFFD5-84E6-4D7E-AF38-DA07F62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0C53"/>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autoRedefine/>
    <w:semiHidden/>
    <w:qFormat/>
    <w:rsid w:val="00100C53"/>
    <w:rPr>
      <w:rFonts w:ascii="Century Gothic" w:hAnsi="Century Gothic"/>
      <w:szCs w:val="20"/>
    </w:rPr>
  </w:style>
  <w:style w:type="character" w:customStyle="1" w:styleId="CommentTextChar">
    <w:name w:val="Comment Text Char"/>
    <w:basedOn w:val="DefaultParagraphFont"/>
    <w:link w:val="CommentText"/>
    <w:semiHidden/>
    <w:rsid w:val="00100C53"/>
    <w:rPr>
      <w:rFonts w:ascii="Century Gothic" w:eastAsia="Times New Roman" w:hAnsi="Century Gothic"/>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eastAsia="Times New Roman"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E4099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A4A1-7A5D-4502-979C-CBD1F542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2</cp:revision>
  <dcterms:created xsi:type="dcterms:W3CDTF">2019-07-10T20:16:00Z</dcterms:created>
  <dcterms:modified xsi:type="dcterms:W3CDTF">2019-07-10T20:16:00Z</dcterms:modified>
</cp:coreProperties>
</file>