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17" w:rsidRDefault="004C7417" w:rsidP="004C7417">
      <w:pPr>
        <w:pStyle w:val="Heading1"/>
      </w:pPr>
      <w:bookmarkStart w:id="0" w:name="_GoBack"/>
      <w:bookmarkEnd w:id="0"/>
      <w:r>
        <w:t>Contributing Zone Plan Checklist</w:t>
      </w:r>
    </w:p>
    <w:p w:rsidR="004C7417" w:rsidRPr="004C7417" w:rsidRDefault="004C7417" w:rsidP="004C7417">
      <w:pPr>
        <w:pStyle w:val="ListBullet"/>
        <w:rPr>
          <w:rStyle w:val="Strong"/>
        </w:rPr>
      </w:pPr>
      <w:r w:rsidRPr="004C7417">
        <w:rPr>
          <w:rStyle w:val="Strong"/>
        </w:rPr>
        <w:t>Edwards Aquifer Application Cover Page (TCEQ-20705)</w:t>
      </w:r>
    </w:p>
    <w:p w:rsidR="004C7417" w:rsidRPr="004C7417" w:rsidRDefault="004C7417" w:rsidP="004C7417">
      <w:pPr>
        <w:pStyle w:val="ListBullet"/>
        <w:rPr>
          <w:rStyle w:val="Strong"/>
        </w:rPr>
      </w:pPr>
      <w:r w:rsidRPr="004C7417">
        <w:rPr>
          <w:rStyle w:val="Strong"/>
        </w:rPr>
        <w:t>Contributing Zone Plan Application (TCEQ-10257)</w:t>
      </w:r>
    </w:p>
    <w:p w:rsidR="004C7417" w:rsidRDefault="004C7417" w:rsidP="004C7417">
      <w:pPr>
        <w:pStyle w:val="ListContinue"/>
      </w:pPr>
      <w:r>
        <w:t>Attachment A - Road Map</w:t>
      </w:r>
    </w:p>
    <w:p w:rsidR="004C7417" w:rsidRDefault="004C7417" w:rsidP="004C7417">
      <w:pPr>
        <w:pStyle w:val="ListContinue"/>
      </w:pPr>
      <w:r>
        <w:t>Attachment B - USGS Quadrangle Map</w:t>
      </w:r>
    </w:p>
    <w:p w:rsidR="004C7417" w:rsidRDefault="004C7417" w:rsidP="004C7417">
      <w:pPr>
        <w:pStyle w:val="ListContinue"/>
      </w:pPr>
      <w:r>
        <w:t>Attachment C - Project Narrative</w:t>
      </w:r>
    </w:p>
    <w:p w:rsidR="004C7417" w:rsidRDefault="004C7417" w:rsidP="004C7417">
      <w:pPr>
        <w:pStyle w:val="ListContinue"/>
      </w:pPr>
      <w:r>
        <w:t>Attachment D - Factors Affecting Surface Water Quality</w:t>
      </w:r>
    </w:p>
    <w:p w:rsidR="004C7417" w:rsidRDefault="004C7417" w:rsidP="004C7417">
      <w:pPr>
        <w:pStyle w:val="ListContinue"/>
      </w:pPr>
      <w:r>
        <w:t>Attachment E - Volume and Character of Stormwater</w:t>
      </w:r>
    </w:p>
    <w:p w:rsidR="004C7417" w:rsidRDefault="004C7417" w:rsidP="004C7417">
      <w:pPr>
        <w:pStyle w:val="ListContinue"/>
      </w:pPr>
      <w:r>
        <w:t>Attachment F - Suitability Letter from Authorized Agent (if OSSF is proposed)</w:t>
      </w:r>
    </w:p>
    <w:p w:rsidR="004C7417" w:rsidRDefault="004C7417" w:rsidP="004C7417">
      <w:pPr>
        <w:pStyle w:val="ListContinue"/>
      </w:pPr>
      <w:r>
        <w:t>Attachment G - Alternative Secondary Containment Methods (if AST with an alternative</w:t>
      </w:r>
    </w:p>
    <w:p w:rsidR="004C7417" w:rsidRDefault="004C7417" w:rsidP="004C7417">
      <w:pPr>
        <w:pStyle w:val="ListContinue"/>
      </w:pPr>
      <w:r>
        <w:t>method of secondary containment is proposed)</w:t>
      </w:r>
    </w:p>
    <w:p w:rsidR="004C7417" w:rsidRDefault="004C7417" w:rsidP="004C7417">
      <w:pPr>
        <w:pStyle w:val="ListContinue"/>
      </w:pPr>
      <w:r>
        <w:t>Attachment H - AST Containment Structure Drawings (if AST is proposed)</w:t>
      </w:r>
    </w:p>
    <w:p w:rsidR="004C7417" w:rsidRDefault="004C7417" w:rsidP="004C7417">
      <w:pPr>
        <w:pStyle w:val="ListContinue"/>
      </w:pPr>
      <w:r>
        <w:t>Attachment I - 20% or Less Impervious Cover Declaration (if project is multi-family residential, a school, or a small business and 20% or less impervious cover is proposed for the site)</w:t>
      </w:r>
    </w:p>
    <w:p w:rsidR="004C7417" w:rsidRDefault="004C7417" w:rsidP="004C7417">
      <w:pPr>
        <w:pStyle w:val="ListContinue"/>
      </w:pPr>
      <w:r>
        <w:t>Attachment J - BMPs for Upgradient Stormwater</w:t>
      </w:r>
    </w:p>
    <w:p w:rsidR="004C7417" w:rsidRDefault="004C7417" w:rsidP="004C7417">
      <w:pPr>
        <w:pStyle w:val="ListContinue"/>
      </w:pPr>
      <w:r>
        <w:t>Attachment K - BMPs for On-site Stormwater</w:t>
      </w:r>
    </w:p>
    <w:p w:rsidR="004C7417" w:rsidRDefault="004C7417" w:rsidP="004C7417">
      <w:pPr>
        <w:pStyle w:val="ListContinue"/>
      </w:pPr>
      <w:r>
        <w:t>Attachment L - BMPs for Surface Streams</w:t>
      </w:r>
    </w:p>
    <w:p w:rsidR="004C7417" w:rsidRDefault="004C7417" w:rsidP="004C7417">
      <w:pPr>
        <w:pStyle w:val="ListContinue"/>
      </w:pPr>
      <w:r>
        <w:t>Attachment M - Construction Plans</w:t>
      </w:r>
    </w:p>
    <w:p w:rsidR="004C7417" w:rsidRDefault="004C7417" w:rsidP="004C7417">
      <w:pPr>
        <w:pStyle w:val="ListContinue"/>
      </w:pPr>
      <w:r>
        <w:t>Attachment N - Inspection, Maintenance, Repair and Retrofit Plan</w:t>
      </w:r>
    </w:p>
    <w:p w:rsidR="004C7417" w:rsidRDefault="004C7417" w:rsidP="004C7417">
      <w:pPr>
        <w:pStyle w:val="ListContinue"/>
      </w:pPr>
      <w:r>
        <w:t>Attachment O - Pilot-Scale Field Testing Plan, if BMPs not based on Complying with the</w:t>
      </w:r>
    </w:p>
    <w:p w:rsidR="004C7417" w:rsidRDefault="004C7417" w:rsidP="004C7417">
      <w:pPr>
        <w:pStyle w:val="ListContinue"/>
      </w:pPr>
      <w:r>
        <w:t>Edwards Aquifer Rules: Technical Guidance for BMPs</w:t>
      </w:r>
    </w:p>
    <w:p w:rsidR="004C7417" w:rsidRDefault="004C7417" w:rsidP="004C7417">
      <w:pPr>
        <w:pStyle w:val="ListContinue"/>
      </w:pPr>
      <w:r>
        <w:t>Attachment P - Measures for Minimizing Surface Stream Contamination</w:t>
      </w:r>
    </w:p>
    <w:p w:rsidR="004C7417" w:rsidRDefault="004C7417" w:rsidP="004C7417">
      <w:pPr>
        <w:pStyle w:val="ListBullet"/>
        <w:rPr>
          <w:rStyle w:val="Strong"/>
        </w:rPr>
      </w:pPr>
      <w:r w:rsidRPr="004C7417">
        <w:rPr>
          <w:rStyle w:val="Strong"/>
        </w:rPr>
        <w:t>Storm Water Pollution Prevention Plan (SWPPP)</w:t>
      </w:r>
      <w:r>
        <w:rPr>
          <w:rStyle w:val="Strong"/>
        </w:rPr>
        <w:t xml:space="preserve"> </w:t>
      </w:r>
    </w:p>
    <w:p w:rsidR="004C7417" w:rsidRDefault="004C7417" w:rsidP="004C7417">
      <w:pPr>
        <w:pStyle w:val="BodyText"/>
        <w:ind w:left="1440" w:firstLine="720"/>
        <w:rPr>
          <w:rStyle w:val="Strong"/>
        </w:rPr>
      </w:pPr>
      <w:r>
        <w:rPr>
          <w:rStyle w:val="Strong"/>
        </w:rPr>
        <w:t>-OR-</w:t>
      </w:r>
    </w:p>
    <w:p w:rsidR="004C7417" w:rsidRPr="004C7417" w:rsidRDefault="004C7417" w:rsidP="004C7417">
      <w:pPr>
        <w:pStyle w:val="ListBullet"/>
        <w:rPr>
          <w:rStyle w:val="Strong"/>
        </w:rPr>
      </w:pPr>
      <w:r w:rsidRPr="004C7417">
        <w:rPr>
          <w:rStyle w:val="Strong"/>
        </w:rPr>
        <w:t>Temporary Stormwater Section (TCEQ-0602)</w:t>
      </w:r>
    </w:p>
    <w:p w:rsidR="004C7417" w:rsidRPr="004C7417" w:rsidRDefault="004C7417" w:rsidP="004C7417">
      <w:pPr>
        <w:pStyle w:val="ListContinue"/>
      </w:pPr>
      <w:r w:rsidRPr="004C7417">
        <w:t>Attachment A - Spill Response Actions</w:t>
      </w:r>
    </w:p>
    <w:p w:rsidR="004C7417" w:rsidRPr="004C7417" w:rsidRDefault="004C7417" w:rsidP="004C7417">
      <w:pPr>
        <w:pStyle w:val="ListContinue"/>
      </w:pPr>
      <w:r w:rsidRPr="004C7417">
        <w:t>Attachment B - Potential Sources of Contamination</w:t>
      </w:r>
    </w:p>
    <w:p w:rsidR="004C7417" w:rsidRPr="004C7417" w:rsidRDefault="004C7417" w:rsidP="004C7417">
      <w:pPr>
        <w:pStyle w:val="ListContinue"/>
      </w:pPr>
      <w:r w:rsidRPr="004C7417">
        <w:t>Attachment C - Sequence of Major Activities</w:t>
      </w:r>
    </w:p>
    <w:p w:rsidR="004C7417" w:rsidRPr="004C7417" w:rsidRDefault="004C7417" w:rsidP="004C7417">
      <w:pPr>
        <w:pStyle w:val="ListContinue"/>
      </w:pPr>
      <w:r w:rsidRPr="004C7417">
        <w:t>Attachment D - Temporary Best Management Practices and Measures</w:t>
      </w:r>
    </w:p>
    <w:p w:rsidR="004C7417" w:rsidRPr="004C7417" w:rsidRDefault="004C7417" w:rsidP="004C7417">
      <w:pPr>
        <w:pStyle w:val="ListContinue"/>
      </w:pPr>
      <w:r w:rsidRPr="004C7417">
        <w:t>Attachment E - Request to Temporarily Seal a Feature, if sealing a feature</w:t>
      </w:r>
    </w:p>
    <w:p w:rsidR="004C7417" w:rsidRPr="004C7417" w:rsidRDefault="004C7417" w:rsidP="004C7417">
      <w:pPr>
        <w:pStyle w:val="ListContinue"/>
      </w:pPr>
      <w:r w:rsidRPr="004C7417">
        <w:t>Attachment F - Structural Practices</w:t>
      </w:r>
    </w:p>
    <w:p w:rsidR="004C7417" w:rsidRPr="004C7417" w:rsidRDefault="004C7417" w:rsidP="004C7417">
      <w:pPr>
        <w:pStyle w:val="ListContinue"/>
      </w:pPr>
      <w:r w:rsidRPr="004C7417">
        <w:t>Attachment G - Drainage Area Map</w:t>
      </w:r>
    </w:p>
    <w:p w:rsidR="004C7417" w:rsidRPr="004C7417" w:rsidRDefault="004C7417" w:rsidP="004C7417">
      <w:pPr>
        <w:pStyle w:val="ListContinue"/>
      </w:pPr>
      <w:r w:rsidRPr="004C7417">
        <w:t>Attachment H - Temporary Sediment Pond(s) Plans and Calculations</w:t>
      </w:r>
    </w:p>
    <w:p w:rsidR="004C7417" w:rsidRPr="004C7417" w:rsidRDefault="004C7417" w:rsidP="004C7417">
      <w:pPr>
        <w:pStyle w:val="ListContinue"/>
      </w:pPr>
      <w:r w:rsidRPr="004C7417">
        <w:t>Attachment I - Inspection and Maintenance for BMPs</w:t>
      </w:r>
    </w:p>
    <w:p w:rsidR="004C7417" w:rsidRPr="004C7417" w:rsidRDefault="004C7417" w:rsidP="004C7417">
      <w:pPr>
        <w:pStyle w:val="ListContinue"/>
      </w:pPr>
      <w:r w:rsidRPr="004C7417">
        <w:t>Attachment J - Schedule of Interim and Permanent Soil Stabilization Practices</w:t>
      </w:r>
    </w:p>
    <w:p w:rsidR="004C7417" w:rsidRPr="004C7417" w:rsidRDefault="004C7417" w:rsidP="004C7417">
      <w:pPr>
        <w:pStyle w:val="ListBullet"/>
        <w:rPr>
          <w:rStyle w:val="Strong"/>
        </w:rPr>
      </w:pPr>
      <w:r w:rsidRPr="004C7417">
        <w:rPr>
          <w:rStyle w:val="Strong"/>
        </w:rPr>
        <w:t>Copy of Notice of Intent (NOI)</w:t>
      </w:r>
    </w:p>
    <w:p w:rsidR="004C7417" w:rsidRPr="004C7417" w:rsidRDefault="004C7417" w:rsidP="004C7417">
      <w:pPr>
        <w:pStyle w:val="ListBullet"/>
        <w:rPr>
          <w:rStyle w:val="Strong"/>
        </w:rPr>
      </w:pPr>
      <w:r w:rsidRPr="004C7417">
        <w:rPr>
          <w:rStyle w:val="Strong"/>
        </w:rPr>
        <w:t>Agent Authorization Form (TCEQ-0599), if application submitted by agent</w:t>
      </w:r>
    </w:p>
    <w:p w:rsidR="004C7417" w:rsidRPr="004C7417" w:rsidRDefault="004C7417" w:rsidP="004C7417">
      <w:pPr>
        <w:pStyle w:val="ListBullet"/>
        <w:rPr>
          <w:rStyle w:val="Strong"/>
        </w:rPr>
      </w:pPr>
      <w:r w:rsidRPr="004C7417">
        <w:rPr>
          <w:rStyle w:val="Strong"/>
        </w:rPr>
        <w:lastRenderedPageBreak/>
        <w:t>Application Fee Form (TCEQ-0574)</w:t>
      </w:r>
    </w:p>
    <w:p w:rsidR="004C7417" w:rsidRPr="004C7417" w:rsidRDefault="004C7417" w:rsidP="004C7417">
      <w:pPr>
        <w:pStyle w:val="ListBullet"/>
        <w:rPr>
          <w:rStyle w:val="Strong"/>
        </w:rPr>
      </w:pPr>
      <w:r w:rsidRPr="004C7417">
        <w:rPr>
          <w:rStyle w:val="Strong"/>
        </w:rPr>
        <w:t>Check Payable to the “Texas Commission on Environmental Quality”</w:t>
      </w:r>
    </w:p>
    <w:p w:rsidR="00A03680" w:rsidRPr="004C7417" w:rsidRDefault="004C7417" w:rsidP="004C7417">
      <w:pPr>
        <w:pStyle w:val="ListBullet"/>
        <w:rPr>
          <w:rStyle w:val="Strong"/>
        </w:rPr>
      </w:pPr>
      <w:r w:rsidRPr="004C7417">
        <w:rPr>
          <w:rStyle w:val="Strong"/>
        </w:rPr>
        <w:t>Core Data Form (TCEQ-10400)</w:t>
      </w:r>
    </w:p>
    <w:sectPr w:rsidR="00A03680" w:rsidRPr="004C7417" w:rsidSect="00A03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FC1110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0">
    <w:nsid w:val="383B65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EBA0A6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6985717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9"/>
  </w:num>
  <w:num w:numId="5">
    <w:abstractNumId w:val="8"/>
  </w:num>
  <w:num w:numId="6">
    <w:abstractNumId w:val="8"/>
  </w:num>
  <w:num w:numId="7">
    <w:abstractNumId w:val="9"/>
  </w:num>
  <w:num w:numId="8">
    <w:abstractNumId w:val="9"/>
  </w:num>
  <w:num w:numId="9">
    <w:abstractNumId w:val="8"/>
  </w:num>
  <w:num w:numId="10">
    <w:abstractNumId w:val="9"/>
  </w:num>
  <w:num w:numId="11">
    <w:abstractNumId w:val="8"/>
  </w:num>
  <w:num w:numId="12">
    <w:abstractNumId w:val="9"/>
  </w:num>
  <w:num w:numId="13">
    <w:abstractNumId w:val="8"/>
  </w:num>
  <w:num w:numId="14">
    <w:abstractNumId w:val="8"/>
  </w:num>
  <w:num w:numId="15">
    <w:abstractNumId w:val="9"/>
  </w:num>
  <w:num w:numId="16">
    <w:abstractNumId w:val="9"/>
  </w:num>
  <w:num w:numId="17">
    <w:abstractNumId w:val="8"/>
  </w:num>
  <w:num w:numId="18">
    <w:abstractNumId w:val="9"/>
  </w:num>
  <w:num w:numId="19">
    <w:abstractNumId w:val="8"/>
  </w:num>
  <w:num w:numId="20">
    <w:abstractNumId w:val="9"/>
  </w:num>
  <w:num w:numId="21">
    <w:abstractNumId w:val="8"/>
  </w:num>
  <w:num w:numId="22">
    <w:abstractNumId w:val="9"/>
  </w:num>
  <w:num w:numId="23">
    <w:abstractNumId w:val="8"/>
  </w:num>
  <w:num w:numId="24">
    <w:abstractNumId w:val="9"/>
  </w:num>
  <w:num w:numId="25">
    <w:abstractNumId w:val="8"/>
  </w:num>
  <w:num w:numId="26">
    <w:abstractNumId w:val="7"/>
  </w:num>
  <w:num w:numId="27">
    <w:abstractNumId w:val="7"/>
  </w:num>
  <w:num w:numId="28">
    <w:abstractNumId w:val="6"/>
  </w:num>
  <w:num w:numId="29">
    <w:abstractNumId w:val="6"/>
  </w:num>
  <w:num w:numId="30">
    <w:abstractNumId w:val="5"/>
  </w:num>
  <w:num w:numId="31">
    <w:abstractNumId w:val="5"/>
  </w:num>
  <w:num w:numId="32">
    <w:abstractNumId w:val="4"/>
  </w:num>
  <w:num w:numId="33">
    <w:abstractNumId w:val="4"/>
  </w:num>
  <w:num w:numId="34">
    <w:abstractNumId w:val="3"/>
  </w:num>
  <w:num w:numId="35">
    <w:abstractNumId w:val="3"/>
  </w:num>
  <w:num w:numId="36">
    <w:abstractNumId w:val="2"/>
  </w:num>
  <w:num w:numId="37">
    <w:abstractNumId w:val="2"/>
  </w:num>
  <w:num w:numId="38">
    <w:abstractNumId w:val="1"/>
  </w:num>
  <w:num w:numId="39">
    <w:abstractNumId w:val="1"/>
  </w:num>
  <w:num w:numId="40">
    <w:abstractNumId w:val="0"/>
  </w:num>
  <w:num w:numId="41">
    <w:abstractNumId w:val="0"/>
  </w:num>
  <w:num w:numId="42">
    <w:abstractNumId w:val="10"/>
  </w:num>
  <w:num w:numId="43">
    <w:abstractNumId w:val="15"/>
  </w:num>
  <w:num w:numId="44">
    <w:abstractNumId w:val="14"/>
  </w:num>
  <w:num w:numId="45">
    <w:abstractNumId w:val="13"/>
  </w:num>
  <w:num w:numId="46">
    <w:abstractNumId w:val="12"/>
  </w:num>
  <w:num w:numId="47">
    <w:abstractNumId w:val="11"/>
  </w:num>
  <w:num w:numId="48">
    <w:abstractNumId w:val="7"/>
  </w:num>
  <w:num w:numId="49">
    <w:abstractNumId w:val="9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edit="readOnly" w:enforcement="1" w:cryptProviderType="rsaFull" w:cryptAlgorithmClass="hash" w:cryptAlgorithmType="typeAny" w:cryptAlgorithmSid="4" w:cryptSpinCount="100000" w:hash="mGctzev1b6zkL8CflXwYesNjOdo=" w:salt="Q1DomYEYSdknBLpqwxRHtA=="/>
  <w:defaultTabStop w:val="720"/>
  <w:clickAndTypeStyle w:val="BodyText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17"/>
    <w:rsid w:val="00051B7F"/>
    <w:rsid w:val="00116413"/>
    <w:rsid w:val="00261265"/>
    <w:rsid w:val="00267310"/>
    <w:rsid w:val="002677C4"/>
    <w:rsid w:val="00297D38"/>
    <w:rsid w:val="002D4E2D"/>
    <w:rsid w:val="00351FD0"/>
    <w:rsid w:val="00386772"/>
    <w:rsid w:val="00393C75"/>
    <w:rsid w:val="003B41DF"/>
    <w:rsid w:val="003F5ABB"/>
    <w:rsid w:val="004C7417"/>
    <w:rsid w:val="004D2CA6"/>
    <w:rsid w:val="005464F5"/>
    <w:rsid w:val="0055212A"/>
    <w:rsid w:val="00594782"/>
    <w:rsid w:val="005F337F"/>
    <w:rsid w:val="0065525B"/>
    <w:rsid w:val="006730D8"/>
    <w:rsid w:val="006C6CEB"/>
    <w:rsid w:val="0072249E"/>
    <w:rsid w:val="00727F1C"/>
    <w:rsid w:val="00732647"/>
    <w:rsid w:val="00746472"/>
    <w:rsid w:val="0075745D"/>
    <w:rsid w:val="007F1D92"/>
    <w:rsid w:val="008755F2"/>
    <w:rsid w:val="008E33DD"/>
    <w:rsid w:val="00974E8C"/>
    <w:rsid w:val="00996B99"/>
    <w:rsid w:val="00A03680"/>
    <w:rsid w:val="00A2193F"/>
    <w:rsid w:val="00A75BA9"/>
    <w:rsid w:val="00AB074C"/>
    <w:rsid w:val="00B3681B"/>
    <w:rsid w:val="00B4403F"/>
    <w:rsid w:val="00BF000E"/>
    <w:rsid w:val="00C95864"/>
    <w:rsid w:val="00D44331"/>
    <w:rsid w:val="00D9218C"/>
    <w:rsid w:val="00DB788B"/>
    <w:rsid w:val="00E14844"/>
    <w:rsid w:val="00E910F6"/>
    <w:rsid w:val="00EF6A56"/>
    <w:rsid w:val="00F56A6D"/>
    <w:rsid w:val="00F56E78"/>
    <w:rsid w:val="00F84C3B"/>
    <w:rsid w:val="00FB1DE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/>
    <w:lsdException w:name="heading 7" w:uiPriority="99" w:unhideWhenUsed="0" w:qFormat="1"/>
    <w:lsdException w:name="heading 8" w:uiPriority="99" w:unhideWhenUsed="0" w:qFormat="1"/>
    <w:lsdException w:name="heading 9" w:uiPriority="99" w:unhideWhenUsed="0" w:qFormat="1"/>
    <w:lsdException w:name="caption" w:uiPriority="8" w:qFormat="1"/>
    <w:lsdException w:name="List" w:uiPriority="5" w:qFormat="1"/>
    <w:lsdException w:name="List Bullet" w:semiHidden="0" w:uiPriority="5" w:unhideWhenUsed="0" w:qFormat="1"/>
    <w:lsdException w:name="List Number" w:semiHidden="0" w:uiPriority="5" w:unhideWhenUsed="0" w:qFormat="1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5"/>
    <w:lsdException w:name="List Bullet 3" w:uiPriority="5"/>
    <w:lsdException w:name="List Bullet 4" w:uiPriority="5"/>
    <w:lsdException w:name="List Bullet 5" w:uiPriority="5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uiPriority="6" w:qFormat="1"/>
    <w:lsdException w:name="List Continue 2" w:uiPriority="6"/>
    <w:lsdException w:name="List Continue 3" w:uiPriority="6"/>
    <w:lsdException w:name="List Continue 4" w:uiPriority="6"/>
    <w:lsdException w:name="List Continue 5" w:uiPriority="6"/>
    <w:lsdException w:name="Subtitle" w:uiPriority="11" w:qFormat="1"/>
    <w:lsdException w:name="Block Text" w:qFormat="1"/>
    <w:lsdException w:name="Strong" w:semiHidden="0" w:uiPriority="2" w:unhideWhenUsed="0" w:qFormat="1"/>
    <w:lsdException w:name="Emphasis" w:semiHidden="0" w:uiPriority="2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9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" w:unhideWhenUsed="0"/>
    <w:lsdException w:name="Bibliography" w:uiPriority="8"/>
    <w:lsdException w:name="TOC Heading" w:uiPriority="39" w:qFormat="1"/>
  </w:latentStyles>
  <w:style w:type="paragraph" w:default="1" w:styleId="Normal">
    <w:name w:val="Normal"/>
    <w:uiPriority w:val="99"/>
    <w:unhideWhenUsed/>
    <w:rsid w:val="0072249E"/>
    <w:pPr>
      <w:tabs>
        <w:tab w:val="left" w:pos="720"/>
      </w:tabs>
    </w:pPr>
    <w:rPr>
      <w:rFonts w:cstheme="minorBidi"/>
    </w:rPr>
  </w:style>
  <w:style w:type="paragraph" w:styleId="Heading1">
    <w:name w:val="heading 1"/>
    <w:next w:val="BodyText"/>
    <w:link w:val="Heading1Char"/>
    <w:uiPriority w:val="9"/>
    <w:qFormat/>
    <w:rsid w:val="004C7417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B074C"/>
    <w:pPr>
      <w:spacing w:before="200"/>
      <w:outlineLvl w:val="1"/>
    </w:pPr>
    <w:rPr>
      <w:i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  <w:sz w:val="28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spacing w:before="200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417"/>
    <w:rPr>
      <w:rFonts w:ascii="Verdana" w:eastAsiaTheme="majorEastAsia" w:hAnsi="Verdan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074C"/>
    <w:rPr>
      <w:rFonts w:ascii="Tahoma" w:eastAsiaTheme="majorEastAsia" w:hAnsi="Tahoma" w:cstheme="majorBidi"/>
      <w:b/>
      <w:bCs/>
      <w:i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74C"/>
    <w:rPr>
      <w:rFonts w:ascii="Tahoma" w:eastAsiaTheme="majorEastAsia" w:hAnsi="Tahoma" w:cstheme="majorBidi"/>
      <w:b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4C7417"/>
    <w:pPr>
      <w:spacing w:before="0" w:after="120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rsid w:val="004C7417"/>
    <w:rPr>
      <w:rFonts w:asciiTheme="minorHAnsi" w:hAnsiTheme="minorHAnsi" w:cstheme="minorBidi"/>
    </w:rPr>
  </w:style>
  <w:style w:type="paragraph" w:styleId="List">
    <w:name w:val="List"/>
    <w:basedOn w:val="BodyText"/>
    <w:uiPriority w:val="5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4C7417"/>
    <w:pPr>
      <w:numPr>
        <w:numId w:val="49"/>
      </w:numPr>
    </w:pPr>
  </w:style>
  <w:style w:type="paragraph" w:styleId="ListContinue">
    <w:name w:val="List Continue"/>
    <w:basedOn w:val="BodyText"/>
    <w:uiPriority w:val="6"/>
    <w:qFormat/>
    <w:rsid w:val="004C7417"/>
    <w:pPr>
      <w:ind w:left="72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50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uiPriority w:val="2"/>
    <w:qFormat/>
    <w:rsid w:val="00AB074C"/>
    <w:rPr>
      <w:b/>
      <w:bCs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AB074C"/>
    <w:pPr>
      <w:numPr>
        <w:ilvl w:val="1"/>
      </w:numPr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B074C"/>
    <w:rPr>
      <w:rFonts w:ascii="Tahoma" w:eastAsiaTheme="majorEastAsia" w:hAnsi="Tahoma" w:cstheme="majorBidi"/>
      <w:b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 w:line="276" w:lineRule="auto"/>
      <w:outlineLvl w:val="9"/>
    </w:pPr>
    <w:rPr>
      <w:bCs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7F1D92"/>
    <w:pPr>
      <w:ind w:left="965"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autoRedefine/>
    <w:semiHidden/>
    <w:rsid w:val="00AB074C"/>
  </w:style>
  <w:style w:type="paragraph" w:styleId="TOC2">
    <w:name w:val="toc 2"/>
    <w:basedOn w:val="Normal"/>
    <w:next w:val="Normal"/>
    <w:autoRedefine/>
    <w:semiHidden/>
    <w:rsid w:val="00AB074C"/>
    <w:pPr>
      <w:ind w:left="240"/>
    </w:pPr>
  </w:style>
  <w:style w:type="paragraph" w:styleId="TOC3">
    <w:name w:val="toc 3"/>
    <w:basedOn w:val="Normal"/>
    <w:next w:val="Normal"/>
    <w:autoRedefine/>
    <w:semiHidden/>
    <w:rsid w:val="00AB074C"/>
    <w:pPr>
      <w:ind w:left="480"/>
    </w:pPr>
  </w:style>
  <w:style w:type="paragraph" w:styleId="TOC4">
    <w:name w:val="toc 4"/>
    <w:basedOn w:val="Normal"/>
    <w:next w:val="Normal"/>
    <w:autoRedefine/>
    <w:semiHidden/>
    <w:rsid w:val="00AB074C"/>
    <w:pPr>
      <w:ind w:left="720"/>
    </w:pPr>
  </w:style>
  <w:style w:type="paragraph" w:styleId="TOC5">
    <w:name w:val="toc 5"/>
    <w:basedOn w:val="Normal"/>
    <w:next w:val="Normal"/>
    <w:autoRedefine/>
    <w:semiHidden/>
    <w:rsid w:val="00AB074C"/>
    <w:pPr>
      <w:ind w:left="960"/>
    </w:pPr>
  </w:style>
  <w:style w:type="paragraph" w:styleId="TOC6">
    <w:name w:val="toc 6"/>
    <w:basedOn w:val="Normal"/>
    <w:next w:val="Normal"/>
    <w:autoRedefine/>
    <w:semiHidden/>
    <w:rsid w:val="00AB074C"/>
    <w:pPr>
      <w:ind w:left="1200"/>
    </w:pPr>
  </w:style>
  <w:style w:type="paragraph" w:styleId="TOC7">
    <w:name w:val="toc 7"/>
    <w:basedOn w:val="Normal"/>
    <w:next w:val="Normal"/>
    <w:autoRedefine/>
    <w:semiHidden/>
    <w:rsid w:val="00AB074C"/>
    <w:pPr>
      <w:ind w:left="1440"/>
    </w:pPr>
  </w:style>
  <w:style w:type="paragraph" w:styleId="TOC8">
    <w:name w:val="toc 8"/>
    <w:basedOn w:val="Normal"/>
    <w:next w:val="Normal"/>
    <w:autoRedefine/>
    <w:semiHidden/>
    <w:rsid w:val="00AB074C"/>
    <w:pPr>
      <w:ind w:left="1680"/>
    </w:pPr>
  </w:style>
  <w:style w:type="paragraph" w:styleId="TOC9">
    <w:name w:val="toc 9"/>
    <w:basedOn w:val="Normal"/>
    <w:next w:val="Normal"/>
    <w:autoRedefine/>
    <w:semiHidden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semiHidden/>
    <w:rsid w:val="00AB0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spacing w:before="120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48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29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31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35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37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39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41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asciiTheme="minorHAnsi" w:hAnsiTheme="minorHAnsi"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43"/>
      </w:numPr>
    </w:pPr>
  </w:style>
  <w:style w:type="numbering" w:styleId="111111">
    <w:name w:val="Outline List 2"/>
    <w:basedOn w:val="NoList"/>
    <w:semiHidden/>
    <w:rsid w:val="00AB074C"/>
    <w:pPr>
      <w:numPr>
        <w:numId w:val="44"/>
      </w:numPr>
    </w:pPr>
  </w:style>
  <w:style w:type="numbering" w:styleId="ArticleSection">
    <w:name w:val="Outline List 3"/>
    <w:basedOn w:val="NoList"/>
    <w:semiHidden/>
    <w:rsid w:val="00AB074C"/>
    <w:pPr>
      <w:numPr>
        <w:numId w:val="46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before="0" w:after="0" w:line="288" w:lineRule="auto"/>
    </w:pPr>
    <w:rPr>
      <w:rFonts w:ascii="Verdana" w:hAnsi="Verdana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/>
    <w:lsdException w:name="heading 7" w:uiPriority="99" w:unhideWhenUsed="0" w:qFormat="1"/>
    <w:lsdException w:name="heading 8" w:uiPriority="99" w:unhideWhenUsed="0" w:qFormat="1"/>
    <w:lsdException w:name="heading 9" w:uiPriority="99" w:unhideWhenUsed="0" w:qFormat="1"/>
    <w:lsdException w:name="caption" w:uiPriority="8" w:qFormat="1"/>
    <w:lsdException w:name="List" w:uiPriority="5" w:qFormat="1"/>
    <w:lsdException w:name="List Bullet" w:semiHidden="0" w:uiPriority="5" w:unhideWhenUsed="0" w:qFormat="1"/>
    <w:lsdException w:name="List Number" w:semiHidden="0" w:uiPriority="5" w:unhideWhenUsed="0" w:qFormat="1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5"/>
    <w:lsdException w:name="List Bullet 3" w:uiPriority="5"/>
    <w:lsdException w:name="List Bullet 4" w:uiPriority="5"/>
    <w:lsdException w:name="List Bullet 5" w:uiPriority="5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uiPriority="6" w:qFormat="1"/>
    <w:lsdException w:name="List Continue 2" w:uiPriority="6"/>
    <w:lsdException w:name="List Continue 3" w:uiPriority="6"/>
    <w:lsdException w:name="List Continue 4" w:uiPriority="6"/>
    <w:lsdException w:name="List Continue 5" w:uiPriority="6"/>
    <w:lsdException w:name="Subtitle" w:uiPriority="11" w:qFormat="1"/>
    <w:lsdException w:name="Block Text" w:qFormat="1"/>
    <w:lsdException w:name="Strong" w:semiHidden="0" w:uiPriority="2" w:unhideWhenUsed="0" w:qFormat="1"/>
    <w:lsdException w:name="Emphasis" w:semiHidden="0" w:uiPriority="2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9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" w:unhideWhenUsed="0"/>
    <w:lsdException w:name="Bibliography" w:uiPriority="8"/>
    <w:lsdException w:name="TOC Heading" w:uiPriority="39" w:qFormat="1"/>
  </w:latentStyles>
  <w:style w:type="paragraph" w:default="1" w:styleId="Normal">
    <w:name w:val="Normal"/>
    <w:uiPriority w:val="99"/>
    <w:unhideWhenUsed/>
    <w:rsid w:val="0072249E"/>
    <w:pPr>
      <w:tabs>
        <w:tab w:val="left" w:pos="720"/>
      </w:tabs>
    </w:pPr>
    <w:rPr>
      <w:rFonts w:cstheme="minorBidi"/>
    </w:rPr>
  </w:style>
  <w:style w:type="paragraph" w:styleId="Heading1">
    <w:name w:val="heading 1"/>
    <w:next w:val="BodyText"/>
    <w:link w:val="Heading1Char"/>
    <w:uiPriority w:val="9"/>
    <w:qFormat/>
    <w:rsid w:val="004C7417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B074C"/>
    <w:pPr>
      <w:spacing w:before="200"/>
      <w:outlineLvl w:val="1"/>
    </w:pPr>
    <w:rPr>
      <w:i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  <w:sz w:val="28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spacing w:before="200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417"/>
    <w:rPr>
      <w:rFonts w:ascii="Verdana" w:eastAsiaTheme="majorEastAsia" w:hAnsi="Verdan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074C"/>
    <w:rPr>
      <w:rFonts w:ascii="Tahoma" w:eastAsiaTheme="majorEastAsia" w:hAnsi="Tahoma" w:cstheme="majorBidi"/>
      <w:b/>
      <w:bCs/>
      <w:i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74C"/>
    <w:rPr>
      <w:rFonts w:ascii="Tahoma" w:eastAsiaTheme="majorEastAsia" w:hAnsi="Tahoma" w:cstheme="majorBidi"/>
      <w:b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4C7417"/>
    <w:pPr>
      <w:spacing w:before="0" w:after="120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rsid w:val="004C7417"/>
    <w:rPr>
      <w:rFonts w:asciiTheme="minorHAnsi" w:hAnsiTheme="minorHAnsi" w:cstheme="minorBidi"/>
    </w:rPr>
  </w:style>
  <w:style w:type="paragraph" w:styleId="List">
    <w:name w:val="List"/>
    <w:basedOn w:val="BodyText"/>
    <w:uiPriority w:val="5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4C7417"/>
    <w:pPr>
      <w:numPr>
        <w:numId w:val="49"/>
      </w:numPr>
    </w:pPr>
  </w:style>
  <w:style w:type="paragraph" w:styleId="ListContinue">
    <w:name w:val="List Continue"/>
    <w:basedOn w:val="BodyText"/>
    <w:uiPriority w:val="6"/>
    <w:qFormat/>
    <w:rsid w:val="004C7417"/>
    <w:pPr>
      <w:ind w:left="72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50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uiPriority w:val="2"/>
    <w:qFormat/>
    <w:rsid w:val="00AB074C"/>
    <w:rPr>
      <w:b/>
      <w:bCs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AB074C"/>
    <w:pPr>
      <w:numPr>
        <w:ilvl w:val="1"/>
      </w:numPr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B074C"/>
    <w:rPr>
      <w:rFonts w:ascii="Tahoma" w:eastAsiaTheme="majorEastAsia" w:hAnsi="Tahoma" w:cstheme="majorBidi"/>
      <w:b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 w:line="276" w:lineRule="auto"/>
      <w:outlineLvl w:val="9"/>
    </w:pPr>
    <w:rPr>
      <w:bCs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7F1D92"/>
    <w:pPr>
      <w:ind w:left="965"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autoRedefine/>
    <w:semiHidden/>
    <w:rsid w:val="00AB074C"/>
  </w:style>
  <w:style w:type="paragraph" w:styleId="TOC2">
    <w:name w:val="toc 2"/>
    <w:basedOn w:val="Normal"/>
    <w:next w:val="Normal"/>
    <w:autoRedefine/>
    <w:semiHidden/>
    <w:rsid w:val="00AB074C"/>
    <w:pPr>
      <w:ind w:left="240"/>
    </w:pPr>
  </w:style>
  <w:style w:type="paragraph" w:styleId="TOC3">
    <w:name w:val="toc 3"/>
    <w:basedOn w:val="Normal"/>
    <w:next w:val="Normal"/>
    <w:autoRedefine/>
    <w:semiHidden/>
    <w:rsid w:val="00AB074C"/>
    <w:pPr>
      <w:ind w:left="480"/>
    </w:pPr>
  </w:style>
  <w:style w:type="paragraph" w:styleId="TOC4">
    <w:name w:val="toc 4"/>
    <w:basedOn w:val="Normal"/>
    <w:next w:val="Normal"/>
    <w:autoRedefine/>
    <w:semiHidden/>
    <w:rsid w:val="00AB074C"/>
    <w:pPr>
      <w:ind w:left="720"/>
    </w:pPr>
  </w:style>
  <w:style w:type="paragraph" w:styleId="TOC5">
    <w:name w:val="toc 5"/>
    <w:basedOn w:val="Normal"/>
    <w:next w:val="Normal"/>
    <w:autoRedefine/>
    <w:semiHidden/>
    <w:rsid w:val="00AB074C"/>
    <w:pPr>
      <w:ind w:left="960"/>
    </w:pPr>
  </w:style>
  <w:style w:type="paragraph" w:styleId="TOC6">
    <w:name w:val="toc 6"/>
    <w:basedOn w:val="Normal"/>
    <w:next w:val="Normal"/>
    <w:autoRedefine/>
    <w:semiHidden/>
    <w:rsid w:val="00AB074C"/>
    <w:pPr>
      <w:ind w:left="1200"/>
    </w:pPr>
  </w:style>
  <w:style w:type="paragraph" w:styleId="TOC7">
    <w:name w:val="toc 7"/>
    <w:basedOn w:val="Normal"/>
    <w:next w:val="Normal"/>
    <w:autoRedefine/>
    <w:semiHidden/>
    <w:rsid w:val="00AB074C"/>
    <w:pPr>
      <w:ind w:left="1440"/>
    </w:pPr>
  </w:style>
  <w:style w:type="paragraph" w:styleId="TOC8">
    <w:name w:val="toc 8"/>
    <w:basedOn w:val="Normal"/>
    <w:next w:val="Normal"/>
    <w:autoRedefine/>
    <w:semiHidden/>
    <w:rsid w:val="00AB074C"/>
    <w:pPr>
      <w:ind w:left="1680"/>
    </w:pPr>
  </w:style>
  <w:style w:type="paragraph" w:styleId="TOC9">
    <w:name w:val="toc 9"/>
    <w:basedOn w:val="Normal"/>
    <w:next w:val="Normal"/>
    <w:autoRedefine/>
    <w:semiHidden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semiHidden/>
    <w:rsid w:val="00AB0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spacing w:before="120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48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29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31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35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37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39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41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asciiTheme="minorHAnsi" w:hAnsiTheme="minorHAnsi"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43"/>
      </w:numPr>
    </w:pPr>
  </w:style>
  <w:style w:type="numbering" w:styleId="111111">
    <w:name w:val="Outline List 2"/>
    <w:basedOn w:val="NoList"/>
    <w:semiHidden/>
    <w:rsid w:val="00AB074C"/>
    <w:pPr>
      <w:numPr>
        <w:numId w:val="44"/>
      </w:numPr>
    </w:pPr>
  </w:style>
  <w:style w:type="numbering" w:styleId="ArticleSection">
    <w:name w:val="Outline List 3"/>
    <w:basedOn w:val="NoList"/>
    <w:semiHidden/>
    <w:rsid w:val="00AB074C"/>
    <w:pPr>
      <w:numPr>
        <w:numId w:val="46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before="0" w:after="0" w:line="288" w:lineRule="auto"/>
    </w:pPr>
    <w:rPr>
      <w:rFonts w:ascii="Verdana" w:hAnsi="Verdana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F0DA-B65E-4107-A120-E99DFECE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311</Words>
  <Characters>1774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Contributing Zone Plan Checklist</vt:lpstr>
    </vt:vector>
  </TitlesOfParts>
  <Company>TCEQ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Contributing Zone Plan Checklist</dc:title>
  <dc:subject>Edwards Aquifer Protection Program</dc:subject>
  <dc:creator>TCEQ</dc:creator>
  <cp:lastModifiedBy>tceq</cp:lastModifiedBy>
  <cp:revision>3</cp:revision>
  <dcterms:created xsi:type="dcterms:W3CDTF">2015-02-25T16:04:00Z</dcterms:created>
  <dcterms:modified xsi:type="dcterms:W3CDTF">2015-03-24T15:42:00Z</dcterms:modified>
</cp:coreProperties>
</file>