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1D5F" w14:textId="4D83CFE2" w:rsidR="00C85A35" w:rsidRDefault="00C85A35" w:rsidP="00AE46D8">
      <w:pPr>
        <w:pStyle w:val="Title"/>
        <w:rPr>
          <w:rStyle w:val="BookTitle"/>
          <w:szCs w:val="28"/>
        </w:rPr>
      </w:pPr>
      <w:bookmarkStart w:id="0" w:name="_Hlk92179793"/>
      <w:r w:rsidRPr="00BC22EA">
        <w:t xml:space="preserve">TEXAS </w:t>
      </w:r>
      <w:r w:rsidRPr="00AE46D8">
        <w:t>COMMISSION ON ENVIRONMENTAL QUALITY</w:t>
      </w:r>
    </w:p>
    <w:p w14:paraId="54CAFE0C" w14:textId="131E1341" w:rsidR="00C85A35" w:rsidRPr="003E2FBC" w:rsidRDefault="00C85A35" w:rsidP="00AE46D8">
      <w:pPr>
        <w:pStyle w:val="BodyText"/>
        <w:rPr>
          <w:rStyle w:val="BookTitle"/>
          <w:b w:val="0"/>
          <w:bCs w:val="0"/>
          <w:smallCaps w:val="0"/>
          <w:spacing w:val="0"/>
          <w:szCs w:val="22"/>
          <w:lang w:eastAsia="ko-KR"/>
        </w:rPr>
      </w:pPr>
      <w:r w:rsidRPr="00401394">
        <w:rPr>
          <w:lang w:eastAsia="ko-KR"/>
        </w:rPr>
        <w:t>P.O. Box 13087 Austin, Texas</w:t>
      </w:r>
      <w:r>
        <w:rPr>
          <w:lang w:eastAsia="ko-KR"/>
        </w:rPr>
        <w:t xml:space="preserve"> </w:t>
      </w:r>
      <w:r w:rsidRPr="00401394">
        <w:rPr>
          <w:lang w:eastAsia="ko-KR"/>
        </w:rPr>
        <w:t>78711-3087</w:t>
      </w:r>
    </w:p>
    <w:p w14:paraId="78CED4DC" w14:textId="77777777" w:rsidR="00C85A35" w:rsidRPr="00BC22EA" w:rsidRDefault="00C85A35" w:rsidP="00C85A35">
      <w:pPr>
        <w:jc w:val="center"/>
        <w:rPr>
          <w:rFonts w:ascii="Lucida Bright" w:hAnsi="Lucida Bright"/>
        </w:rPr>
      </w:pPr>
      <w:r w:rsidRPr="00BC22EA">
        <w:rPr>
          <w:rFonts w:ascii="Lucida Bright" w:hAnsi="Lucida Bright"/>
          <w:noProof/>
        </w:rPr>
        <w:drawing>
          <wp:inline distT="0" distB="0" distL="0" distR="0" wp14:anchorId="31EAAA04" wp14:editId="128932D3">
            <wp:extent cx="862330" cy="819785"/>
            <wp:effectExtent l="0" t="0" r="0" b="0"/>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330" cy="819785"/>
                    </a:xfrm>
                    <a:prstGeom prst="rect">
                      <a:avLst/>
                    </a:prstGeom>
                    <a:noFill/>
                    <a:ln>
                      <a:noFill/>
                    </a:ln>
                  </pic:spPr>
                </pic:pic>
              </a:graphicData>
            </a:graphic>
          </wp:inline>
        </w:drawing>
      </w:r>
    </w:p>
    <w:p w14:paraId="31C9021F" w14:textId="77777777" w:rsidR="00C85A35" w:rsidRPr="009A7BE4" w:rsidRDefault="00C85A35" w:rsidP="00FE7472">
      <w:pPr>
        <w:pStyle w:val="Heading1"/>
      </w:pPr>
      <w:r w:rsidRPr="009A7BE4">
        <w:t>GENERAL PERMIT TO DISPOSE OF NONHAZARDOUS BRINE FROM A DESALINATION OPERATION OR NONHAZARDOUS DRINKING WATER TREATMENT RESIDUALS INTO A CLASS I WELL</w:t>
      </w:r>
    </w:p>
    <w:p w14:paraId="07631F08" w14:textId="77777777" w:rsidR="00C85A35" w:rsidRPr="00BC22EA" w:rsidRDefault="00C85A35" w:rsidP="000B35CC">
      <w:pPr>
        <w:pStyle w:val="BodyText"/>
      </w:pPr>
      <w:r w:rsidRPr="00BC22EA">
        <w:t xml:space="preserve">under the provisions of </w:t>
      </w:r>
      <w:r>
        <w:t>Chapter 27 of the Texas Water Code and</w:t>
      </w:r>
      <w:r w:rsidRPr="00BC22EA">
        <w:t xml:space="preserve"> </w:t>
      </w:r>
    </w:p>
    <w:p w14:paraId="00AA1920" w14:textId="77777777" w:rsidR="00C85A35" w:rsidRPr="00BC22EA" w:rsidRDefault="00C85A35" w:rsidP="000B35CC">
      <w:pPr>
        <w:pStyle w:val="BodyText"/>
      </w:pPr>
      <w:r w:rsidRPr="00BC22EA">
        <w:t xml:space="preserve">and </w:t>
      </w:r>
      <w:r>
        <w:t xml:space="preserve">30 </w:t>
      </w:r>
      <w:r w:rsidRPr="00BC22EA">
        <w:t xml:space="preserve">Texas </w:t>
      </w:r>
      <w:r>
        <w:t>Administrative</w:t>
      </w:r>
      <w:r w:rsidRPr="00BC22EA">
        <w:t xml:space="preserve"> Code Chapter </w:t>
      </w:r>
      <w:r>
        <w:t>331</w:t>
      </w:r>
    </w:p>
    <w:p w14:paraId="1892A257" w14:textId="77777777" w:rsidR="00C85A35" w:rsidRPr="00BC22EA" w:rsidRDefault="00C85A35" w:rsidP="000B35CC">
      <w:pPr>
        <w:pStyle w:val="BodyText"/>
      </w:pPr>
      <w:r w:rsidRPr="00BC22EA">
        <w:t>This permit supersedes and replaces</w:t>
      </w:r>
    </w:p>
    <w:p w14:paraId="4C6AA28C" w14:textId="2237BE1F" w:rsidR="00C85A35" w:rsidRPr="00BC22EA" w:rsidRDefault="00C85A35" w:rsidP="000B35CC">
      <w:pPr>
        <w:pStyle w:val="BodyText"/>
      </w:pPr>
      <w:r>
        <w:t xml:space="preserve">UIC </w:t>
      </w:r>
      <w:r w:rsidRPr="00BC22EA">
        <w:t xml:space="preserve">General Permit </w:t>
      </w:r>
      <w:r>
        <w:t>WDWG010000</w:t>
      </w:r>
      <w:r w:rsidRPr="00BC22EA">
        <w:t xml:space="preserve">, issued </w:t>
      </w:r>
      <w:r w:rsidR="00A42939">
        <w:t>November 1</w:t>
      </w:r>
      <w:r w:rsidR="00EE537E">
        <w:t>9</w:t>
      </w:r>
      <w:r w:rsidR="00A42939">
        <w:t>, 2012</w:t>
      </w:r>
    </w:p>
    <w:p w14:paraId="47E6E94E" w14:textId="12CCE534" w:rsidR="007D6438" w:rsidRDefault="002A633A" w:rsidP="00FE7472">
      <w:pPr>
        <w:pStyle w:val="ListParagraph"/>
      </w:pPr>
      <w:r w:rsidRPr="00274096">
        <w:t>Operators of Class I wells located i</w:t>
      </w:r>
      <w:r w:rsidR="00F747F2" w:rsidRPr="00274096">
        <w:t>n the state of Texas may inject</w:t>
      </w:r>
      <w:r w:rsidRPr="00274096">
        <w:t xml:space="preserve"> nonhazardous </w:t>
      </w:r>
      <w:r w:rsidR="003F7A2D">
        <w:t xml:space="preserve">brine from a desalination operation </w:t>
      </w:r>
      <w:r w:rsidRPr="00274096">
        <w:t>or nonhazardous drinking</w:t>
      </w:r>
      <w:r w:rsidR="00C7768F" w:rsidRPr="00274096">
        <w:t xml:space="preserve"> water treatment residuals </w:t>
      </w:r>
      <w:r w:rsidR="009406E6" w:rsidRPr="00274096">
        <w:t xml:space="preserve">according to standards, </w:t>
      </w:r>
      <w:r w:rsidRPr="00274096">
        <w:t xml:space="preserve">monitoring requirements and other conditions set forth in this general permit, as well as the rules of the Texas Commission on Environmental Quality (TCEQ), the laws of the State of Texas, and other orders of the TCEQ.  This general permit meets the </w:t>
      </w:r>
      <w:r w:rsidR="00DA2367" w:rsidRPr="00274096">
        <w:t xml:space="preserve">Safe Drinking Water Act </w:t>
      </w:r>
      <w:r w:rsidRPr="00274096">
        <w:t xml:space="preserve">and the Texas Water Code requirements for the protection of </w:t>
      </w:r>
      <w:r w:rsidR="009E6F8A" w:rsidRPr="00274096">
        <w:t>hum</w:t>
      </w:r>
      <w:r w:rsidR="003F7A2D">
        <w:t xml:space="preserve">an health and the environment.  </w:t>
      </w:r>
      <w:r w:rsidR="00C7768F" w:rsidRPr="00274096">
        <w:t>Authorization for the use of an injection well under this general permit d</w:t>
      </w:r>
      <w:r w:rsidR="00B578EB" w:rsidRPr="00274096">
        <w:t xml:space="preserve">oes not confer a vested right.  </w:t>
      </w:r>
      <w:r w:rsidR="00587549" w:rsidRPr="00274096">
        <w:t>This</w:t>
      </w:r>
      <w:r w:rsidR="00343E88" w:rsidRPr="00274096">
        <w:t xml:space="preserve"> general permit </w:t>
      </w:r>
      <w:r w:rsidR="00587549" w:rsidRPr="00274096">
        <w:t xml:space="preserve">does not </w:t>
      </w:r>
      <w:r w:rsidR="00343E88" w:rsidRPr="00274096">
        <w:t xml:space="preserve">authorize any invasion of rights </w:t>
      </w:r>
      <w:r w:rsidR="00587549" w:rsidRPr="00274096">
        <w:t>and does not authorize</w:t>
      </w:r>
      <w:r w:rsidR="00343E88" w:rsidRPr="00274096">
        <w:t xml:space="preserve"> any violation of federal, state, or local laws and regulations.</w:t>
      </w:r>
      <w:r w:rsidR="009D1293" w:rsidRPr="00274096">
        <w:t xml:space="preserve">  The issuance of this general permit does not grant to </w:t>
      </w:r>
      <w:r w:rsidR="00580ADF" w:rsidRPr="00274096">
        <w:t>the owner or operator</w:t>
      </w:r>
      <w:r w:rsidR="009D1293" w:rsidRPr="00274096">
        <w:t xml:space="preserve"> the right to use private or public property.  It is the responsibility of </w:t>
      </w:r>
      <w:r w:rsidR="00580ADF" w:rsidRPr="00274096">
        <w:t>the owner or operator</w:t>
      </w:r>
      <w:r w:rsidR="009D1293" w:rsidRPr="00274096">
        <w:t xml:space="preserve"> to acquire property rights as necessary</w:t>
      </w:r>
      <w:r w:rsidR="00EF6EE2" w:rsidRPr="00274096">
        <w:t xml:space="preserve"> to conduct the permitted activities</w:t>
      </w:r>
      <w:r w:rsidR="009D1293" w:rsidRPr="00274096">
        <w:t>.</w:t>
      </w:r>
    </w:p>
    <w:p w14:paraId="5B513724" w14:textId="77777777" w:rsidR="007D6438" w:rsidRDefault="00343E88" w:rsidP="003C387F">
      <w:pPr>
        <w:pStyle w:val="ListParagraph"/>
      </w:pPr>
      <w:r w:rsidRPr="00274096">
        <w:t>This general permit and th</w:t>
      </w:r>
      <w:r w:rsidR="00F12366" w:rsidRPr="00274096">
        <w:t xml:space="preserve">e authorization contained herein </w:t>
      </w:r>
      <w:r w:rsidR="00EC02A8" w:rsidRPr="00274096">
        <w:t>shall</w:t>
      </w:r>
      <w:r w:rsidR="00F12366" w:rsidRPr="00274096">
        <w:t xml:space="preserve"> </w:t>
      </w:r>
      <w:r w:rsidR="00411DFA" w:rsidRPr="00274096">
        <w:t>expire at midnight ten years after the date of issuance.</w:t>
      </w:r>
      <w:bookmarkStart w:id="1" w:name="_Hlk89427828"/>
    </w:p>
    <w:p w14:paraId="3774E402" w14:textId="3DAE97A4" w:rsidR="00C85A35" w:rsidRPr="007D6438" w:rsidRDefault="00C85A35" w:rsidP="003C387F">
      <w:pPr>
        <w:pStyle w:val="ListParagraph"/>
      </w:pPr>
      <w:r w:rsidRPr="00C85A35">
        <w:rPr>
          <w:rFonts w:eastAsia="SimSun"/>
        </w:rPr>
        <w:t xml:space="preserve">EFFECTIVE DATE: </w:t>
      </w:r>
    </w:p>
    <w:p w14:paraId="1A5BEFA1" w14:textId="77777777" w:rsidR="00C85A35" w:rsidRPr="00C85A35" w:rsidRDefault="00C85A35" w:rsidP="003C387F">
      <w:pPr>
        <w:pStyle w:val="ListParagraph"/>
        <w:rPr>
          <w:rFonts w:eastAsia="SimSun"/>
        </w:rPr>
      </w:pPr>
      <w:r w:rsidRPr="00C85A35">
        <w:rPr>
          <w:rFonts w:eastAsia="SimSun"/>
        </w:rPr>
        <w:t xml:space="preserve">ISSUED DATE: </w:t>
      </w:r>
    </w:p>
    <w:p w14:paraId="5404B13A" w14:textId="4F986BF5" w:rsidR="00C85A35" w:rsidRPr="00C85A35" w:rsidRDefault="00C85A35" w:rsidP="00B81DDF">
      <w:pPr>
        <w:widowControl w:val="0"/>
        <w:tabs>
          <w:tab w:val="left" w:pos="5040"/>
        </w:tabs>
        <w:autoSpaceDE w:val="0"/>
        <w:autoSpaceDN w:val="0"/>
        <w:adjustRightInd w:val="0"/>
        <w:spacing w:after="120"/>
        <w:ind w:left="5040"/>
        <w:rPr>
          <w:rFonts w:ascii="Lucida Bright" w:eastAsia="SimSun" w:hAnsi="Lucida Bright"/>
        </w:rPr>
      </w:pPr>
      <w:r w:rsidRPr="00C85A35">
        <w:rPr>
          <w:rFonts w:ascii="Lucida Bright" w:eastAsia="SimSun" w:hAnsi="Lucida Bright"/>
          <w:noProof/>
        </w:rPr>
        <mc:AlternateContent>
          <mc:Choice Requires="wps">
            <w:drawing>
              <wp:inline distT="0" distB="0" distL="0" distR="0" wp14:anchorId="25B7AAD5" wp14:editId="0390B5FC">
                <wp:extent cx="2656840" cy="635"/>
                <wp:effectExtent l="0" t="0" r="29210" b="37465"/>
                <wp:docPr id="2" name="AutoShape 3" descr="Line for a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9CAF73" id="_x0000_t32" coordsize="21600,21600" o:spt="32" o:oned="t" path="m,l21600,21600e" filled="f">
                <v:path arrowok="t" fillok="f" o:connecttype="none"/>
                <o:lock v:ext="edit" shapetype="t"/>
              </v:shapetype>
              <v:shape id="AutoShape 3" o:spid="_x0000_s1026" type="#_x0000_t32" alt="Line for a signature" style="width:209.2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">
                <w10:anchorlock/>
              </v:shape>
            </w:pict>
          </mc:Fallback>
        </mc:AlternateContent>
      </w:r>
    </w:p>
    <w:p w14:paraId="2EB242D1" w14:textId="77777777" w:rsidR="00565B6B" w:rsidRPr="00565B6B" w:rsidRDefault="00C85A35" w:rsidP="000B35CC">
      <w:pPr>
        <w:pStyle w:val="SignatureLine"/>
        <w:rPr>
          <w:rFonts w:eastAsia="SimSun"/>
        </w:rPr>
      </w:pPr>
      <w:r w:rsidRPr="00565B6B">
        <w:rPr>
          <w:rFonts w:eastAsia="SimSun"/>
        </w:rPr>
        <w:t>For the Commission</w:t>
      </w:r>
      <w:bookmarkEnd w:id="1"/>
    </w:p>
    <w:p w14:paraId="6C0E4122" w14:textId="03B96C11" w:rsidR="000C5E81" w:rsidRPr="0007290F" w:rsidRDefault="00E10D7E" w:rsidP="003451C7">
      <w:pPr>
        <w:pStyle w:val="H2TCEQpage2"/>
      </w:pPr>
      <w:r w:rsidRPr="00565B6B">
        <w:rPr>
          <w:rStyle w:val="BodyTextChar1"/>
          <w:b w:val="0"/>
        </w:rPr>
        <w:br w:type="page"/>
      </w:r>
      <w:r w:rsidR="00BC58DD" w:rsidRPr="000B35CC">
        <w:lastRenderedPageBreak/>
        <w:t xml:space="preserve">TCEQ </w:t>
      </w:r>
      <w:r w:rsidR="00BC58DD" w:rsidRPr="0007290F">
        <w:t>General Permit Number WDWG010000</w:t>
      </w:r>
      <w:r w:rsidR="00565B6B">
        <w:br/>
      </w:r>
      <w:r w:rsidR="00BC58DD" w:rsidRPr="0007290F">
        <w:t>Relating to Disposal of Nonhazardous Brine</w:t>
      </w:r>
      <w:r w:rsidR="00565B6B">
        <w:br/>
      </w:r>
      <w:r w:rsidR="00BC58DD" w:rsidRPr="0007290F">
        <w:t>from a Desalination Operation or Nonhazardous</w:t>
      </w:r>
      <w:r w:rsidR="00565B6B">
        <w:br/>
      </w:r>
      <w:r w:rsidR="00BC58DD" w:rsidRPr="0007290F">
        <w:t>Drinking Water Treatment Residuals into a Class I Well</w:t>
      </w:r>
    </w:p>
    <w:p w14:paraId="79E59C99" w14:textId="5643F183" w:rsidR="008451DE" w:rsidRPr="00BC58DD" w:rsidRDefault="00AF7D64" w:rsidP="00814C09">
      <w:pPr>
        <w:pStyle w:val="TOAHeading"/>
        <w:tabs>
          <w:tab w:val="left" w:pos="7560"/>
          <w:tab w:val="left" w:pos="8640"/>
        </w:tabs>
        <w:rPr>
          <w:szCs w:val="22"/>
        </w:rPr>
      </w:pPr>
      <w:r w:rsidRPr="00195789">
        <w:t>Table of Contents</w:t>
      </w:r>
      <w:r w:rsidRPr="00195789">
        <w:tab/>
      </w:r>
      <w:r w:rsidR="008451DE" w:rsidRPr="00195789">
        <w:t>Page Number</w:t>
      </w:r>
    </w:p>
    <w:p w14:paraId="78B5A578" w14:textId="1D69E390" w:rsidR="008451DE" w:rsidRPr="0097213E" w:rsidRDefault="008451DE" w:rsidP="00A10538">
      <w:pPr>
        <w:pStyle w:val="TOAHeading"/>
        <w:tabs>
          <w:tab w:val="left" w:pos="8280"/>
        </w:tabs>
      </w:pPr>
      <w:r w:rsidRPr="0097213E">
        <w:t>Part I.</w:t>
      </w:r>
      <w:r w:rsidR="00601806">
        <w:t xml:space="preserve">  </w:t>
      </w:r>
      <w:r w:rsidRPr="0097213E">
        <w:t>Definitions and Terminology</w:t>
      </w:r>
      <w:r w:rsidR="00A10538">
        <w:tab/>
      </w:r>
      <w:r w:rsidRPr="0097213E">
        <w:t>3</w:t>
      </w:r>
    </w:p>
    <w:p w14:paraId="6B99F197" w14:textId="05A5C22D" w:rsidR="008451DE" w:rsidRPr="00FF41ED" w:rsidRDefault="008451DE" w:rsidP="00A10538">
      <w:pPr>
        <w:pStyle w:val="List-Indented"/>
        <w:tabs>
          <w:tab w:val="left" w:pos="8280"/>
        </w:tabs>
      </w:pPr>
      <w:r w:rsidRPr="00FF41ED">
        <w:t>Section A.  Definitions</w:t>
      </w:r>
      <w:r w:rsidR="00814C09">
        <w:tab/>
      </w:r>
      <w:r w:rsidRPr="00FF41ED">
        <w:t>3</w:t>
      </w:r>
    </w:p>
    <w:p w14:paraId="0BD61795" w14:textId="22DD2769" w:rsidR="001166FE" w:rsidRPr="00FF41ED" w:rsidRDefault="003802BA" w:rsidP="00A10538">
      <w:pPr>
        <w:pStyle w:val="List-Indented"/>
        <w:tabs>
          <w:tab w:val="left" w:pos="8280"/>
        </w:tabs>
      </w:pPr>
      <w:r w:rsidRPr="00FF41ED">
        <w:t xml:space="preserve">Section </w:t>
      </w:r>
      <w:r w:rsidR="003B7F73">
        <w:t xml:space="preserve">B.  </w:t>
      </w:r>
      <w:r w:rsidR="004A0A8F" w:rsidRPr="00FF41ED">
        <w:t xml:space="preserve">Commonly Used </w:t>
      </w:r>
      <w:r w:rsidR="00561A6A" w:rsidRPr="00FF41ED">
        <w:t xml:space="preserve">Abbreviations, </w:t>
      </w:r>
      <w:r w:rsidR="004A0A8F" w:rsidRPr="00FF41ED">
        <w:t>Acronyms and Symbols</w:t>
      </w:r>
      <w:r w:rsidR="00814C09">
        <w:tab/>
      </w:r>
      <w:r w:rsidR="003F20EB" w:rsidRPr="00FF41ED">
        <w:t>4</w:t>
      </w:r>
    </w:p>
    <w:p w14:paraId="2F536DFF" w14:textId="15D12D06" w:rsidR="005E62AA" w:rsidRPr="0097213E" w:rsidRDefault="005E62AA" w:rsidP="00A10538">
      <w:pPr>
        <w:pStyle w:val="TOAHeading"/>
        <w:tabs>
          <w:tab w:val="left" w:pos="8280"/>
        </w:tabs>
      </w:pPr>
      <w:r w:rsidRPr="0097213E">
        <w:t>Part II.  Permit Applicability and Coverage</w:t>
      </w:r>
      <w:r w:rsidR="00814C09">
        <w:tab/>
      </w:r>
      <w:r w:rsidR="003F20EB" w:rsidRPr="0097213E">
        <w:t>4</w:t>
      </w:r>
    </w:p>
    <w:p w14:paraId="2EAF9253" w14:textId="264AE777" w:rsidR="00BA60A3" w:rsidRPr="00FF41ED" w:rsidRDefault="003802BA" w:rsidP="00A10538">
      <w:pPr>
        <w:pStyle w:val="List-Indented"/>
        <w:tabs>
          <w:tab w:val="left" w:pos="8280"/>
        </w:tabs>
      </w:pPr>
      <w:r w:rsidRPr="00FF41ED">
        <w:t xml:space="preserve">Section </w:t>
      </w:r>
      <w:r w:rsidR="004C3789" w:rsidRPr="00FF41ED">
        <w:t>A</w:t>
      </w:r>
      <w:r w:rsidR="003B7F73">
        <w:t xml:space="preserve">.  </w:t>
      </w:r>
      <w:r w:rsidR="00BA60A3" w:rsidRPr="00FF41ED">
        <w:t xml:space="preserve">Waste Eligible to be </w:t>
      </w:r>
      <w:r w:rsidR="008451DE" w:rsidRPr="00FF41ED">
        <w:t>Injected under the General Permit</w:t>
      </w:r>
      <w:r w:rsidR="00814C09">
        <w:tab/>
      </w:r>
      <w:r w:rsidR="003F20EB" w:rsidRPr="00FF41ED">
        <w:t>4</w:t>
      </w:r>
    </w:p>
    <w:p w14:paraId="208D46F5" w14:textId="623246BE" w:rsidR="00442EFA" w:rsidRPr="00FF41ED" w:rsidRDefault="003802BA" w:rsidP="00A10538">
      <w:pPr>
        <w:pStyle w:val="List-Indented"/>
        <w:tabs>
          <w:tab w:val="left" w:pos="8280"/>
        </w:tabs>
      </w:pPr>
      <w:r w:rsidRPr="00FF41ED">
        <w:t xml:space="preserve">Section </w:t>
      </w:r>
      <w:r w:rsidR="004C3789" w:rsidRPr="00FF41ED">
        <w:t>B</w:t>
      </w:r>
      <w:r w:rsidR="003B7F73">
        <w:t xml:space="preserve">.  </w:t>
      </w:r>
      <w:r w:rsidR="00BA60A3" w:rsidRPr="00FF41ED">
        <w:t>Limitations on Coverage</w:t>
      </w:r>
      <w:r w:rsidR="00814C09">
        <w:tab/>
      </w:r>
      <w:r w:rsidR="008451DE" w:rsidRPr="00FF41ED">
        <w:t>5</w:t>
      </w:r>
    </w:p>
    <w:p w14:paraId="66E7DF72" w14:textId="09C25E98" w:rsidR="00BA60A3" w:rsidRPr="00FF41ED" w:rsidRDefault="003802BA" w:rsidP="00A10538">
      <w:pPr>
        <w:pStyle w:val="List-Indented"/>
        <w:tabs>
          <w:tab w:val="left" w:pos="8280"/>
        </w:tabs>
      </w:pPr>
      <w:r w:rsidRPr="00FF41ED">
        <w:t xml:space="preserve">Section </w:t>
      </w:r>
      <w:r w:rsidR="004C3789" w:rsidRPr="00FF41ED">
        <w:t>C</w:t>
      </w:r>
      <w:r w:rsidR="003B7F73">
        <w:t xml:space="preserve">.  </w:t>
      </w:r>
      <w:r w:rsidR="00BA60A3" w:rsidRPr="00FF41ED">
        <w:t>Obtaining Authorization</w:t>
      </w:r>
      <w:r w:rsidR="00814C09">
        <w:tab/>
      </w:r>
      <w:r w:rsidR="008451DE" w:rsidRPr="00FF41ED">
        <w:t>6</w:t>
      </w:r>
    </w:p>
    <w:p w14:paraId="68740C53" w14:textId="2CC58421" w:rsidR="00C1036D" w:rsidRPr="00FF41ED" w:rsidRDefault="00C1036D" w:rsidP="00A10538">
      <w:pPr>
        <w:pStyle w:val="List-Indented"/>
        <w:tabs>
          <w:tab w:val="left" w:pos="8190"/>
        </w:tabs>
      </w:pPr>
      <w:r w:rsidRPr="00FF41ED">
        <w:t xml:space="preserve">Section </w:t>
      </w:r>
      <w:r w:rsidR="004C3789" w:rsidRPr="00FF41ED">
        <w:t>D</w:t>
      </w:r>
      <w:r w:rsidR="008E664A">
        <w:t xml:space="preserve">.  </w:t>
      </w:r>
      <w:r w:rsidRPr="00FF41ED">
        <w:t xml:space="preserve">Amending the </w:t>
      </w:r>
      <w:r w:rsidR="00FB2D12" w:rsidRPr="00FF41ED">
        <w:t>Notice of Intent (</w:t>
      </w:r>
      <w:r w:rsidRPr="00FF41ED">
        <w:t>NOI</w:t>
      </w:r>
      <w:r w:rsidR="00FB2D12" w:rsidRPr="00FF41ED">
        <w:t>)</w:t>
      </w:r>
      <w:r w:rsidR="00814C09">
        <w:tab/>
      </w:r>
      <w:r w:rsidR="00397E8D">
        <w:t>10</w:t>
      </w:r>
    </w:p>
    <w:p w14:paraId="4709CC48" w14:textId="77777777" w:rsidR="00FF41ED" w:rsidRDefault="003802BA" w:rsidP="00385808">
      <w:pPr>
        <w:pStyle w:val="List-Indented2ndLine"/>
        <w:tabs>
          <w:tab w:val="left" w:pos="7920"/>
        </w:tabs>
      </w:pPr>
      <w:r w:rsidRPr="0097213E">
        <w:t xml:space="preserve">Section </w:t>
      </w:r>
      <w:r w:rsidR="004C3789" w:rsidRPr="0097213E">
        <w:t>E</w:t>
      </w:r>
      <w:r w:rsidR="008E664A">
        <w:t xml:space="preserve">.  </w:t>
      </w:r>
      <w:r w:rsidR="003F20EB" w:rsidRPr="0097213E">
        <w:t>Financial Assuranc</w:t>
      </w:r>
      <w:r w:rsidR="00FF41ED">
        <w:t>e Prior to Commencement of Well</w:t>
      </w:r>
    </w:p>
    <w:p w14:paraId="5DEEB0DC" w14:textId="25BB012E" w:rsidR="00397E8D" w:rsidRDefault="003F20EB" w:rsidP="00A10538">
      <w:pPr>
        <w:pStyle w:val="List-indented2ndlinetwoinsuccession"/>
        <w:tabs>
          <w:tab w:val="left" w:pos="8190"/>
        </w:tabs>
      </w:pPr>
      <w:r w:rsidRPr="0097213E">
        <w:t>Construction</w:t>
      </w:r>
      <w:r w:rsidR="00814C09">
        <w:tab/>
      </w:r>
      <w:r w:rsidR="00397E8D">
        <w:t>10</w:t>
      </w:r>
    </w:p>
    <w:p w14:paraId="2903C56F" w14:textId="77777777" w:rsidR="00397E8D" w:rsidRPr="00397E8D" w:rsidRDefault="003802BA" w:rsidP="00385808">
      <w:pPr>
        <w:pStyle w:val="List-Indented2ndLine"/>
        <w:tabs>
          <w:tab w:val="left" w:pos="7920"/>
        </w:tabs>
      </w:pPr>
      <w:r w:rsidRPr="00397E8D">
        <w:t xml:space="preserve">Section </w:t>
      </w:r>
      <w:r w:rsidR="004C3789" w:rsidRPr="00397E8D">
        <w:t>F</w:t>
      </w:r>
      <w:r w:rsidR="003B7F73" w:rsidRPr="00397E8D">
        <w:t xml:space="preserve">.  </w:t>
      </w:r>
      <w:r w:rsidR="003F20EB" w:rsidRPr="00397E8D">
        <w:t>Approval of Construction and Completion</w:t>
      </w:r>
      <w:r w:rsidR="00397E8D" w:rsidRPr="00397E8D">
        <w:t xml:space="preserve"> for Class I</w:t>
      </w:r>
    </w:p>
    <w:p w14:paraId="10BA012E" w14:textId="5218C166" w:rsidR="00BA60A3" w:rsidRPr="00397E8D" w:rsidRDefault="00397E8D" w:rsidP="00A10538">
      <w:pPr>
        <w:pStyle w:val="List-indented2ndlinetwoinsuccession"/>
        <w:tabs>
          <w:tab w:val="left" w:pos="8190"/>
        </w:tabs>
      </w:pPr>
      <w:r w:rsidRPr="00397E8D">
        <w:t xml:space="preserve">Wells </w:t>
      </w:r>
      <w:r w:rsidR="00A256C6" w:rsidRPr="00397E8D">
        <w:t>except</w:t>
      </w:r>
      <w:r w:rsidRPr="00397E8D">
        <w:t xml:space="preserve"> Bedded Salt Cavern Disposal Wells</w:t>
      </w:r>
      <w:r w:rsidR="00814C09">
        <w:tab/>
      </w:r>
      <w:r w:rsidRPr="00397E8D">
        <w:t>10</w:t>
      </w:r>
    </w:p>
    <w:p w14:paraId="4ACBEA9F" w14:textId="77777777" w:rsidR="0083730F" w:rsidRDefault="003802BA" w:rsidP="00385808">
      <w:pPr>
        <w:pStyle w:val="List-Indented2ndLine"/>
        <w:tabs>
          <w:tab w:val="left" w:pos="7920"/>
        </w:tabs>
      </w:pPr>
      <w:r w:rsidRPr="00FF41ED">
        <w:t xml:space="preserve">Section </w:t>
      </w:r>
      <w:r w:rsidR="004C3789" w:rsidRPr="00FF41ED">
        <w:t>G</w:t>
      </w:r>
      <w:r w:rsidR="0083730F">
        <w:t xml:space="preserve">.  </w:t>
      </w:r>
      <w:r w:rsidR="00A256C6">
        <w:t>Approval of Construc</w:t>
      </w:r>
      <w:r w:rsidR="0083730F">
        <w:t>tion and Completion for Class I</w:t>
      </w:r>
    </w:p>
    <w:p w14:paraId="0BF4B659" w14:textId="5BD32C33" w:rsidR="00BA60A3" w:rsidRDefault="00A256C6" w:rsidP="00A10538">
      <w:pPr>
        <w:pStyle w:val="List-indented2ndlinetwoinsuccession"/>
        <w:tabs>
          <w:tab w:val="left" w:pos="8190"/>
          <w:tab w:val="left" w:pos="8730"/>
        </w:tabs>
      </w:pPr>
      <w:r>
        <w:t>Bedded Salt Cavern Disposal Wells and Their Associated Caverns</w:t>
      </w:r>
      <w:r w:rsidR="00814C09">
        <w:tab/>
      </w:r>
      <w:r w:rsidR="0005119F" w:rsidRPr="00FF41ED">
        <w:t>1</w:t>
      </w:r>
      <w:r w:rsidR="00EA22D6">
        <w:t>1</w:t>
      </w:r>
    </w:p>
    <w:p w14:paraId="46042CFA" w14:textId="51FD0923" w:rsidR="00A256C6" w:rsidRPr="00A256C6" w:rsidRDefault="00A256C6" w:rsidP="00A10538">
      <w:pPr>
        <w:pStyle w:val="List-Indented"/>
        <w:tabs>
          <w:tab w:val="left" w:pos="8190"/>
        </w:tabs>
      </w:pPr>
      <w:r>
        <w:t>Section H.  Termination of Coverage</w:t>
      </w:r>
      <w:r w:rsidR="00814C09">
        <w:tab/>
      </w:r>
      <w:r>
        <w:t>12</w:t>
      </w:r>
    </w:p>
    <w:p w14:paraId="293E58F3" w14:textId="77777777" w:rsidR="00BA60A3" w:rsidRPr="00FF41ED" w:rsidRDefault="003802BA" w:rsidP="00A10538">
      <w:pPr>
        <w:pStyle w:val="List-Indented"/>
        <w:tabs>
          <w:tab w:val="left" w:pos="8190"/>
        </w:tabs>
      </w:pPr>
      <w:r w:rsidRPr="00FF41ED">
        <w:t xml:space="preserve">Section </w:t>
      </w:r>
      <w:r w:rsidR="00EA22D6">
        <w:t>I</w:t>
      </w:r>
      <w:r w:rsidR="008E664A">
        <w:t xml:space="preserve">.  </w:t>
      </w:r>
      <w:r w:rsidR="003F20EB" w:rsidRPr="00FF41ED">
        <w:t>Denial</w:t>
      </w:r>
      <w:r w:rsidR="00BA60A3" w:rsidRPr="00FF41ED">
        <w:t xml:space="preserve"> of Authorization</w:t>
      </w:r>
      <w:r w:rsidR="008451DE" w:rsidRPr="00FF41ED">
        <w:tab/>
        <w:t>1</w:t>
      </w:r>
      <w:r w:rsidR="00EA22D6">
        <w:t>2</w:t>
      </w:r>
    </w:p>
    <w:p w14:paraId="57E72BDB" w14:textId="77777777" w:rsidR="003F20EB" w:rsidRPr="00FF41ED" w:rsidRDefault="008E664A" w:rsidP="00A10538">
      <w:pPr>
        <w:pStyle w:val="List-Indented"/>
        <w:tabs>
          <w:tab w:val="left" w:pos="8190"/>
        </w:tabs>
      </w:pPr>
      <w:r>
        <w:t>Section</w:t>
      </w:r>
      <w:r w:rsidR="00EA22D6">
        <w:t xml:space="preserve"> J</w:t>
      </w:r>
      <w:r>
        <w:t xml:space="preserve">.  </w:t>
      </w:r>
      <w:r w:rsidR="003F20EB" w:rsidRPr="00FF41ED">
        <w:t>Suspension of Authorization</w:t>
      </w:r>
      <w:r w:rsidR="003F20EB" w:rsidRPr="00FF41ED">
        <w:tab/>
        <w:t>1</w:t>
      </w:r>
      <w:r w:rsidR="00EA22D6">
        <w:t>2</w:t>
      </w:r>
    </w:p>
    <w:p w14:paraId="5A8A58A2" w14:textId="77777777" w:rsidR="003F20EB" w:rsidRPr="0097213E" w:rsidRDefault="008E664A" w:rsidP="00A10538">
      <w:pPr>
        <w:pStyle w:val="List-Indented"/>
        <w:tabs>
          <w:tab w:val="left" w:pos="8190"/>
        </w:tabs>
      </w:pPr>
      <w:r>
        <w:t xml:space="preserve">Section </w:t>
      </w:r>
      <w:r w:rsidR="00EA22D6">
        <w:t>K</w:t>
      </w:r>
      <w:r>
        <w:t xml:space="preserve">.  </w:t>
      </w:r>
      <w:r w:rsidR="003F20EB" w:rsidRPr="0097213E">
        <w:t>Authorization under a</w:t>
      </w:r>
      <w:r w:rsidR="00672FCB">
        <w:t xml:space="preserve"> </w:t>
      </w:r>
      <w:r w:rsidR="00385808">
        <w:t>UIC Individual Permit</w:t>
      </w:r>
      <w:r w:rsidR="00385808">
        <w:tab/>
      </w:r>
      <w:r w:rsidR="003F20EB" w:rsidRPr="0097213E">
        <w:t>1</w:t>
      </w:r>
      <w:r w:rsidR="00EA22D6">
        <w:t>4</w:t>
      </w:r>
    </w:p>
    <w:p w14:paraId="08772429" w14:textId="77777777" w:rsidR="003B7F73" w:rsidRDefault="008E664A" w:rsidP="00385808">
      <w:pPr>
        <w:pStyle w:val="List-Indented2ndLine"/>
        <w:tabs>
          <w:tab w:val="left" w:pos="7920"/>
        </w:tabs>
      </w:pPr>
      <w:r w:rsidRPr="00672FCB">
        <w:t xml:space="preserve">Section </w:t>
      </w:r>
      <w:r w:rsidR="00EA22D6">
        <w:t>L</w:t>
      </w:r>
      <w:r w:rsidRPr="00672FCB">
        <w:t xml:space="preserve">.  </w:t>
      </w:r>
      <w:r w:rsidR="003F20EB" w:rsidRPr="00672FCB">
        <w:t>Authorization of an Indivi</w:t>
      </w:r>
      <w:r w:rsidR="003B7F73">
        <w:t>dually-Permitted Well under</w:t>
      </w:r>
    </w:p>
    <w:p w14:paraId="5DB2DC2F" w14:textId="77777777" w:rsidR="003F20EB" w:rsidRPr="00672FCB" w:rsidRDefault="00FF41ED" w:rsidP="00A10538">
      <w:pPr>
        <w:pStyle w:val="List-Indented2ndLine"/>
        <w:tabs>
          <w:tab w:val="left" w:pos="8190"/>
        </w:tabs>
      </w:pPr>
      <w:r w:rsidRPr="00672FCB">
        <w:t>the</w:t>
      </w:r>
      <w:r w:rsidR="003B7F73">
        <w:t xml:space="preserve"> </w:t>
      </w:r>
      <w:r w:rsidR="003F20EB" w:rsidRPr="00672FCB">
        <w:t>UIC</w:t>
      </w:r>
      <w:r w:rsidRPr="00672FCB">
        <w:t xml:space="preserve"> General Permit</w:t>
      </w:r>
      <w:r w:rsidRPr="00672FCB">
        <w:tab/>
      </w:r>
      <w:r w:rsidR="003F20EB" w:rsidRPr="00672FCB">
        <w:t>1</w:t>
      </w:r>
      <w:r w:rsidR="00EA22D6">
        <w:t>4</w:t>
      </w:r>
    </w:p>
    <w:p w14:paraId="31B5E61F" w14:textId="77777777" w:rsidR="003F20EB" w:rsidRPr="00672FCB" w:rsidRDefault="00385808" w:rsidP="00A10538">
      <w:pPr>
        <w:pStyle w:val="List-Indented"/>
        <w:tabs>
          <w:tab w:val="left" w:pos="8190"/>
        </w:tabs>
      </w:pPr>
      <w:r>
        <w:t xml:space="preserve">Section </w:t>
      </w:r>
      <w:r w:rsidR="00EA22D6">
        <w:t>M</w:t>
      </w:r>
      <w:r>
        <w:t xml:space="preserve">.  </w:t>
      </w:r>
      <w:r w:rsidR="00FF41ED" w:rsidRPr="00672FCB">
        <w:t>Permit Renewal and Expiration</w:t>
      </w:r>
      <w:r w:rsidR="00FF41ED" w:rsidRPr="00672FCB">
        <w:tab/>
      </w:r>
      <w:r w:rsidR="003F20EB" w:rsidRPr="00672FCB">
        <w:t>1</w:t>
      </w:r>
      <w:r w:rsidR="00EA22D6">
        <w:t>5</w:t>
      </w:r>
    </w:p>
    <w:p w14:paraId="2A49EE15" w14:textId="77777777" w:rsidR="00AB49FC" w:rsidRPr="008F7B0C" w:rsidRDefault="00AB49FC" w:rsidP="00A10538">
      <w:pPr>
        <w:pStyle w:val="TOAHeading"/>
        <w:tabs>
          <w:tab w:val="left" w:pos="8190"/>
        </w:tabs>
      </w:pPr>
      <w:r w:rsidRPr="008F7B0C">
        <w:t xml:space="preserve">Part III.  </w:t>
      </w:r>
      <w:r w:rsidR="004124A2" w:rsidRPr="008F7B0C">
        <w:t xml:space="preserve">Technical </w:t>
      </w:r>
      <w:r w:rsidRPr="008F7B0C">
        <w:t>Standards and Requirements</w:t>
      </w:r>
      <w:r w:rsidR="00EA22D6">
        <w:tab/>
      </w:r>
      <w:r w:rsidR="008451DE" w:rsidRPr="008F7B0C">
        <w:t>1</w:t>
      </w:r>
      <w:r w:rsidR="00EA22D6">
        <w:t>6</w:t>
      </w:r>
    </w:p>
    <w:p w14:paraId="713F65A8" w14:textId="12A164E4" w:rsidR="00B026A9" w:rsidRPr="008F7B0C" w:rsidRDefault="00B026A9" w:rsidP="00A10538">
      <w:pPr>
        <w:pStyle w:val="TOAHeading"/>
        <w:tabs>
          <w:tab w:val="left" w:pos="8190"/>
        </w:tabs>
      </w:pPr>
      <w:r w:rsidRPr="008F7B0C">
        <w:t xml:space="preserve">Part </w:t>
      </w:r>
      <w:r w:rsidR="0020577D" w:rsidRPr="008F7B0C">
        <w:t>I</w:t>
      </w:r>
      <w:r w:rsidRPr="008F7B0C">
        <w:t>V.  Standard Permit Conditions</w:t>
      </w:r>
      <w:r w:rsidR="00BC58DD" w:rsidRPr="008F7B0C">
        <w:tab/>
      </w:r>
      <w:r w:rsidR="007A0769">
        <w:t>19</w:t>
      </w:r>
    </w:p>
    <w:p w14:paraId="282BC98E" w14:textId="739B3F7D" w:rsidR="0075439D" w:rsidRPr="008F7B0C" w:rsidRDefault="007A23E0" w:rsidP="00A10538">
      <w:pPr>
        <w:pStyle w:val="TOAHeading"/>
        <w:tabs>
          <w:tab w:val="left" w:pos="8190"/>
        </w:tabs>
      </w:pPr>
      <w:r w:rsidRPr="008F7B0C">
        <w:t>Part V.  Fees</w:t>
      </w:r>
      <w:r w:rsidR="00BC58DD" w:rsidRPr="008F7B0C">
        <w:tab/>
      </w:r>
      <w:r w:rsidR="0063784D">
        <w:t>2</w:t>
      </w:r>
      <w:r w:rsidR="009F4EFB">
        <w:t>2</w:t>
      </w:r>
    </w:p>
    <w:p w14:paraId="32E0193D" w14:textId="51C2C541" w:rsidR="0075439D" w:rsidRPr="00FF41ED" w:rsidRDefault="0075439D" w:rsidP="00A10538">
      <w:pPr>
        <w:pStyle w:val="List-Indented"/>
        <w:tabs>
          <w:tab w:val="left" w:pos="8190"/>
        </w:tabs>
      </w:pPr>
      <w:r w:rsidRPr="00FF41ED">
        <w:t>Secti</w:t>
      </w:r>
      <w:r w:rsidR="00EA22D6">
        <w:t xml:space="preserve">on A.  </w:t>
      </w:r>
      <w:r w:rsidRPr="00FF41ED">
        <w:t>Application Fees</w:t>
      </w:r>
      <w:r w:rsidR="008451DE" w:rsidRPr="00FF41ED">
        <w:tab/>
      </w:r>
      <w:r w:rsidR="00A876E4" w:rsidRPr="00FF41ED">
        <w:t>2</w:t>
      </w:r>
      <w:r w:rsidR="009F4EFB">
        <w:t>2</w:t>
      </w:r>
    </w:p>
    <w:p w14:paraId="401B64B3" w14:textId="481FF906" w:rsidR="00CF5FDE" w:rsidRPr="008771DA" w:rsidRDefault="00EA22D6" w:rsidP="00A10538">
      <w:pPr>
        <w:pStyle w:val="List-Indented"/>
        <w:tabs>
          <w:tab w:val="left" w:pos="8190"/>
        </w:tabs>
        <w:sectPr w:rsidR="00CF5FDE" w:rsidRPr="008771DA" w:rsidSect="004267B7">
          <w:headerReference w:type="default" r:id="rId12"/>
          <w:footerReference w:type="default" r:id="rId13"/>
          <w:type w:val="continuous"/>
          <w:pgSz w:w="12240" w:h="15840" w:code="1"/>
          <w:pgMar w:top="1440" w:right="1440" w:bottom="1440" w:left="1440" w:header="720" w:footer="720" w:gutter="0"/>
          <w:cols w:space="720"/>
          <w:titlePg/>
          <w:docGrid w:linePitch="360"/>
        </w:sectPr>
      </w:pPr>
      <w:r>
        <w:t xml:space="preserve">Section B.  </w:t>
      </w:r>
      <w:r w:rsidR="0061768C" w:rsidRPr="00FF41ED">
        <w:t>Annual Fees</w:t>
      </w:r>
      <w:r w:rsidR="00EF1E49" w:rsidRPr="00FF41ED">
        <w:tab/>
      </w:r>
      <w:r w:rsidR="00A876E4" w:rsidRPr="00FF41ED">
        <w:t>2</w:t>
      </w:r>
      <w:r w:rsidR="009F4EFB">
        <w:t>2</w:t>
      </w:r>
    </w:p>
    <w:p w14:paraId="75F3000A" w14:textId="77777777" w:rsidR="00316C0B" w:rsidRPr="00840AD5" w:rsidRDefault="00601806" w:rsidP="00840AD5">
      <w:pPr>
        <w:pStyle w:val="H2TCEQ"/>
        <w:rPr>
          <w:bCs/>
        </w:rPr>
      </w:pPr>
      <w:r w:rsidRPr="00840AD5">
        <w:rPr>
          <w:bCs/>
        </w:rPr>
        <w:lastRenderedPageBreak/>
        <w:t xml:space="preserve">Part I.  </w:t>
      </w:r>
      <w:r w:rsidR="00316C0B" w:rsidRPr="00840AD5">
        <w:rPr>
          <w:bCs/>
        </w:rPr>
        <w:t>Definitions and Terminology</w:t>
      </w:r>
    </w:p>
    <w:p w14:paraId="065577BF" w14:textId="77777777" w:rsidR="006C6F2E" w:rsidRPr="00C863ED" w:rsidRDefault="00601806" w:rsidP="006B3107">
      <w:pPr>
        <w:pStyle w:val="H3TCEQ"/>
      </w:pPr>
      <w:r>
        <w:t xml:space="preserve">Section A.  </w:t>
      </w:r>
      <w:r w:rsidR="00703BEA" w:rsidRPr="00C863ED">
        <w:t>Definitions</w:t>
      </w:r>
    </w:p>
    <w:p w14:paraId="17DF9475" w14:textId="77777777" w:rsidR="00942E78" w:rsidRPr="002D0485" w:rsidRDefault="00942E78" w:rsidP="00353741">
      <w:pPr>
        <w:pStyle w:val="ListParagraph"/>
      </w:pPr>
      <w:r w:rsidRPr="002D0485">
        <w:t xml:space="preserve">All definitions in </w:t>
      </w:r>
      <w:r w:rsidR="00C41FF7" w:rsidRPr="002D0485">
        <w:t xml:space="preserve">Section </w:t>
      </w:r>
      <w:r w:rsidR="00A02BD7" w:rsidRPr="002D0485">
        <w:t>27.002</w:t>
      </w:r>
      <w:r w:rsidRPr="002D0485">
        <w:t xml:space="preserve"> of the Texas Water Code</w:t>
      </w:r>
      <w:r w:rsidR="005B14EA" w:rsidRPr="002D0485">
        <w:t xml:space="preserve"> (TWC)</w:t>
      </w:r>
      <w:r w:rsidRPr="002D0485">
        <w:t xml:space="preserve"> and 30 Texas Administrative Code (TAC) Chapters</w:t>
      </w:r>
      <w:r w:rsidR="00955745" w:rsidRPr="002D0485">
        <w:t xml:space="preserve"> 3, </w:t>
      </w:r>
      <w:r w:rsidR="00EC7034" w:rsidRPr="002D0485">
        <w:t xml:space="preserve">37, </w:t>
      </w:r>
      <w:r w:rsidRPr="002D0485">
        <w:t xml:space="preserve">281, 305, 331 and 335 shall apply to this permit and are incorporated by reference.  </w:t>
      </w:r>
      <w:r w:rsidR="00F06575" w:rsidRPr="002D0485">
        <w:t>For convenience, s</w:t>
      </w:r>
      <w:r w:rsidRPr="002D0485">
        <w:t xml:space="preserve">ome specific definitions of words or phrases used in this permit are </w:t>
      </w:r>
      <w:r w:rsidR="00F06575" w:rsidRPr="002D0485">
        <w:t xml:space="preserve">listed </w:t>
      </w:r>
      <w:r w:rsidRPr="002D0485">
        <w:t>as follows:</w:t>
      </w:r>
    </w:p>
    <w:p w14:paraId="774F1D93" w14:textId="77777777" w:rsidR="00222030" w:rsidRPr="00A1051A" w:rsidRDefault="00222030" w:rsidP="002D0485">
      <w:pPr>
        <w:pStyle w:val="List-Indented"/>
      </w:pPr>
      <w:r w:rsidRPr="00A1051A">
        <w:t>Applicant</w:t>
      </w:r>
      <w:r w:rsidR="002078AA" w:rsidRPr="00A1051A">
        <w:t>--</w:t>
      </w:r>
      <w:r w:rsidR="008A163F" w:rsidRPr="00A1051A">
        <w:t>See 30 TAC §3.2</w:t>
      </w:r>
    </w:p>
    <w:p w14:paraId="312E7EC6" w14:textId="4ACF67BB" w:rsidR="00CC0605" w:rsidRPr="004938F9" w:rsidRDefault="00CC0605" w:rsidP="002D0485">
      <w:pPr>
        <w:pStyle w:val="List-Indented"/>
      </w:pPr>
      <w:r w:rsidRPr="004938F9">
        <w:t>Bedded salt--See 30 TAC §</w:t>
      </w:r>
      <w:r w:rsidR="004938F9" w:rsidRPr="00C73B2E">
        <w:t>331.2</w:t>
      </w:r>
    </w:p>
    <w:p w14:paraId="5FC23AD5" w14:textId="11CB3D37" w:rsidR="00CC0605" w:rsidRPr="00A1051A" w:rsidRDefault="00CC0605" w:rsidP="002D0485">
      <w:pPr>
        <w:pStyle w:val="List-Indented"/>
      </w:pPr>
      <w:r w:rsidRPr="004938F9">
        <w:t>Bedded salt cavern disposal well--See 30 TAC §</w:t>
      </w:r>
      <w:r w:rsidR="004938F9" w:rsidRPr="00C73B2E">
        <w:t>331.2</w:t>
      </w:r>
    </w:p>
    <w:p w14:paraId="3957F377" w14:textId="77777777" w:rsidR="007F37BA" w:rsidRPr="00A1051A" w:rsidRDefault="00C438C6" w:rsidP="00397E8D">
      <w:pPr>
        <w:pStyle w:val="StyleList-Indented2ndLineLeft025Firstline0"/>
      </w:pPr>
      <w:r w:rsidRPr="00A1051A">
        <w:t>Class I nonhazardous industrial solid waste--</w:t>
      </w:r>
      <w:r w:rsidR="00132501" w:rsidRPr="00A1051A">
        <w:t xml:space="preserve">See </w:t>
      </w:r>
      <w:r w:rsidR="007F37BA" w:rsidRPr="00A1051A">
        <w:t xml:space="preserve">Texas Health and Safety </w:t>
      </w:r>
      <w:r w:rsidR="00AD3EA2" w:rsidRPr="00A1051A">
        <w:t>Code (</w:t>
      </w:r>
      <w:r w:rsidR="008A163F" w:rsidRPr="00A1051A">
        <w:t>THSC) §361.003</w:t>
      </w:r>
      <w:r w:rsidR="00132501" w:rsidRPr="00A1051A">
        <w:t>.</w:t>
      </w:r>
    </w:p>
    <w:p w14:paraId="7E240042" w14:textId="77777777" w:rsidR="00C71CDC" w:rsidRPr="00A1051A" w:rsidRDefault="00C71CDC" w:rsidP="002D0485">
      <w:pPr>
        <w:pStyle w:val="List-Indented"/>
      </w:pPr>
      <w:r w:rsidRPr="00A1051A">
        <w:t>Commission--</w:t>
      </w:r>
      <w:r w:rsidR="00132501" w:rsidRPr="00A1051A">
        <w:t xml:space="preserve">See </w:t>
      </w:r>
      <w:r w:rsidR="00B7242F" w:rsidRPr="00A1051A">
        <w:t>30 TAC §3.2</w:t>
      </w:r>
    </w:p>
    <w:p w14:paraId="462AD09F" w14:textId="77777777" w:rsidR="001713D4" w:rsidRPr="00A1051A" w:rsidRDefault="001713D4" w:rsidP="002D0485">
      <w:pPr>
        <w:pStyle w:val="List-Indented"/>
      </w:pPr>
      <w:r w:rsidRPr="00A1051A">
        <w:t>Desalination brine--</w:t>
      </w:r>
      <w:r w:rsidR="00132501" w:rsidRPr="00A1051A">
        <w:t xml:space="preserve">See </w:t>
      </w:r>
      <w:r w:rsidR="00B7242F" w:rsidRPr="00A1051A">
        <w:t>30 TAC §331.2</w:t>
      </w:r>
    </w:p>
    <w:p w14:paraId="73924C49" w14:textId="77777777" w:rsidR="001713D4" w:rsidRPr="00A1051A" w:rsidRDefault="001713D4" w:rsidP="002D0485">
      <w:pPr>
        <w:pStyle w:val="List-Indented"/>
      </w:pPr>
      <w:r w:rsidRPr="00A1051A">
        <w:t>Desalination concentrate--</w:t>
      </w:r>
      <w:r w:rsidR="00132501" w:rsidRPr="00A1051A">
        <w:t xml:space="preserve">See </w:t>
      </w:r>
      <w:r w:rsidR="00020FC1" w:rsidRPr="00A1051A">
        <w:t>30 TAC §</w:t>
      </w:r>
      <w:r w:rsidR="00B7242F" w:rsidRPr="00A1051A">
        <w:t>331.2</w:t>
      </w:r>
    </w:p>
    <w:p w14:paraId="4E857545" w14:textId="77777777" w:rsidR="00031474" w:rsidRPr="00A1051A" w:rsidRDefault="00031474" w:rsidP="002D0485">
      <w:pPr>
        <w:pStyle w:val="List-Indented"/>
      </w:pPr>
      <w:r w:rsidRPr="00A1051A">
        <w:t>Desal</w:t>
      </w:r>
      <w:r w:rsidR="00525D53" w:rsidRPr="00A1051A">
        <w:t>ination operation--</w:t>
      </w:r>
      <w:r w:rsidR="00132501" w:rsidRPr="00A1051A">
        <w:t xml:space="preserve">See </w:t>
      </w:r>
      <w:r w:rsidR="00020FC1" w:rsidRPr="00A1051A">
        <w:t>30 TAC §</w:t>
      </w:r>
      <w:r w:rsidR="00B7242F" w:rsidRPr="00A1051A">
        <w:t>331.2</w:t>
      </w:r>
    </w:p>
    <w:p w14:paraId="70F0AF81" w14:textId="77777777" w:rsidR="001713D4" w:rsidRPr="00A1051A" w:rsidRDefault="001713D4" w:rsidP="002D0485">
      <w:pPr>
        <w:pStyle w:val="List-Indented"/>
      </w:pPr>
      <w:r w:rsidRPr="00A1051A">
        <w:t>Drinking water treatment residuals--</w:t>
      </w:r>
      <w:r w:rsidR="00132501" w:rsidRPr="00A1051A">
        <w:t xml:space="preserve">See </w:t>
      </w:r>
      <w:r w:rsidR="00020FC1" w:rsidRPr="00A1051A">
        <w:t>30 TAC §</w:t>
      </w:r>
      <w:r w:rsidR="00B7242F" w:rsidRPr="00A1051A">
        <w:t>331.2</w:t>
      </w:r>
    </w:p>
    <w:p w14:paraId="5C89E717" w14:textId="77777777" w:rsidR="001713D4" w:rsidRPr="00A1051A" w:rsidRDefault="001713D4" w:rsidP="002D0485">
      <w:pPr>
        <w:pStyle w:val="List-Indented"/>
      </w:pPr>
      <w:r w:rsidRPr="00A1051A">
        <w:t>Enhanced oil recovery project (EOR)--</w:t>
      </w:r>
      <w:r w:rsidR="00132501" w:rsidRPr="00A1051A">
        <w:t xml:space="preserve">See </w:t>
      </w:r>
      <w:r w:rsidR="00020FC1" w:rsidRPr="00A1051A">
        <w:t>30 TAC §</w:t>
      </w:r>
      <w:r w:rsidR="00B7242F" w:rsidRPr="00A1051A">
        <w:t>331.2</w:t>
      </w:r>
    </w:p>
    <w:p w14:paraId="317347AE" w14:textId="77777777" w:rsidR="00AB50E1" w:rsidRPr="00A1051A" w:rsidRDefault="00AB50E1" w:rsidP="002D0485">
      <w:pPr>
        <w:pStyle w:val="List-Indented"/>
      </w:pPr>
      <w:r w:rsidRPr="00A1051A">
        <w:t>Executive Director--</w:t>
      </w:r>
      <w:r w:rsidR="00132501" w:rsidRPr="00A1051A">
        <w:t xml:space="preserve">See </w:t>
      </w:r>
      <w:r w:rsidR="00B7242F" w:rsidRPr="00A1051A">
        <w:t>30 TAC §3.2</w:t>
      </w:r>
    </w:p>
    <w:p w14:paraId="2E91AE63" w14:textId="77777777" w:rsidR="001713D4" w:rsidRPr="00A1051A" w:rsidRDefault="001713D4" w:rsidP="002D0485">
      <w:pPr>
        <w:pStyle w:val="List-Indented"/>
      </w:pPr>
      <w:r w:rsidRPr="00A1051A">
        <w:t>General permit--</w:t>
      </w:r>
      <w:r w:rsidR="00132501" w:rsidRPr="00A1051A">
        <w:t xml:space="preserve">See </w:t>
      </w:r>
      <w:r w:rsidRPr="00A1051A">
        <w:t>Texas Water Code</w:t>
      </w:r>
      <w:r w:rsidR="0062103B" w:rsidRPr="00A1051A">
        <w:t xml:space="preserve"> (TWC)</w:t>
      </w:r>
      <w:r w:rsidR="00132501" w:rsidRPr="00A1051A">
        <w:t>, §27.02</w:t>
      </w:r>
      <w:r w:rsidR="00E36E19" w:rsidRPr="00A1051A">
        <w:t>5</w:t>
      </w:r>
      <w:r w:rsidR="00132501" w:rsidRPr="00A1051A">
        <w:t xml:space="preserve"> and </w:t>
      </w:r>
      <w:r w:rsidR="00020FC1" w:rsidRPr="00A1051A">
        <w:t>30 TAC §</w:t>
      </w:r>
      <w:r w:rsidR="00B7242F" w:rsidRPr="00A1051A">
        <w:t>331.2</w:t>
      </w:r>
    </w:p>
    <w:p w14:paraId="25DBCD14" w14:textId="77777777" w:rsidR="00C30307" w:rsidRPr="00A1051A" w:rsidRDefault="00C30307" w:rsidP="002D0485">
      <w:pPr>
        <w:pStyle w:val="List-Indented"/>
      </w:pPr>
      <w:r w:rsidRPr="00A1051A">
        <w:t>Hazardous waste--</w:t>
      </w:r>
      <w:r w:rsidR="00132501" w:rsidRPr="00A1051A">
        <w:t xml:space="preserve">See </w:t>
      </w:r>
      <w:r w:rsidR="00B7242F" w:rsidRPr="00A1051A">
        <w:t>30 TAC §335.1</w:t>
      </w:r>
    </w:p>
    <w:p w14:paraId="7C574C2F" w14:textId="77777777" w:rsidR="001713D4" w:rsidRPr="00A1051A" w:rsidRDefault="001713D4" w:rsidP="002D0485">
      <w:pPr>
        <w:pStyle w:val="List-Indented"/>
      </w:pPr>
      <w:r w:rsidRPr="00A1051A">
        <w:t>Individual permit--</w:t>
      </w:r>
      <w:r w:rsidR="00132501" w:rsidRPr="00A1051A">
        <w:t xml:space="preserve">See </w:t>
      </w:r>
      <w:r w:rsidR="00020FC1" w:rsidRPr="00A1051A">
        <w:t>30 TAC §</w:t>
      </w:r>
      <w:r w:rsidR="00B7242F" w:rsidRPr="00A1051A">
        <w:t>331.2</w:t>
      </w:r>
    </w:p>
    <w:p w14:paraId="3C1291B3" w14:textId="77777777" w:rsidR="001713D4" w:rsidRPr="00A1051A" w:rsidRDefault="00E36633" w:rsidP="002D0485">
      <w:pPr>
        <w:pStyle w:val="List-Indented"/>
      </w:pPr>
      <w:r w:rsidRPr="00A1051A">
        <w:t xml:space="preserve">Industrial </w:t>
      </w:r>
      <w:r w:rsidR="002105B7" w:rsidRPr="00A1051A">
        <w:t>s</w:t>
      </w:r>
      <w:r w:rsidRPr="00A1051A">
        <w:t xml:space="preserve">olid </w:t>
      </w:r>
      <w:r w:rsidR="002105B7" w:rsidRPr="00A1051A">
        <w:t>w</w:t>
      </w:r>
      <w:r w:rsidRPr="00A1051A">
        <w:t>aste--</w:t>
      </w:r>
      <w:r w:rsidR="00132501" w:rsidRPr="00A1051A">
        <w:t xml:space="preserve">See </w:t>
      </w:r>
      <w:r w:rsidR="00B7242F" w:rsidRPr="00A1051A">
        <w:t>THSC §361.003</w:t>
      </w:r>
    </w:p>
    <w:p w14:paraId="2F6C45C9" w14:textId="77777777" w:rsidR="00550E24" w:rsidRPr="00A1051A" w:rsidRDefault="00550E24" w:rsidP="002D0485">
      <w:pPr>
        <w:pStyle w:val="List-Indented"/>
      </w:pPr>
      <w:r w:rsidRPr="00A1051A">
        <w:t xml:space="preserve">Municipal </w:t>
      </w:r>
      <w:r w:rsidR="002105B7" w:rsidRPr="00A1051A">
        <w:t>s</w:t>
      </w:r>
      <w:r w:rsidRPr="00A1051A">
        <w:t xml:space="preserve">olid </w:t>
      </w:r>
      <w:r w:rsidR="002105B7" w:rsidRPr="00A1051A">
        <w:t>w</w:t>
      </w:r>
      <w:r w:rsidRPr="00A1051A">
        <w:t>aste--</w:t>
      </w:r>
      <w:r w:rsidR="00132501" w:rsidRPr="00A1051A">
        <w:t xml:space="preserve">See </w:t>
      </w:r>
      <w:r w:rsidR="00401DF8" w:rsidRPr="00A1051A">
        <w:t>THSC §</w:t>
      </w:r>
      <w:r w:rsidR="00B7242F" w:rsidRPr="00A1051A">
        <w:t>361.003</w:t>
      </w:r>
    </w:p>
    <w:p w14:paraId="67BE0DFA" w14:textId="77777777" w:rsidR="00CC0605" w:rsidRPr="00A1051A" w:rsidRDefault="00CC0605" w:rsidP="002D0485">
      <w:pPr>
        <w:pStyle w:val="List-Indented"/>
      </w:pPr>
      <w:r w:rsidRPr="00A1051A">
        <w:t>Naturally occurring radioactive material--See THSC §401.003</w:t>
      </w:r>
    </w:p>
    <w:p w14:paraId="012B277C" w14:textId="77777777" w:rsidR="001713D4" w:rsidRPr="00A1051A" w:rsidRDefault="001713D4" w:rsidP="002D0485">
      <w:pPr>
        <w:pStyle w:val="List-Indented"/>
      </w:pPr>
      <w:r w:rsidRPr="00A1051A">
        <w:t xml:space="preserve">Notice of </w:t>
      </w:r>
      <w:r w:rsidR="00A9705A" w:rsidRPr="00A1051A">
        <w:t>C</w:t>
      </w:r>
      <w:r w:rsidRPr="00A1051A">
        <w:t>hange (NOC)--</w:t>
      </w:r>
      <w:r w:rsidR="00132501" w:rsidRPr="00A1051A">
        <w:t xml:space="preserve">See </w:t>
      </w:r>
      <w:r w:rsidR="00020FC1" w:rsidRPr="00A1051A">
        <w:t>30 TAC §</w:t>
      </w:r>
      <w:r w:rsidR="00B7242F" w:rsidRPr="00A1051A">
        <w:t>331.2</w:t>
      </w:r>
    </w:p>
    <w:p w14:paraId="6F967698" w14:textId="77777777" w:rsidR="001713D4" w:rsidRPr="00A1051A" w:rsidRDefault="001713D4" w:rsidP="002D0485">
      <w:pPr>
        <w:pStyle w:val="List-Indented"/>
      </w:pPr>
      <w:r w:rsidRPr="00A1051A">
        <w:t xml:space="preserve">Notice of </w:t>
      </w:r>
      <w:r w:rsidR="00A9705A" w:rsidRPr="00A1051A">
        <w:t>I</w:t>
      </w:r>
      <w:r w:rsidRPr="00A1051A">
        <w:t>ntent (NOI)--</w:t>
      </w:r>
      <w:r w:rsidR="00132501" w:rsidRPr="00A1051A">
        <w:t xml:space="preserve">See </w:t>
      </w:r>
      <w:r w:rsidR="00020FC1" w:rsidRPr="00A1051A">
        <w:t>30 TAC §</w:t>
      </w:r>
      <w:r w:rsidR="00B7242F" w:rsidRPr="00A1051A">
        <w:t>331.2</w:t>
      </w:r>
    </w:p>
    <w:p w14:paraId="7A50880C" w14:textId="77777777" w:rsidR="00316C0B" w:rsidRPr="00A1051A" w:rsidRDefault="00316C0B" w:rsidP="00353741">
      <w:pPr>
        <w:pStyle w:val="List-Indented2ndLine"/>
      </w:pPr>
      <w:r w:rsidRPr="00A1051A">
        <w:t>Notice of Termination (NOT)</w:t>
      </w:r>
      <w:r w:rsidR="002078AA" w:rsidRPr="00A1051A">
        <w:t>--</w:t>
      </w:r>
      <w:r w:rsidRPr="00A1051A">
        <w:t>A written submi</w:t>
      </w:r>
      <w:r w:rsidR="002C17F0" w:rsidRPr="00A1051A">
        <w:t xml:space="preserve">ttal </w:t>
      </w:r>
      <w:r w:rsidR="00A1051A">
        <w:t xml:space="preserve">to the executive director </w:t>
      </w:r>
      <w:r w:rsidRPr="00A1051A">
        <w:t xml:space="preserve">from </w:t>
      </w:r>
      <w:r w:rsidR="00580ADF" w:rsidRPr="00A1051A">
        <w:t>an owner or operator</w:t>
      </w:r>
      <w:r w:rsidRPr="00A1051A">
        <w:t xml:space="preserve"> authorized under a general permit requesting termination of coverage under this general permit.</w:t>
      </w:r>
    </w:p>
    <w:p w14:paraId="7E803036" w14:textId="77777777" w:rsidR="00AE414D" w:rsidRPr="00A1051A" w:rsidRDefault="00AE414D" w:rsidP="002D0485">
      <w:pPr>
        <w:pStyle w:val="List-Indented"/>
      </w:pPr>
      <w:r w:rsidRPr="00A1051A">
        <w:t>Operator--</w:t>
      </w:r>
      <w:r w:rsidR="00132501" w:rsidRPr="00A1051A">
        <w:t xml:space="preserve">See </w:t>
      </w:r>
      <w:r w:rsidR="00B7242F" w:rsidRPr="00A1051A">
        <w:t>30 TAC §335.1</w:t>
      </w:r>
    </w:p>
    <w:p w14:paraId="16C69190" w14:textId="77777777" w:rsidR="00AE414D" w:rsidRPr="00A1051A" w:rsidRDefault="00AE414D" w:rsidP="002D0485">
      <w:pPr>
        <w:pStyle w:val="List-Indented"/>
      </w:pPr>
      <w:r w:rsidRPr="00A1051A">
        <w:t>Owner--</w:t>
      </w:r>
      <w:r w:rsidR="00132501" w:rsidRPr="00A1051A">
        <w:t xml:space="preserve">See </w:t>
      </w:r>
      <w:r w:rsidR="00B7242F" w:rsidRPr="00A1051A">
        <w:t>30 TAC §335.1</w:t>
      </w:r>
    </w:p>
    <w:p w14:paraId="5ACB0439" w14:textId="77777777" w:rsidR="001713D4" w:rsidRPr="00A1051A" w:rsidRDefault="001713D4" w:rsidP="002D0485">
      <w:pPr>
        <w:pStyle w:val="List-Indented"/>
      </w:pPr>
      <w:r w:rsidRPr="00A1051A">
        <w:t>Public water system--</w:t>
      </w:r>
      <w:r w:rsidR="00132501" w:rsidRPr="00A1051A">
        <w:t xml:space="preserve">See </w:t>
      </w:r>
      <w:r w:rsidR="00020FC1" w:rsidRPr="00A1051A">
        <w:t>30 TAC §</w:t>
      </w:r>
      <w:r w:rsidR="00B7242F" w:rsidRPr="00A1051A">
        <w:t>331.2</w:t>
      </w:r>
    </w:p>
    <w:p w14:paraId="396DE06A" w14:textId="77777777" w:rsidR="006E038E" w:rsidRPr="00A1051A" w:rsidRDefault="006E038E" w:rsidP="002D0485">
      <w:pPr>
        <w:pStyle w:val="List-Indented"/>
      </w:pPr>
      <w:r w:rsidRPr="00A1051A">
        <w:lastRenderedPageBreak/>
        <w:t>Radioactive substance--</w:t>
      </w:r>
      <w:r w:rsidR="00132501" w:rsidRPr="00A1051A">
        <w:t xml:space="preserve">See </w:t>
      </w:r>
      <w:r w:rsidR="00E14A25" w:rsidRPr="00A1051A">
        <w:t xml:space="preserve">THSC </w:t>
      </w:r>
      <w:r w:rsidR="00B7242F" w:rsidRPr="00A1051A">
        <w:t>§401.003</w:t>
      </w:r>
    </w:p>
    <w:p w14:paraId="474716F4" w14:textId="77777777" w:rsidR="001939B6" w:rsidRPr="00A1051A" w:rsidRDefault="001939B6" w:rsidP="002D0485">
      <w:pPr>
        <w:pStyle w:val="List-Indented"/>
      </w:pPr>
      <w:r w:rsidRPr="00A1051A">
        <w:t>Solid waste--</w:t>
      </w:r>
      <w:r w:rsidR="00B7242F" w:rsidRPr="00A1051A">
        <w:t>See 30 TAC §335.1</w:t>
      </w:r>
    </w:p>
    <w:p w14:paraId="0D485D52" w14:textId="77777777" w:rsidR="00A03A4C" w:rsidRPr="00B64B10" w:rsidRDefault="00F8283C" w:rsidP="00B64B10">
      <w:pPr>
        <w:pStyle w:val="H3TCEQ"/>
      </w:pPr>
      <w:r w:rsidRPr="00B64B10">
        <w:t xml:space="preserve">Section </w:t>
      </w:r>
      <w:r w:rsidR="002F3257" w:rsidRPr="00B64B10">
        <w:t>B</w:t>
      </w:r>
      <w:r w:rsidRPr="00B64B10">
        <w:t xml:space="preserve">.  </w:t>
      </w:r>
      <w:r w:rsidR="00A03A4C" w:rsidRPr="00B64B10">
        <w:t>Commonly Used A</w:t>
      </w:r>
      <w:r w:rsidR="00322A03" w:rsidRPr="00B64B10">
        <w:t>bbreviations, Acronyms</w:t>
      </w:r>
      <w:r w:rsidR="002115B8" w:rsidRPr="00B64B10">
        <w:t xml:space="preserve"> and Symbols</w:t>
      </w:r>
    </w:p>
    <w:p w14:paraId="2C30BBA0" w14:textId="1874CAAB" w:rsidR="009B7552" w:rsidRPr="00C35B73" w:rsidRDefault="003E7585" w:rsidP="00D27DBD">
      <w:pPr>
        <w:pStyle w:val="List"/>
      </w:pPr>
      <w:r>
        <w:t>CFR</w:t>
      </w:r>
      <w:r w:rsidR="00D27DBD">
        <w:tab/>
      </w:r>
      <w:r w:rsidR="009B7552" w:rsidRPr="00C35B73">
        <w:t>Code of Federal Regulations</w:t>
      </w:r>
    </w:p>
    <w:p w14:paraId="649AC2BD" w14:textId="1B79EE3B" w:rsidR="007F1262" w:rsidRPr="00C35B73" w:rsidRDefault="007F1262" w:rsidP="00D27DBD">
      <w:pPr>
        <w:pStyle w:val="List"/>
      </w:pPr>
      <w:r w:rsidRPr="00C35B73">
        <w:t>DWT</w:t>
      </w:r>
      <w:r w:rsidR="00C35B73">
        <w:t>R</w:t>
      </w:r>
      <w:r w:rsidR="00D27DBD">
        <w:tab/>
      </w:r>
      <w:r w:rsidRPr="00C35B73">
        <w:t>Drinking Water Treatment Residuals</w:t>
      </w:r>
    </w:p>
    <w:p w14:paraId="202DAFCB" w14:textId="2FB50EB3" w:rsidR="002D4809" w:rsidRPr="00C35B73" w:rsidRDefault="003E7585" w:rsidP="00D27DBD">
      <w:pPr>
        <w:pStyle w:val="List"/>
      </w:pPr>
      <w:r>
        <w:t>EOR</w:t>
      </w:r>
      <w:r w:rsidR="00D27DBD">
        <w:tab/>
      </w:r>
      <w:r w:rsidR="002D4809" w:rsidRPr="00C35B73">
        <w:t>Enhanced Oil Recovery</w:t>
      </w:r>
    </w:p>
    <w:p w14:paraId="13BDBE23" w14:textId="5001A485" w:rsidR="00E52EE0" w:rsidRPr="00C35B73" w:rsidRDefault="003E7585" w:rsidP="00D27DBD">
      <w:pPr>
        <w:pStyle w:val="List"/>
      </w:pPr>
      <w:r>
        <w:t>EPA</w:t>
      </w:r>
      <w:r w:rsidR="00D27DBD">
        <w:tab/>
      </w:r>
      <w:r w:rsidR="00E52EE0" w:rsidRPr="00C35B73">
        <w:t>United States Environmental Protection Agency</w:t>
      </w:r>
    </w:p>
    <w:p w14:paraId="713411D0" w14:textId="6A1164B2" w:rsidR="00A03A4C" w:rsidRPr="00C35B73" w:rsidRDefault="003E7585" w:rsidP="00D27DBD">
      <w:pPr>
        <w:pStyle w:val="List"/>
      </w:pPr>
      <w:r>
        <w:t>NOC</w:t>
      </w:r>
      <w:r w:rsidR="00D27DBD">
        <w:tab/>
      </w:r>
      <w:r w:rsidR="00A03A4C" w:rsidRPr="00C35B73">
        <w:t>Notice of Change</w:t>
      </w:r>
    </w:p>
    <w:p w14:paraId="759C553D" w14:textId="3850ED76" w:rsidR="00A03A4C" w:rsidRPr="00C35B73" w:rsidRDefault="003E7585" w:rsidP="00D27DBD">
      <w:pPr>
        <w:pStyle w:val="List"/>
      </w:pPr>
      <w:r>
        <w:t>NOI</w:t>
      </w:r>
      <w:r w:rsidR="00D27DBD">
        <w:tab/>
      </w:r>
      <w:r w:rsidR="00A03A4C" w:rsidRPr="00C35B73">
        <w:t>Notice of Intent</w:t>
      </w:r>
    </w:p>
    <w:p w14:paraId="097F0EF5" w14:textId="13B297D2" w:rsidR="007F1262" w:rsidRPr="00C35B73" w:rsidRDefault="00C35B73" w:rsidP="00D27DBD">
      <w:pPr>
        <w:pStyle w:val="List"/>
      </w:pPr>
      <w:r>
        <w:t>NORM</w:t>
      </w:r>
      <w:r w:rsidR="00D27DBD">
        <w:tab/>
      </w:r>
      <w:r w:rsidR="007F1262" w:rsidRPr="00C35B73">
        <w:t>Naturally Occurring Radioactive Material</w:t>
      </w:r>
    </w:p>
    <w:p w14:paraId="6A6D81FA" w14:textId="4576FF7F" w:rsidR="00A03A4C" w:rsidRPr="00C35B73" w:rsidRDefault="00C35B73" w:rsidP="00D27DBD">
      <w:pPr>
        <w:pStyle w:val="List"/>
      </w:pPr>
      <w:r>
        <w:t>NOT</w:t>
      </w:r>
      <w:r w:rsidR="00D27DBD">
        <w:tab/>
      </w:r>
      <w:r w:rsidR="00A03A4C" w:rsidRPr="00C35B73">
        <w:t>Notice of Termination (to terminate co</w:t>
      </w:r>
      <w:r w:rsidR="003E7585">
        <w:t xml:space="preserve">verage under </w:t>
      </w:r>
      <w:r w:rsidR="00A03A4C" w:rsidRPr="00C35B73">
        <w:t>general permit)</w:t>
      </w:r>
    </w:p>
    <w:p w14:paraId="06203DC6" w14:textId="01348B6C" w:rsidR="000A5ADF" w:rsidRPr="00C863ED" w:rsidRDefault="003E7585" w:rsidP="00D27DBD">
      <w:pPr>
        <w:pStyle w:val="List"/>
      </w:pPr>
      <w:r>
        <w:t>TAC</w:t>
      </w:r>
      <w:r w:rsidR="00D27DBD">
        <w:tab/>
      </w:r>
      <w:r w:rsidR="000A5ADF" w:rsidRPr="00C863ED">
        <w:t>Texas Administrative Code</w:t>
      </w:r>
    </w:p>
    <w:p w14:paraId="1DEE8244" w14:textId="57D5715E" w:rsidR="000A5ADF" w:rsidRPr="00C863ED" w:rsidRDefault="003E7585" w:rsidP="00D27DBD">
      <w:pPr>
        <w:pStyle w:val="List"/>
      </w:pPr>
      <w:r>
        <w:t>TCEQ</w:t>
      </w:r>
      <w:r w:rsidR="00D27DBD">
        <w:tab/>
      </w:r>
      <w:r w:rsidR="000A5ADF" w:rsidRPr="00C863ED">
        <w:t>Texas Commission on Environmental Quality</w:t>
      </w:r>
    </w:p>
    <w:p w14:paraId="62081A0E" w14:textId="326B19C3" w:rsidR="006C41B4" w:rsidRPr="00C863ED" w:rsidRDefault="003E7585" w:rsidP="00D27DBD">
      <w:pPr>
        <w:pStyle w:val="List"/>
      </w:pPr>
      <w:r>
        <w:t>THSC</w:t>
      </w:r>
      <w:r w:rsidR="00D27DBD">
        <w:tab/>
      </w:r>
      <w:r w:rsidR="006C41B4" w:rsidRPr="00C863ED">
        <w:t>Texas Health and Safety Code</w:t>
      </w:r>
    </w:p>
    <w:p w14:paraId="6BDC837E" w14:textId="54B9C7DA" w:rsidR="000A5ADF" w:rsidRPr="00C863ED" w:rsidRDefault="003E7585" w:rsidP="00D27DBD">
      <w:pPr>
        <w:pStyle w:val="List"/>
      </w:pPr>
      <w:r>
        <w:t>TWC</w:t>
      </w:r>
      <w:r w:rsidR="000A5ADF" w:rsidRPr="00C863ED">
        <w:t>T</w:t>
      </w:r>
      <w:r w:rsidR="00D27DBD">
        <w:tab/>
      </w:r>
      <w:r w:rsidR="002F1524">
        <w:t>T</w:t>
      </w:r>
      <w:r w:rsidR="000A5ADF" w:rsidRPr="00C863ED">
        <w:t>exas Water Code</w:t>
      </w:r>
    </w:p>
    <w:p w14:paraId="05AD7502" w14:textId="05B59AC0" w:rsidR="00920779" w:rsidRPr="00C863ED" w:rsidRDefault="003E7585" w:rsidP="00D27DBD">
      <w:pPr>
        <w:pStyle w:val="List"/>
      </w:pPr>
      <w:r>
        <w:t>UIC</w:t>
      </w:r>
      <w:r w:rsidR="00D27DBD">
        <w:tab/>
      </w:r>
      <w:r w:rsidR="00920779" w:rsidRPr="00C863ED">
        <w:t>Underground Injection Control</w:t>
      </w:r>
    </w:p>
    <w:p w14:paraId="6A6E877E" w14:textId="22FE6BAD" w:rsidR="00F27B64" w:rsidRPr="00C863ED" w:rsidRDefault="003E7585" w:rsidP="00D27DBD">
      <w:pPr>
        <w:pStyle w:val="List"/>
      </w:pPr>
      <w:r>
        <w:t>USDW</w:t>
      </w:r>
      <w:r w:rsidR="00D27DBD">
        <w:tab/>
      </w:r>
      <w:r w:rsidR="00F27B64" w:rsidRPr="00C863ED">
        <w:t>Underground Source of Drinking Water</w:t>
      </w:r>
    </w:p>
    <w:p w14:paraId="2D50EEB3" w14:textId="1D6C01B6" w:rsidR="002115B8" w:rsidRPr="00C863ED" w:rsidRDefault="003E7585" w:rsidP="00D27DBD">
      <w:pPr>
        <w:pStyle w:val="List"/>
      </w:pPr>
      <w:r>
        <w:t>§</w:t>
      </w:r>
      <w:r w:rsidR="00D27DBD">
        <w:tab/>
      </w:r>
      <w:r w:rsidR="002115B8" w:rsidRPr="00C863ED">
        <w:t>Section</w:t>
      </w:r>
    </w:p>
    <w:p w14:paraId="14E22185" w14:textId="538A5698" w:rsidR="002115B8" w:rsidRPr="00C863ED" w:rsidRDefault="003E7585" w:rsidP="00D27DBD">
      <w:pPr>
        <w:pStyle w:val="List"/>
      </w:pPr>
      <w:r>
        <w:t>§§</w:t>
      </w:r>
      <w:r w:rsidR="00D27DBD">
        <w:tab/>
      </w:r>
      <w:r w:rsidR="002115B8" w:rsidRPr="00C863ED">
        <w:t>Sections</w:t>
      </w:r>
    </w:p>
    <w:p w14:paraId="422CB2A6" w14:textId="77777777" w:rsidR="00B85C4E" w:rsidRPr="00B64B10" w:rsidRDefault="00B85C4E" w:rsidP="00B64B10">
      <w:pPr>
        <w:pStyle w:val="H2TCEQ"/>
      </w:pPr>
      <w:r w:rsidRPr="00B64B10">
        <w:t>Part II.  Permit Applicability and Coverage</w:t>
      </w:r>
    </w:p>
    <w:p w14:paraId="47CE6125" w14:textId="77777777" w:rsidR="00FF021B" w:rsidRPr="0097213E" w:rsidRDefault="00FF021B" w:rsidP="008C66C5">
      <w:pPr>
        <w:pStyle w:val="ListParagraph"/>
      </w:pPr>
      <w:r w:rsidRPr="0097213E">
        <w:t xml:space="preserve">This general permit provides authorization for use of a Class I injection well to inject </w:t>
      </w:r>
      <w:r w:rsidRPr="00357DBC">
        <w:t>nonhazardous brine from a desalination operation or nonhazardous drinking water treatm</w:t>
      </w:r>
      <w:r w:rsidR="008873CF" w:rsidRPr="00357DBC">
        <w:t xml:space="preserve">ent residuals.  </w:t>
      </w:r>
      <w:r w:rsidR="00685735" w:rsidRPr="00357DBC">
        <w:t xml:space="preserve">This includes disposal of nonhazardous drinking water treatment residuals that contain naturally occurring radioactive material into a salt cavern in horizontally bedded or non-domal salt.  </w:t>
      </w:r>
      <w:r w:rsidR="00E37198" w:rsidRPr="00357DBC">
        <w:t>The terms "nonhazardou</w:t>
      </w:r>
      <w:r w:rsidR="001233B3" w:rsidRPr="00357DBC">
        <w:t xml:space="preserve">s" and "hazardous" </w:t>
      </w:r>
      <w:r w:rsidR="00E37198" w:rsidRPr="00357DBC">
        <w:t xml:space="preserve">in this general permit </w:t>
      </w:r>
      <w:r w:rsidR="001233B3" w:rsidRPr="00357DBC">
        <w:t>are used</w:t>
      </w:r>
      <w:r w:rsidR="00E37198" w:rsidRPr="00357DBC">
        <w:t xml:space="preserve"> in the context of</w:t>
      </w:r>
      <w:r w:rsidR="00E37198" w:rsidRPr="0097213E">
        <w:t xml:space="preserve"> solid waste as defined in </w:t>
      </w:r>
      <w:r w:rsidR="00506D1A" w:rsidRPr="0097213E">
        <w:t>30 TAC §335.</w:t>
      </w:r>
      <w:r w:rsidR="00860B2A" w:rsidRPr="0097213E">
        <w:t>1</w:t>
      </w:r>
      <w:r w:rsidR="00E37198" w:rsidRPr="0097213E">
        <w:t xml:space="preserve">.  </w:t>
      </w:r>
      <w:r w:rsidRPr="0097213E">
        <w:t>Th</w:t>
      </w:r>
      <w:r w:rsidR="00433FB5" w:rsidRPr="0097213E">
        <w:t>is</w:t>
      </w:r>
      <w:r w:rsidRPr="0097213E">
        <w:t xml:space="preserve"> general permit contains requirements applicable to all Class I wells that are eligible </w:t>
      </w:r>
      <w:r w:rsidR="00433FB5" w:rsidRPr="0097213E">
        <w:t>for coverage under the</w:t>
      </w:r>
      <w:r w:rsidR="003E7585">
        <w:t xml:space="preserve"> general permit.</w:t>
      </w:r>
    </w:p>
    <w:p w14:paraId="5371B649" w14:textId="77777777" w:rsidR="00B67338" w:rsidRPr="007A1FC7" w:rsidRDefault="00F8283C" w:rsidP="00B64B10">
      <w:pPr>
        <w:pStyle w:val="H3TCEQ"/>
      </w:pPr>
      <w:r w:rsidRPr="007A1FC7">
        <w:t xml:space="preserve">Section </w:t>
      </w:r>
      <w:r w:rsidR="00AD28D7" w:rsidRPr="007A1FC7">
        <w:t>A</w:t>
      </w:r>
      <w:r w:rsidRPr="007A1FC7">
        <w:t>.  W</w:t>
      </w:r>
      <w:r w:rsidR="00792935" w:rsidRPr="007A1FC7">
        <w:t xml:space="preserve">aste </w:t>
      </w:r>
      <w:r w:rsidR="00021D30" w:rsidRPr="007A1FC7">
        <w:t>E</w:t>
      </w:r>
      <w:r w:rsidR="00792935" w:rsidRPr="007A1FC7">
        <w:t xml:space="preserve">ligible to be Injected </w:t>
      </w:r>
      <w:r w:rsidR="00663905" w:rsidRPr="007A1FC7">
        <w:t>under</w:t>
      </w:r>
      <w:r w:rsidR="00792935" w:rsidRPr="007A1FC7">
        <w:t xml:space="preserve"> the Ge</w:t>
      </w:r>
      <w:r w:rsidR="003F0E95" w:rsidRPr="007A1FC7">
        <w:t>neral Permit</w:t>
      </w:r>
    </w:p>
    <w:p w14:paraId="4C6AF34C" w14:textId="77777777" w:rsidR="00F43DE9" w:rsidRPr="00DE41D4" w:rsidRDefault="00A35885" w:rsidP="00DE41D4">
      <w:pPr>
        <w:pStyle w:val="BodyTextIndent"/>
      </w:pPr>
      <w:r w:rsidRPr="00DE41D4">
        <w:t xml:space="preserve">Only nonhazardous </w:t>
      </w:r>
      <w:r w:rsidR="009828C8" w:rsidRPr="00DE41D4">
        <w:t>brine from a desalination operation</w:t>
      </w:r>
      <w:r w:rsidR="00EE4424" w:rsidRPr="00DE41D4">
        <w:t xml:space="preserve"> </w:t>
      </w:r>
      <w:r w:rsidRPr="00DE41D4">
        <w:t>or nonhazardous drinking water treatment residual</w:t>
      </w:r>
      <w:r w:rsidR="00C80AAA" w:rsidRPr="00DE41D4">
        <w:t>s not listed under paragraph B.</w:t>
      </w:r>
      <w:r w:rsidRPr="00DE41D4">
        <w:t xml:space="preserve">2. below, </w:t>
      </w:r>
      <w:r w:rsidRPr="00DE41D4">
        <w:lastRenderedPageBreak/>
        <w:t>may qualify for disposal into a Class I well under the general permit.</w:t>
      </w:r>
      <w:r w:rsidR="00F50EF5" w:rsidRPr="00DE41D4">
        <w:t xml:space="preserve"> </w:t>
      </w:r>
      <w:r w:rsidR="00ED413D">
        <w:t xml:space="preserve"> </w:t>
      </w:r>
      <w:r w:rsidR="00F96399" w:rsidRPr="00DE41D4">
        <w:t>T</w:t>
      </w:r>
      <w:r w:rsidR="007316FB" w:rsidRPr="00DE41D4">
        <w:t xml:space="preserve">o be classified as nonhazardous, the </w:t>
      </w:r>
      <w:r w:rsidR="00F96399" w:rsidRPr="00DE41D4">
        <w:t>waste</w:t>
      </w:r>
      <w:r w:rsidR="007316FB" w:rsidRPr="00DE41D4">
        <w:t xml:space="preserve"> must not meet any of the criteria for hazardous waste as specified in 40 Code of Federal Regulations (CFR) Part 261 (relating to Identification and Listing of Hazardous Waste) and 30 TAC Chapter 335 Subchapter R (relating to Waste Classification).  If the waste is not classified as hazardous according to state and federal rules, </w:t>
      </w:r>
      <w:r w:rsidR="00EA3FCF" w:rsidRPr="00DE41D4">
        <w:t>it is considered nonhazardous.</w:t>
      </w:r>
    </w:p>
    <w:p w14:paraId="3E049036" w14:textId="77777777" w:rsidR="00C51EFC" w:rsidRPr="007A1FC7" w:rsidRDefault="00BC7374" w:rsidP="00B64B10">
      <w:pPr>
        <w:pStyle w:val="H3TCEQ"/>
      </w:pPr>
      <w:r w:rsidRPr="00B64B10">
        <w:t>Section</w:t>
      </w:r>
      <w:r w:rsidRPr="007A1FC7">
        <w:t xml:space="preserve"> </w:t>
      </w:r>
      <w:r w:rsidR="00AD28D7" w:rsidRPr="007A1FC7">
        <w:t>B</w:t>
      </w:r>
      <w:r w:rsidRPr="007A1FC7">
        <w:t xml:space="preserve">.  </w:t>
      </w:r>
      <w:r w:rsidR="00EE679D" w:rsidRPr="007A1FC7">
        <w:t>Limitations on Cov</w:t>
      </w:r>
      <w:r w:rsidR="007E39C8" w:rsidRPr="007A1FC7">
        <w:t>erage</w:t>
      </w:r>
    </w:p>
    <w:p w14:paraId="501D4D25" w14:textId="77777777" w:rsidR="00760EE9" w:rsidRPr="00330D34" w:rsidRDefault="003D48FB" w:rsidP="00330D34">
      <w:pPr>
        <w:pStyle w:val="List-arabicnumbers"/>
        <w:rPr>
          <w:szCs w:val="22"/>
        </w:rPr>
      </w:pPr>
      <w:r w:rsidRPr="00330D34">
        <w:rPr>
          <w:szCs w:val="22"/>
        </w:rPr>
        <w:t>Waste injection is</w:t>
      </w:r>
      <w:r w:rsidR="00760EE9" w:rsidRPr="00330D34">
        <w:rPr>
          <w:szCs w:val="22"/>
        </w:rPr>
        <w:t xml:space="preserve"> not eligible for authorization </w:t>
      </w:r>
      <w:r w:rsidR="003E7585" w:rsidRPr="00330D34">
        <w:t xml:space="preserve">under this general permit </w:t>
      </w:r>
      <w:proofErr w:type="gramStart"/>
      <w:r w:rsidR="003E7585" w:rsidRPr="00330D34">
        <w:t>where</w:t>
      </w:r>
      <w:proofErr w:type="gramEnd"/>
      <w:r w:rsidR="003E7585" w:rsidRPr="00330D34">
        <w:t xml:space="preserve"> </w:t>
      </w:r>
      <w:r w:rsidR="00760EE9" w:rsidRPr="00330D34">
        <w:rPr>
          <w:szCs w:val="22"/>
        </w:rPr>
        <w:t>prohibited by any other applicable rules or laws.</w:t>
      </w:r>
    </w:p>
    <w:p w14:paraId="0F256301" w14:textId="77777777" w:rsidR="00247062" w:rsidRPr="00330D34" w:rsidRDefault="009F03F1" w:rsidP="00330D34">
      <w:pPr>
        <w:pStyle w:val="List-arabicnumbers"/>
        <w:rPr>
          <w:szCs w:val="22"/>
        </w:rPr>
      </w:pPr>
      <w:r w:rsidRPr="00330D34">
        <w:rPr>
          <w:szCs w:val="22"/>
        </w:rPr>
        <w:t xml:space="preserve">Waste streams </w:t>
      </w:r>
      <w:r w:rsidR="00247062" w:rsidRPr="00330D34">
        <w:rPr>
          <w:szCs w:val="22"/>
        </w:rPr>
        <w:t>prohibited</w:t>
      </w:r>
      <w:r w:rsidR="002C65A5" w:rsidRPr="00330D34">
        <w:rPr>
          <w:szCs w:val="22"/>
        </w:rPr>
        <w:t xml:space="preserve"> from injection</w:t>
      </w:r>
      <w:r w:rsidR="007E39C8" w:rsidRPr="00330D34">
        <w:rPr>
          <w:szCs w:val="22"/>
        </w:rPr>
        <w:t xml:space="preserve"> under the general permit</w:t>
      </w:r>
      <w:r w:rsidRPr="00330D34">
        <w:rPr>
          <w:szCs w:val="22"/>
        </w:rPr>
        <w:t xml:space="preserve"> include, but are not limited to</w:t>
      </w:r>
      <w:r w:rsidR="00247062" w:rsidRPr="00330D34">
        <w:rPr>
          <w:szCs w:val="22"/>
        </w:rPr>
        <w:t>:</w:t>
      </w:r>
    </w:p>
    <w:p w14:paraId="2853D9AF" w14:textId="77777777" w:rsidR="004A1C5A" w:rsidRPr="000263E9" w:rsidRDefault="004A1C5A" w:rsidP="000263E9">
      <w:pPr>
        <w:pStyle w:val="List-LowerCaseAlpha"/>
      </w:pPr>
      <w:r w:rsidRPr="000263E9">
        <w:t xml:space="preserve">waste streams other than nonhazardous </w:t>
      </w:r>
      <w:r w:rsidR="009828C8" w:rsidRPr="000263E9">
        <w:t>brine from a desalination operation</w:t>
      </w:r>
      <w:r w:rsidR="00911FF0" w:rsidRPr="000263E9">
        <w:t xml:space="preserve"> </w:t>
      </w:r>
      <w:r w:rsidRPr="000263E9">
        <w:t>or nonhazardous drinking water treatment residuals;</w:t>
      </w:r>
    </w:p>
    <w:p w14:paraId="33D2CA85" w14:textId="77777777" w:rsidR="004A1C5A" w:rsidRPr="00330D34" w:rsidRDefault="004A1C5A" w:rsidP="000263E9">
      <w:pPr>
        <w:pStyle w:val="List-LowerCaseAlpha"/>
      </w:pPr>
      <w:r w:rsidRPr="00330D34">
        <w:t>wastes prohibited from injection in 40 CFR Part 148, Subpart B</w:t>
      </w:r>
      <w:r w:rsidR="00AC5A5E" w:rsidRPr="00330D34">
        <w:t xml:space="preserve"> (relating to Prohibitions on Injection)</w:t>
      </w:r>
      <w:r w:rsidRPr="00330D34">
        <w:t>;</w:t>
      </w:r>
    </w:p>
    <w:p w14:paraId="38B00FC8" w14:textId="77777777" w:rsidR="004A1C5A" w:rsidRPr="00330D34" w:rsidRDefault="004A1C5A" w:rsidP="000263E9">
      <w:pPr>
        <w:pStyle w:val="List-LowerCaseAlpha"/>
      </w:pPr>
      <w:r w:rsidRPr="00330D34">
        <w:t xml:space="preserve">hazardous wastes as defined under 40 CFR §261.3(a) through (d), issued pursuant to the Resource Conservation and Recovery Act and the Hazardous and Solid Waste Amendments, which are regulated by the commission as authorized by the United States Environmental Protection Agency (EPA), including but not limited to any listed hazardous waste or a waste derived from the treatment, storage or disposal of a listed hazardous </w:t>
      </w:r>
      <w:proofErr w:type="gramStart"/>
      <w:r w:rsidRPr="00330D34">
        <w:t>waste;</w:t>
      </w:r>
      <w:proofErr w:type="gramEnd"/>
    </w:p>
    <w:p w14:paraId="555A3FBA" w14:textId="77777777" w:rsidR="009679B1" w:rsidRPr="00330D34" w:rsidRDefault="009679B1" w:rsidP="000263E9">
      <w:pPr>
        <w:pStyle w:val="List-LowerCaseAlpha"/>
      </w:pPr>
      <w:r w:rsidRPr="00330D34">
        <w:t>radioactive substances, as defined by Texas Health and Safety Code (THSC) §401.003(19), except for</w:t>
      </w:r>
      <w:r w:rsidR="00193319">
        <w:t xml:space="preserve"> drinking water treatment residuals containing NORM or</w:t>
      </w:r>
      <w:r w:rsidRPr="00330D34">
        <w:t xml:space="preserve"> radioactive substances that are exempt by rule </w:t>
      </w:r>
      <w:r w:rsidR="0070163D" w:rsidRPr="00330D34">
        <w:t xml:space="preserve">from </w:t>
      </w:r>
      <w:r w:rsidRPr="00330D34">
        <w:t xml:space="preserve">requirements as provided </w:t>
      </w:r>
      <w:r w:rsidR="0070163D" w:rsidRPr="00330D34">
        <w:t xml:space="preserve">under </w:t>
      </w:r>
      <w:r w:rsidRPr="00330D34">
        <w:t>THSC §401.106(a).  Specific radioactive materials prohibited from injection include, but are not limited to:</w:t>
      </w:r>
    </w:p>
    <w:p w14:paraId="024B94C5" w14:textId="77777777" w:rsidR="009679B1" w:rsidRPr="0097213E" w:rsidRDefault="009679B1" w:rsidP="003125E8">
      <w:pPr>
        <w:pStyle w:val="List-LowerCasei"/>
      </w:pPr>
      <w:r w:rsidRPr="0097213E">
        <w:t>any by-product material as defined by THSC §401.003(3);</w:t>
      </w:r>
    </w:p>
    <w:p w14:paraId="28970702" w14:textId="77777777" w:rsidR="009679B1" w:rsidRPr="0097213E" w:rsidRDefault="009679B1" w:rsidP="003125E8">
      <w:pPr>
        <w:pStyle w:val="List-LowerCasei"/>
      </w:pPr>
      <w:r w:rsidRPr="0097213E">
        <w:t>any low-level radioactive waste as defined by THSC §401.004;</w:t>
      </w:r>
    </w:p>
    <w:p w14:paraId="44F4AF78" w14:textId="77777777" w:rsidR="009679B1" w:rsidRPr="0097213E" w:rsidRDefault="009679B1" w:rsidP="003125E8">
      <w:pPr>
        <w:pStyle w:val="List-LowerCasei"/>
      </w:pPr>
      <w:r w:rsidRPr="0097213E">
        <w:t>any oil and gas NORM waste as defined by THSC §401.003(27);</w:t>
      </w:r>
    </w:p>
    <w:p w14:paraId="79FC73F8" w14:textId="77777777" w:rsidR="009679B1" w:rsidRPr="0097213E" w:rsidRDefault="009679B1" w:rsidP="003125E8">
      <w:pPr>
        <w:pStyle w:val="List-LowerCasei"/>
      </w:pPr>
      <w:r w:rsidRPr="0097213E">
        <w:t>any special nuclear material as defined by THSC §401.003(24)</w:t>
      </w:r>
      <w:r w:rsidR="008A6EF2" w:rsidRPr="0097213E">
        <w:t>; and</w:t>
      </w:r>
    </w:p>
    <w:p w14:paraId="64F9E814" w14:textId="1659BDAC" w:rsidR="008A6EF2" w:rsidRPr="003D651F" w:rsidRDefault="008A6EF2" w:rsidP="000263E9">
      <w:pPr>
        <w:pStyle w:val="List-LowerCaseAlpha"/>
      </w:pPr>
      <w:r w:rsidRPr="0097213E">
        <w:t xml:space="preserve">waste streams associated with the exploration, development, or production of oil, gas and geothermal resources, and other wastes </w:t>
      </w:r>
      <w:r w:rsidRPr="003D651F">
        <w:t>regulated by the Railroad Commission of Texas</w:t>
      </w:r>
      <w:r w:rsidR="00AE4D37">
        <w:t>.</w:t>
      </w:r>
    </w:p>
    <w:p w14:paraId="62493230" w14:textId="77777777" w:rsidR="00B42301" w:rsidRPr="0097213E" w:rsidRDefault="009A438C" w:rsidP="004F5E05">
      <w:pPr>
        <w:pStyle w:val="List-arabicnumbers"/>
      </w:pPr>
      <w:r w:rsidRPr="0097213E">
        <w:lastRenderedPageBreak/>
        <w:t xml:space="preserve">An applicant seeking a permit, or </w:t>
      </w:r>
      <w:r w:rsidR="00580ADF" w:rsidRPr="0097213E">
        <w:t>an owner or operator</w:t>
      </w:r>
      <w:r w:rsidRPr="0097213E">
        <w:t xml:space="preserve"> with a Class I injection well authorized under a general permit, that re</w:t>
      </w:r>
      <w:r w:rsidR="00BC32A6" w:rsidRPr="0097213E">
        <w:t xml:space="preserve">quests injection of any of the </w:t>
      </w:r>
      <w:r w:rsidRPr="0097213E">
        <w:t xml:space="preserve">wastes </w:t>
      </w:r>
      <w:r w:rsidR="00BC32A6" w:rsidRPr="0097213E">
        <w:t xml:space="preserve">listed in Section B of this Part must </w:t>
      </w:r>
      <w:r w:rsidRPr="0097213E">
        <w:t>seek authorization under 30 TAC</w:t>
      </w:r>
      <w:r w:rsidR="00C61C69" w:rsidRPr="0097213E">
        <w:t xml:space="preserve"> Chapter</w:t>
      </w:r>
      <w:r w:rsidRPr="0097213E">
        <w:t xml:space="preserve"> 331 for an individual Underground Injection Control (UIC) permit</w:t>
      </w:r>
      <w:r w:rsidR="00B56204" w:rsidRPr="0097213E">
        <w:t>, or authorization under the jurisdiction of the Railroad Commission of Texas,</w:t>
      </w:r>
      <w:r w:rsidR="00347561" w:rsidRPr="0097213E">
        <w:t xml:space="preserve"> and not under this general permit</w:t>
      </w:r>
      <w:r w:rsidR="00071CEC" w:rsidRPr="0097213E">
        <w:t>.</w:t>
      </w:r>
    </w:p>
    <w:p w14:paraId="2D173CFF" w14:textId="77777777" w:rsidR="00B42301" w:rsidRPr="0097213E" w:rsidRDefault="00B853F2" w:rsidP="004F5E05">
      <w:pPr>
        <w:pStyle w:val="List-arabicnumbers"/>
      </w:pPr>
      <w:r w:rsidRPr="0097213E">
        <w:rPr>
          <w:bCs/>
        </w:rPr>
        <w:t xml:space="preserve">This general permit does not authorize the use of nonhazardous </w:t>
      </w:r>
      <w:r w:rsidR="00911FF0" w:rsidRPr="0097213E">
        <w:rPr>
          <w:bCs/>
        </w:rPr>
        <w:t>brine from a desalination operation</w:t>
      </w:r>
      <w:r w:rsidRPr="0097213E">
        <w:rPr>
          <w:bCs/>
        </w:rPr>
        <w:t xml:space="preserve"> or nonhazardous drinking water treatment residuals as an injection fluid for enhanced</w:t>
      </w:r>
      <w:r w:rsidR="00057E73" w:rsidRPr="0097213E">
        <w:rPr>
          <w:bCs/>
        </w:rPr>
        <w:t xml:space="preserve"> </w:t>
      </w:r>
      <w:r w:rsidRPr="0097213E">
        <w:rPr>
          <w:bCs/>
        </w:rPr>
        <w:t>recovery purposes.  Th</w:t>
      </w:r>
      <w:r w:rsidR="00D93C8D" w:rsidRPr="0097213E">
        <w:rPr>
          <w:bCs/>
        </w:rPr>
        <w:t>at</w:t>
      </w:r>
      <w:r w:rsidRPr="0097213E">
        <w:rPr>
          <w:bCs/>
        </w:rPr>
        <w:t xml:space="preserve"> activity is regulated by the Railroad Commission of Texas.</w:t>
      </w:r>
    </w:p>
    <w:p w14:paraId="6F8BC924" w14:textId="77777777" w:rsidR="00FE14DC" w:rsidRPr="0097213E" w:rsidRDefault="00CC0DCD" w:rsidP="004F5E05">
      <w:pPr>
        <w:pStyle w:val="List-arabicnumbers"/>
      </w:pPr>
      <w:r w:rsidRPr="0097213E">
        <w:t xml:space="preserve">The executive director may cancel, revoke, or suspend authorization to </w:t>
      </w:r>
      <w:r w:rsidR="008C51DB" w:rsidRPr="0097213E">
        <w:t>inject waste</w:t>
      </w:r>
      <w:r w:rsidRPr="0097213E">
        <w:t xml:space="preserve"> under this general permit based on a finding of historical and significant noncompliance with the provisions of this general permit.  Denial of authorization to </w:t>
      </w:r>
      <w:r w:rsidR="0042433E" w:rsidRPr="0097213E">
        <w:t>dispose of waste in a Class I well</w:t>
      </w:r>
      <w:r w:rsidRPr="0097213E">
        <w:t xml:space="preserve"> under this general permit or suspension of </w:t>
      </w:r>
      <w:r w:rsidR="00580ADF" w:rsidRPr="0097213E">
        <w:t>an owner or operator</w:t>
      </w:r>
      <w:r w:rsidRPr="0097213E">
        <w:t xml:space="preserve">’s authorization under this general permit shall be done according to commission rules in 30 TAC Chapter </w:t>
      </w:r>
      <w:r w:rsidR="00846544" w:rsidRPr="0097213E">
        <w:t>331 Subchapter L</w:t>
      </w:r>
      <w:r w:rsidRPr="0097213E">
        <w:t xml:space="preserve"> (relating to </w:t>
      </w:r>
      <w:r w:rsidR="00846544" w:rsidRPr="0097213E">
        <w:t>General Permit Authorizing Use of a Class I Injection Well to Inject Nonhazardous Desalination Concentrate or Nonhazardous Drinking Water Treatment Residuals).</w:t>
      </w:r>
      <w:r w:rsidR="00764214" w:rsidRPr="0097213E">
        <w:t xml:space="preserve"> </w:t>
      </w:r>
    </w:p>
    <w:p w14:paraId="60B0675B" w14:textId="77777777" w:rsidR="00291127" w:rsidRPr="007A1FC7" w:rsidRDefault="002D7C6B" w:rsidP="00B64B10">
      <w:pPr>
        <w:pStyle w:val="H3TCEQ"/>
      </w:pPr>
      <w:r w:rsidRPr="00B64B10">
        <w:t>Section</w:t>
      </w:r>
      <w:r w:rsidRPr="007A1FC7">
        <w:t xml:space="preserve"> </w:t>
      </w:r>
      <w:r w:rsidR="00AD28D7" w:rsidRPr="007A1FC7">
        <w:t>C</w:t>
      </w:r>
      <w:r w:rsidRPr="007A1FC7">
        <w:t xml:space="preserve">.  </w:t>
      </w:r>
      <w:r w:rsidR="00291127" w:rsidRPr="007A1FC7">
        <w:t>Obtaining Authorization</w:t>
      </w:r>
    </w:p>
    <w:p w14:paraId="6A7A02DF" w14:textId="77777777" w:rsidR="00F93727" w:rsidRPr="0097213E" w:rsidRDefault="00A82C6E" w:rsidP="00BA1936">
      <w:pPr>
        <w:pStyle w:val="List-arabicnumbers"/>
        <w:numPr>
          <w:ilvl w:val="0"/>
          <w:numId w:val="6"/>
        </w:numPr>
        <w:tabs>
          <w:tab w:val="left" w:pos="720"/>
        </w:tabs>
        <w:ind w:left="720"/>
      </w:pPr>
      <w:r w:rsidRPr="0097213E">
        <w:t>Submission of a Notice of Intent (NOI) is an acknowledgment that the conditions of this general permit are applicable to the proposed waste injection, and that the applicant agrees to comply with the conditions of this general permit.</w:t>
      </w:r>
    </w:p>
    <w:p w14:paraId="65CD05AB" w14:textId="21870F01" w:rsidR="00007C24" w:rsidRPr="0097213E" w:rsidRDefault="00F93727" w:rsidP="00404716">
      <w:pPr>
        <w:pStyle w:val="List-arabicnumbers"/>
      </w:pPr>
      <w:r w:rsidRPr="0097213E">
        <w:t>Fo</w:t>
      </w:r>
      <w:r w:rsidR="00C50263" w:rsidRPr="0097213E">
        <w:t xml:space="preserve">r all </w:t>
      </w:r>
      <w:r w:rsidRPr="0097213E">
        <w:t xml:space="preserve">wells, </w:t>
      </w:r>
      <w:r w:rsidR="00007C24" w:rsidRPr="0097213E">
        <w:t>authorization</w:t>
      </w:r>
      <w:r w:rsidRPr="0097213E">
        <w:t xml:space="preserve"> begins upon </w:t>
      </w:r>
      <w:r w:rsidR="00007C24" w:rsidRPr="0097213E">
        <w:t>issuance by the TCEQ of</w:t>
      </w:r>
      <w:r w:rsidR="00562AC9" w:rsidRPr="0097213E">
        <w:t xml:space="preserve"> </w:t>
      </w:r>
      <w:r w:rsidR="008C6DC8" w:rsidRPr="0097213E">
        <w:t xml:space="preserve">written </w:t>
      </w:r>
      <w:r w:rsidR="00146D1B" w:rsidRPr="0097213E">
        <w:t>acknowledgment</w:t>
      </w:r>
      <w:r w:rsidR="008C6DC8" w:rsidRPr="0097213E">
        <w:t xml:space="preserve"> of both the </w:t>
      </w:r>
      <w:r w:rsidR="00F5434C" w:rsidRPr="00C73B2E">
        <w:t>NOI</w:t>
      </w:r>
      <w:r w:rsidR="008C6DC8" w:rsidRPr="0097213E">
        <w:t xml:space="preserve"> and </w:t>
      </w:r>
      <w:r w:rsidR="00B57DC7" w:rsidRPr="0097213E">
        <w:t xml:space="preserve">demonstration of </w:t>
      </w:r>
      <w:r w:rsidR="008C6DC8" w:rsidRPr="0097213E">
        <w:t>financial assurance.</w:t>
      </w:r>
    </w:p>
    <w:p w14:paraId="055F571A" w14:textId="77777777" w:rsidR="00104350" w:rsidRPr="0097213E" w:rsidRDefault="00104350" w:rsidP="00404716">
      <w:pPr>
        <w:pStyle w:val="List-arabicnumbers"/>
      </w:pPr>
      <w:bookmarkStart w:id="2" w:name="_Hlk94002110"/>
      <w:r w:rsidRPr="0097213E">
        <w:t xml:space="preserve">All applicants seeking authorization to operate a Class I injection well under this general permit must submit a completed NOI </w:t>
      </w:r>
      <w:r w:rsidR="00A90021" w:rsidRPr="0097213E">
        <w:t>conforming</w:t>
      </w:r>
      <w:r w:rsidR="0053586A" w:rsidRPr="0097213E">
        <w:t xml:space="preserve"> with a form and instructions</w:t>
      </w:r>
      <w:r w:rsidRPr="0097213E">
        <w:t xml:space="preserve"> approved by the executive director.  The NOI shall, at a minimum, include:</w:t>
      </w:r>
    </w:p>
    <w:p w14:paraId="359D3C17" w14:textId="77777777" w:rsidR="00104350" w:rsidRPr="00816812" w:rsidRDefault="00086D00" w:rsidP="00BA1936">
      <w:pPr>
        <w:pStyle w:val="List-LowerCaseAlpha"/>
        <w:numPr>
          <w:ilvl w:val="0"/>
          <w:numId w:val="7"/>
        </w:numPr>
        <w:rPr>
          <w:szCs w:val="22"/>
        </w:rPr>
      </w:pPr>
      <w:r w:rsidRPr="00816812">
        <w:rPr>
          <w:szCs w:val="22"/>
        </w:rPr>
        <w:t xml:space="preserve">legal name (as filed with the Texas Secretary of State), </w:t>
      </w:r>
      <w:r w:rsidR="00104350" w:rsidRPr="00816812">
        <w:rPr>
          <w:szCs w:val="22"/>
        </w:rPr>
        <w:t>address</w:t>
      </w:r>
      <w:r w:rsidR="00EF7304" w:rsidRPr="00816812">
        <w:rPr>
          <w:szCs w:val="22"/>
        </w:rPr>
        <w:t xml:space="preserve"> and contact information for </w:t>
      </w:r>
      <w:r w:rsidR="00104350" w:rsidRPr="00816812">
        <w:rPr>
          <w:szCs w:val="22"/>
        </w:rPr>
        <w:t xml:space="preserve">the </w:t>
      </w:r>
      <w:r w:rsidR="00CF1AC1" w:rsidRPr="00816812">
        <w:rPr>
          <w:szCs w:val="22"/>
        </w:rPr>
        <w:t xml:space="preserve">facility, </w:t>
      </w:r>
      <w:r w:rsidR="00104350" w:rsidRPr="00816812">
        <w:rPr>
          <w:szCs w:val="22"/>
        </w:rPr>
        <w:t xml:space="preserve">operator and </w:t>
      </w:r>
      <w:proofErr w:type="gramStart"/>
      <w:r w:rsidR="00104350" w:rsidRPr="00816812">
        <w:rPr>
          <w:szCs w:val="22"/>
        </w:rPr>
        <w:t>owner</w:t>
      </w:r>
      <w:r w:rsidR="004332A2" w:rsidRPr="00816812">
        <w:rPr>
          <w:szCs w:val="22"/>
        </w:rPr>
        <w:t>;</w:t>
      </w:r>
      <w:proofErr w:type="gramEnd"/>
    </w:p>
    <w:p w14:paraId="6C17084F" w14:textId="77777777" w:rsidR="00104350" w:rsidRPr="00816812" w:rsidRDefault="00104350" w:rsidP="00816812">
      <w:pPr>
        <w:pStyle w:val="List-LowerCaseAlpha"/>
        <w:rPr>
          <w:szCs w:val="22"/>
        </w:rPr>
      </w:pPr>
      <w:r w:rsidRPr="00816812">
        <w:rPr>
          <w:szCs w:val="22"/>
        </w:rPr>
        <w:t>location of the injection well activity</w:t>
      </w:r>
      <w:r w:rsidR="00E57977" w:rsidRPr="00816812">
        <w:rPr>
          <w:szCs w:val="22"/>
        </w:rPr>
        <w:t xml:space="preserve"> including the </w:t>
      </w:r>
      <w:r w:rsidRPr="00816812">
        <w:rPr>
          <w:szCs w:val="22"/>
        </w:rPr>
        <w:t>latitude and longitude of the proposed well;</w:t>
      </w:r>
    </w:p>
    <w:p w14:paraId="4AA6A341" w14:textId="77777777" w:rsidR="004E2A8F" w:rsidRPr="00816812" w:rsidRDefault="004E2A8F" w:rsidP="00816812">
      <w:pPr>
        <w:pStyle w:val="List-LowerCaseAlpha"/>
        <w:rPr>
          <w:szCs w:val="22"/>
        </w:rPr>
      </w:pPr>
      <w:r w:rsidRPr="00816812">
        <w:rPr>
          <w:szCs w:val="22"/>
        </w:rPr>
        <w:t>ownership status of the facility (public, private, etc.)</w:t>
      </w:r>
      <w:r w:rsidR="00AD71D6" w:rsidRPr="00816812">
        <w:rPr>
          <w:szCs w:val="22"/>
        </w:rPr>
        <w:t>;</w:t>
      </w:r>
    </w:p>
    <w:p w14:paraId="75D1C575" w14:textId="77777777" w:rsidR="001329E8" w:rsidRPr="00816812" w:rsidRDefault="00104350" w:rsidP="00816812">
      <w:pPr>
        <w:pStyle w:val="List-LowerCaseAlpha"/>
        <w:rPr>
          <w:szCs w:val="22"/>
        </w:rPr>
      </w:pPr>
      <w:r w:rsidRPr="00816812">
        <w:rPr>
          <w:szCs w:val="22"/>
        </w:rPr>
        <w:t>size of the facility and a gener</w:t>
      </w:r>
      <w:r w:rsidR="00A87BD1" w:rsidRPr="00816812">
        <w:rPr>
          <w:szCs w:val="22"/>
        </w:rPr>
        <w:t xml:space="preserve">al description of the nature of the business including </w:t>
      </w:r>
      <w:r w:rsidR="00D26775" w:rsidRPr="00816812">
        <w:rPr>
          <w:szCs w:val="22"/>
        </w:rPr>
        <w:t xml:space="preserve">Standard Industrial Classification (SIC) and North </w:t>
      </w:r>
      <w:r w:rsidR="00D26775" w:rsidRPr="00816812">
        <w:rPr>
          <w:szCs w:val="22"/>
        </w:rPr>
        <w:lastRenderedPageBreak/>
        <w:t>American Industry Classification System (NAICS) codes</w:t>
      </w:r>
      <w:r w:rsidR="00661E34" w:rsidRPr="00816812">
        <w:rPr>
          <w:szCs w:val="22"/>
        </w:rPr>
        <w:t xml:space="preserve"> which best reflect the principal products or services provided by the facility</w:t>
      </w:r>
      <w:r w:rsidR="001E0A0E" w:rsidRPr="00816812">
        <w:rPr>
          <w:szCs w:val="22"/>
        </w:rPr>
        <w:t>;</w:t>
      </w:r>
    </w:p>
    <w:p w14:paraId="0B911956" w14:textId="77777777" w:rsidR="003F1C10" w:rsidRPr="00816812" w:rsidRDefault="003F1C10" w:rsidP="00816812">
      <w:pPr>
        <w:pStyle w:val="List-LowerCaseAlpha"/>
        <w:rPr>
          <w:szCs w:val="22"/>
        </w:rPr>
      </w:pPr>
      <w:r w:rsidRPr="00816812">
        <w:rPr>
          <w:szCs w:val="22"/>
        </w:rPr>
        <w:t xml:space="preserve"> type of well (industrial, municipal, etc.) and whether it is a new or existing (conversion) well</w:t>
      </w:r>
      <w:r w:rsidR="001E0A0E" w:rsidRPr="00816812">
        <w:rPr>
          <w:szCs w:val="22"/>
        </w:rPr>
        <w:t>;</w:t>
      </w:r>
    </w:p>
    <w:p w14:paraId="5885A739" w14:textId="77777777" w:rsidR="00422029" w:rsidRPr="00816812" w:rsidRDefault="00422029" w:rsidP="00816812">
      <w:pPr>
        <w:pStyle w:val="List-LowerCaseAlpha"/>
        <w:rPr>
          <w:szCs w:val="22"/>
        </w:rPr>
      </w:pPr>
      <w:r w:rsidRPr="00816812">
        <w:rPr>
          <w:szCs w:val="22"/>
        </w:rPr>
        <w:t>for existing wells, the authorization status of the well (active, inactive or terminated</w:t>
      </w:r>
      <w:r w:rsidR="00BB2AD6" w:rsidRPr="00816812">
        <w:rPr>
          <w:szCs w:val="22"/>
        </w:rPr>
        <w:t xml:space="preserve"> permit or authorization</w:t>
      </w:r>
      <w:proofErr w:type="gramStart"/>
      <w:r w:rsidR="00A1220D" w:rsidRPr="00816812">
        <w:rPr>
          <w:szCs w:val="22"/>
        </w:rPr>
        <w:t>)</w:t>
      </w:r>
      <w:r w:rsidRPr="00816812">
        <w:rPr>
          <w:szCs w:val="22"/>
        </w:rPr>
        <w:t>;</w:t>
      </w:r>
      <w:proofErr w:type="gramEnd"/>
    </w:p>
    <w:p w14:paraId="1A6D0B47" w14:textId="77777777" w:rsidR="003E54F9" w:rsidRPr="00816812" w:rsidRDefault="003E54F9" w:rsidP="00816812">
      <w:pPr>
        <w:pStyle w:val="List-LowerCaseAlpha"/>
        <w:rPr>
          <w:szCs w:val="22"/>
        </w:rPr>
      </w:pPr>
      <w:r w:rsidRPr="00816812">
        <w:rPr>
          <w:szCs w:val="22"/>
        </w:rPr>
        <w:t>whether the facility is located on Indian lands;</w:t>
      </w:r>
    </w:p>
    <w:p w14:paraId="645666E7" w14:textId="77777777" w:rsidR="00D108C2" w:rsidRPr="00816812" w:rsidRDefault="00D108C2" w:rsidP="00816812">
      <w:pPr>
        <w:pStyle w:val="List-LowerCaseAlpha"/>
        <w:rPr>
          <w:szCs w:val="22"/>
        </w:rPr>
      </w:pPr>
      <w:r w:rsidRPr="00816812">
        <w:rPr>
          <w:szCs w:val="22"/>
        </w:rPr>
        <w:t xml:space="preserve">TCEQ </w:t>
      </w:r>
      <w:r w:rsidR="00AD2F83" w:rsidRPr="00816812">
        <w:rPr>
          <w:szCs w:val="22"/>
        </w:rPr>
        <w:t>Solid Waste Reg</w:t>
      </w:r>
      <w:r w:rsidR="00B54FB9" w:rsidRPr="00816812">
        <w:rPr>
          <w:szCs w:val="22"/>
        </w:rPr>
        <w:t>istration Number</w:t>
      </w:r>
      <w:r w:rsidR="003E54F9" w:rsidRPr="00816812">
        <w:rPr>
          <w:szCs w:val="22"/>
        </w:rPr>
        <w:t>;</w:t>
      </w:r>
    </w:p>
    <w:p w14:paraId="61B68A07" w14:textId="77777777" w:rsidR="00C85DB0" w:rsidRPr="00816812" w:rsidRDefault="00C85DB0" w:rsidP="00816812">
      <w:pPr>
        <w:pStyle w:val="List-LowerCaseAlpha"/>
        <w:rPr>
          <w:szCs w:val="22"/>
        </w:rPr>
      </w:pPr>
      <w:r w:rsidRPr="00816812">
        <w:rPr>
          <w:szCs w:val="22"/>
        </w:rPr>
        <w:t>a listing of all existing, pending, interim status, or permit-by-rule State and/or Federal permits, licenses or construction approvals which pertain to pollution control or industrial solid waste management activities conducted</w:t>
      </w:r>
      <w:r w:rsidR="00B54FB9" w:rsidRPr="00816812">
        <w:rPr>
          <w:szCs w:val="22"/>
        </w:rPr>
        <w:t xml:space="preserve"> by or existing at the facility</w:t>
      </w:r>
      <w:r w:rsidR="003E2A2E" w:rsidRPr="00816812">
        <w:rPr>
          <w:szCs w:val="22"/>
        </w:rPr>
        <w:t>;</w:t>
      </w:r>
    </w:p>
    <w:p w14:paraId="32DA0DC7" w14:textId="77777777" w:rsidR="00104350" w:rsidRPr="00816812" w:rsidRDefault="00104350" w:rsidP="00816812">
      <w:pPr>
        <w:pStyle w:val="List-LowerCaseAlpha"/>
        <w:rPr>
          <w:szCs w:val="22"/>
        </w:rPr>
      </w:pPr>
      <w:r w:rsidRPr="00816812">
        <w:rPr>
          <w:szCs w:val="22"/>
        </w:rPr>
        <w:t>public interest demonstration</w:t>
      </w:r>
      <w:r w:rsidR="00894589" w:rsidRPr="00816812">
        <w:rPr>
          <w:szCs w:val="22"/>
        </w:rPr>
        <w:t>, including the compliance history</w:t>
      </w:r>
      <w:r w:rsidR="00193DD8" w:rsidRPr="00816812">
        <w:rPr>
          <w:szCs w:val="22"/>
        </w:rPr>
        <w:t>;</w:t>
      </w:r>
    </w:p>
    <w:p w14:paraId="724F5FF6" w14:textId="77777777" w:rsidR="006140BD" w:rsidRPr="00816812" w:rsidRDefault="006140BD" w:rsidP="00816812">
      <w:pPr>
        <w:pStyle w:val="List-LowerCaseAlpha"/>
        <w:rPr>
          <w:szCs w:val="22"/>
        </w:rPr>
      </w:pPr>
      <w:r w:rsidRPr="00816812">
        <w:rPr>
          <w:szCs w:val="22"/>
        </w:rPr>
        <w:t>letter from the Railroad Commission of Texas stating that the drilling of a disposal well and the injection of the waste into the subsurface stratum selected for disposal will not endanger or injure any oil or gas for</w:t>
      </w:r>
      <w:r w:rsidR="00B54FB9" w:rsidRPr="00816812">
        <w:rPr>
          <w:szCs w:val="22"/>
        </w:rPr>
        <w:t>mation</w:t>
      </w:r>
      <w:r w:rsidRPr="00816812">
        <w:rPr>
          <w:szCs w:val="22"/>
        </w:rPr>
        <w:t>;</w:t>
      </w:r>
    </w:p>
    <w:p w14:paraId="6A2143F2" w14:textId="77777777" w:rsidR="00FF0855" w:rsidRPr="00816812" w:rsidRDefault="00FF0855" w:rsidP="00816812">
      <w:pPr>
        <w:pStyle w:val="List-LowerCaseAlpha"/>
        <w:rPr>
          <w:szCs w:val="22"/>
        </w:rPr>
      </w:pPr>
      <w:r w:rsidRPr="00816812">
        <w:rPr>
          <w:szCs w:val="22"/>
        </w:rPr>
        <w:t>signature page</w:t>
      </w:r>
      <w:r w:rsidR="004332A2" w:rsidRPr="00816812">
        <w:rPr>
          <w:szCs w:val="22"/>
        </w:rPr>
        <w:t>;</w:t>
      </w:r>
    </w:p>
    <w:p w14:paraId="19388431" w14:textId="77777777" w:rsidR="00FF0855" w:rsidRPr="00816812" w:rsidRDefault="00FF0855" w:rsidP="00816812">
      <w:pPr>
        <w:pStyle w:val="List-LowerCaseAlpha"/>
        <w:rPr>
          <w:szCs w:val="22"/>
        </w:rPr>
      </w:pPr>
      <w:r w:rsidRPr="00816812">
        <w:rPr>
          <w:szCs w:val="22"/>
        </w:rPr>
        <w:t>certification statement</w:t>
      </w:r>
      <w:r w:rsidR="00DE49F3" w:rsidRPr="00816812">
        <w:rPr>
          <w:szCs w:val="22"/>
        </w:rPr>
        <w:t xml:space="preserve"> (to </w:t>
      </w:r>
      <w:r w:rsidR="00CD5D22" w:rsidRPr="00816812">
        <w:rPr>
          <w:szCs w:val="22"/>
        </w:rPr>
        <w:t>confirm, in detail,</w:t>
      </w:r>
      <w:r w:rsidR="00DE49F3" w:rsidRPr="00816812">
        <w:rPr>
          <w:szCs w:val="22"/>
        </w:rPr>
        <w:t xml:space="preserve"> responsibility for the facility to be constructed and operated in accordance with the requirements of this UIC general permit)</w:t>
      </w:r>
      <w:r w:rsidRPr="00816812">
        <w:rPr>
          <w:szCs w:val="22"/>
        </w:rPr>
        <w:t>; and</w:t>
      </w:r>
    </w:p>
    <w:p w14:paraId="28340725" w14:textId="77777777" w:rsidR="009440E9" w:rsidRPr="00816812" w:rsidRDefault="00104350" w:rsidP="00816812">
      <w:pPr>
        <w:pStyle w:val="List-LowerCaseAlpha"/>
        <w:rPr>
          <w:szCs w:val="22"/>
        </w:rPr>
      </w:pPr>
      <w:r w:rsidRPr="00816812">
        <w:rPr>
          <w:szCs w:val="22"/>
        </w:rPr>
        <w:t>technical report, including</w:t>
      </w:r>
    </w:p>
    <w:p w14:paraId="6F02EAE2" w14:textId="767F1BE2" w:rsidR="00505C74" w:rsidRPr="003125E8" w:rsidRDefault="003E191C" w:rsidP="00BA1936">
      <w:pPr>
        <w:pStyle w:val="List-LowerCasei"/>
        <w:numPr>
          <w:ilvl w:val="0"/>
          <w:numId w:val="9"/>
        </w:numPr>
      </w:pPr>
      <w:r w:rsidRPr="003125E8">
        <w:t xml:space="preserve">a </w:t>
      </w:r>
      <w:r w:rsidR="006C25A9" w:rsidRPr="003125E8">
        <w:t xml:space="preserve">topographic map (or other map if a topographic map is unavailable) extending one mile beyond the property boundaries of the source depicting the facility and each of its intake and discharge structures; </w:t>
      </w:r>
      <w:r w:rsidR="006C25A9" w:rsidRPr="00C73B2E">
        <w:t>each of its waste treatment</w:t>
      </w:r>
      <w:r w:rsidR="006C25A9" w:rsidRPr="003125E8">
        <w:t>, storage, or disposal facilities; each well where fluids from the facility are injected underground; and those wells, springs, and other surface water bodies, and drinking water wells listed in public records or otherwise known to the applicant within a quarter mile of the facility property boundary;</w:t>
      </w:r>
    </w:p>
    <w:p w14:paraId="5DF9D523" w14:textId="77777777" w:rsidR="009440E9" w:rsidRPr="003125E8" w:rsidRDefault="009440E9" w:rsidP="003125E8">
      <w:pPr>
        <w:pStyle w:val="List-LowerCasei"/>
      </w:pPr>
      <w:r w:rsidRPr="003125E8">
        <w:t>area of review</w:t>
      </w:r>
      <w:r w:rsidR="004B6704" w:rsidRPr="003125E8">
        <w:t>;</w:t>
      </w:r>
    </w:p>
    <w:p w14:paraId="5472956D" w14:textId="77777777" w:rsidR="009440E9" w:rsidRPr="003125E8" w:rsidRDefault="009440E9" w:rsidP="003125E8">
      <w:pPr>
        <w:pStyle w:val="List-LowerCasei"/>
      </w:pPr>
      <w:r w:rsidRPr="003125E8">
        <w:t>corrective action plan and well data</w:t>
      </w:r>
      <w:r w:rsidR="004B6704" w:rsidRPr="003125E8">
        <w:t>;</w:t>
      </w:r>
    </w:p>
    <w:p w14:paraId="4ADB5E26" w14:textId="77777777" w:rsidR="009440E9" w:rsidRPr="003125E8" w:rsidRDefault="00000425" w:rsidP="003125E8">
      <w:pPr>
        <w:pStyle w:val="List-LowerCasei"/>
      </w:pPr>
      <w:r w:rsidRPr="003125E8">
        <w:t>maps and cross section</w:t>
      </w:r>
      <w:r w:rsidR="001E0A0E" w:rsidRPr="003125E8">
        <w:t>s</w:t>
      </w:r>
      <w:r w:rsidRPr="003125E8">
        <w:t xml:space="preserve"> of underground sources of drinking water (USDWs)</w:t>
      </w:r>
      <w:r w:rsidR="004B6704" w:rsidRPr="003125E8">
        <w:t>;</w:t>
      </w:r>
    </w:p>
    <w:p w14:paraId="5CB7B2B1" w14:textId="77777777" w:rsidR="00000425" w:rsidRPr="003125E8" w:rsidRDefault="00000425" w:rsidP="003125E8">
      <w:pPr>
        <w:pStyle w:val="List-LowerCasei"/>
      </w:pPr>
      <w:r w:rsidRPr="003125E8">
        <w:t>maps and cross sections of the geologic structure of the are</w:t>
      </w:r>
      <w:r w:rsidR="00C105BF" w:rsidRPr="003125E8">
        <w:t>a;</w:t>
      </w:r>
    </w:p>
    <w:p w14:paraId="0E4F16CE" w14:textId="77777777" w:rsidR="004B6704" w:rsidRPr="003125E8" w:rsidRDefault="004B6704" w:rsidP="003125E8">
      <w:pPr>
        <w:pStyle w:val="List-LowerCasei"/>
      </w:pPr>
      <w:r w:rsidRPr="003125E8">
        <w:lastRenderedPageBreak/>
        <w:t>well design and construction procedures;</w:t>
      </w:r>
    </w:p>
    <w:p w14:paraId="0B2AA2E6" w14:textId="77777777" w:rsidR="004B6704" w:rsidRPr="003125E8" w:rsidRDefault="004B6704" w:rsidP="003125E8">
      <w:pPr>
        <w:pStyle w:val="List-LowerCasei"/>
      </w:pPr>
      <w:r w:rsidRPr="003125E8">
        <w:t>formation testing and stimulation program;</w:t>
      </w:r>
    </w:p>
    <w:p w14:paraId="7DB7FEA8" w14:textId="77777777" w:rsidR="00000425" w:rsidRPr="003125E8" w:rsidRDefault="00C41AB0" w:rsidP="003125E8">
      <w:pPr>
        <w:pStyle w:val="List-LowerCasei"/>
      </w:pPr>
      <w:r w:rsidRPr="003125E8">
        <w:t xml:space="preserve">injection procedures and </w:t>
      </w:r>
      <w:r w:rsidR="00000425" w:rsidRPr="003125E8">
        <w:t xml:space="preserve">operating data (injection rate, volume, pressure, </w:t>
      </w:r>
      <w:r w:rsidR="00BC6DD6" w:rsidRPr="003125E8">
        <w:t xml:space="preserve">annulus fluid, </w:t>
      </w:r>
      <w:r w:rsidR="00000425" w:rsidRPr="003125E8">
        <w:t>etc.)</w:t>
      </w:r>
      <w:r w:rsidR="004B6704" w:rsidRPr="003125E8">
        <w:t>;</w:t>
      </w:r>
    </w:p>
    <w:p w14:paraId="16B18093" w14:textId="77777777" w:rsidR="00000425" w:rsidRPr="003125E8" w:rsidRDefault="00245B95" w:rsidP="003125E8">
      <w:pPr>
        <w:pStyle w:val="List-LowerCasei"/>
      </w:pPr>
      <w:r w:rsidRPr="003125E8">
        <w:t>chemical, physical, radiological and biological</w:t>
      </w:r>
      <w:r w:rsidR="00BC6DD6" w:rsidRPr="003125E8">
        <w:t xml:space="preserve"> characteristics of the </w:t>
      </w:r>
      <w:proofErr w:type="gramStart"/>
      <w:r w:rsidR="00BC6DD6" w:rsidRPr="003125E8">
        <w:t>waste;</w:t>
      </w:r>
      <w:proofErr w:type="gramEnd"/>
    </w:p>
    <w:p w14:paraId="329E3F86" w14:textId="77777777" w:rsidR="00245B95" w:rsidRPr="003125E8" w:rsidRDefault="00916815" w:rsidP="003125E8">
      <w:pPr>
        <w:pStyle w:val="List-LowerCasei"/>
      </w:pPr>
      <w:r w:rsidRPr="003125E8">
        <w:t>contingency procedures for well failures and shut-ins</w:t>
      </w:r>
      <w:r w:rsidR="001E0A0E" w:rsidRPr="003125E8">
        <w:t>;</w:t>
      </w:r>
    </w:p>
    <w:p w14:paraId="7BF7D363" w14:textId="77777777" w:rsidR="00245B95" w:rsidRPr="003125E8" w:rsidRDefault="00B979B7" w:rsidP="003125E8">
      <w:pPr>
        <w:pStyle w:val="List-LowerCasei"/>
      </w:pPr>
      <w:r w:rsidRPr="003125E8">
        <w:t>monitoring program (</w:t>
      </w:r>
      <w:r w:rsidR="0033068C" w:rsidRPr="003125E8">
        <w:t xml:space="preserve">mechanical integrity testing, </w:t>
      </w:r>
      <w:r w:rsidRPr="003125E8">
        <w:t>monitoring and recording devices, sampling frequency, parameters m</w:t>
      </w:r>
      <w:r w:rsidR="00276148" w:rsidRPr="003125E8">
        <w:t>easured, etc.</w:t>
      </w:r>
      <w:proofErr w:type="gramStart"/>
      <w:r w:rsidR="00276148" w:rsidRPr="003125E8">
        <w:t>)</w:t>
      </w:r>
      <w:r w:rsidR="00B54FB9" w:rsidRPr="003125E8">
        <w:t>;</w:t>
      </w:r>
      <w:proofErr w:type="gramEnd"/>
    </w:p>
    <w:p w14:paraId="6D7589C1" w14:textId="77777777" w:rsidR="00276148" w:rsidRPr="003125E8" w:rsidRDefault="008A3DDC" w:rsidP="003125E8">
      <w:pPr>
        <w:pStyle w:val="List-LowerCasei"/>
      </w:pPr>
      <w:r w:rsidRPr="003125E8">
        <w:t>plugging and abandonment plan for the well</w:t>
      </w:r>
      <w:r w:rsidR="00F821AB" w:rsidRPr="003125E8">
        <w:t xml:space="preserve"> </w:t>
      </w:r>
      <w:r w:rsidR="004507E7" w:rsidRPr="003125E8">
        <w:t>including a cost estimate</w:t>
      </w:r>
      <w:r w:rsidR="00A95B49" w:rsidRPr="003125E8">
        <w:t>; and</w:t>
      </w:r>
    </w:p>
    <w:bookmarkEnd w:id="2"/>
    <w:p w14:paraId="1CC9F037" w14:textId="77777777" w:rsidR="00276CF3" w:rsidRPr="002C764C" w:rsidRDefault="00276CF3" w:rsidP="003125E8">
      <w:pPr>
        <w:pStyle w:val="List-arabicnumbers"/>
      </w:pPr>
      <w:r w:rsidRPr="002C764C">
        <w:t xml:space="preserve">The technical information submitted in the NOI </w:t>
      </w:r>
      <w:r w:rsidR="00331273" w:rsidRPr="002C764C">
        <w:t xml:space="preserve">(as </w:t>
      </w:r>
      <w:r w:rsidR="006409A0" w:rsidRPr="002C764C">
        <w:t>described</w:t>
      </w:r>
      <w:r w:rsidR="00331273" w:rsidRPr="002C764C">
        <w:t xml:space="preserve"> in the NOI form and instructions) </w:t>
      </w:r>
      <w:r w:rsidRPr="002C764C">
        <w:t>must demonstrate that the project will prevent the movement of fluids that could result in the pollution of a</w:t>
      </w:r>
      <w:r w:rsidR="002A6B99" w:rsidRPr="002C764C">
        <w:t>n</w:t>
      </w:r>
      <w:r w:rsidRPr="002C764C">
        <w:t xml:space="preserve"> </w:t>
      </w:r>
      <w:r w:rsidR="002A6B99" w:rsidRPr="002C764C">
        <w:t>underground source of drinking water (</w:t>
      </w:r>
      <w:r w:rsidRPr="002C764C">
        <w:t>USDW</w:t>
      </w:r>
      <w:r w:rsidR="002A6B99" w:rsidRPr="002C764C">
        <w:t>)</w:t>
      </w:r>
      <w:r w:rsidR="00331273" w:rsidRPr="002C764C">
        <w:t xml:space="preserve"> and must establish that the applicant's plans and specifications meet all applicable standards, </w:t>
      </w:r>
      <w:proofErr w:type="gramStart"/>
      <w:r w:rsidR="00331273" w:rsidRPr="002C764C">
        <w:t>rules</w:t>
      </w:r>
      <w:proofErr w:type="gramEnd"/>
      <w:r w:rsidR="00331273" w:rsidRPr="002C764C">
        <w:t xml:space="preserve"> and the requirements of the general permit.  </w:t>
      </w:r>
      <w:r w:rsidR="002648C3" w:rsidRPr="002C764C">
        <w:t>The t</w:t>
      </w:r>
      <w:r w:rsidRPr="002C764C">
        <w:t>echnical reports shall:</w:t>
      </w:r>
    </w:p>
    <w:p w14:paraId="0A113145" w14:textId="77777777" w:rsidR="00276CF3" w:rsidRPr="003125E8" w:rsidRDefault="00276CF3" w:rsidP="00BA1936">
      <w:pPr>
        <w:pStyle w:val="List-LowerCaseAlpha"/>
        <w:numPr>
          <w:ilvl w:val="0"/>
          <w:numId w:val="10"/>
        </w:numPr>
        <w:rPr>
          <w:szCs w:val="22"/>
        </w:rPr>
      </w:pPr>
      <w:r w:rsidRPr="003125E8">
        <w:rPr>
          <w:szCs w:val="22"/>
        </w:rPr>
        <w:t>be prepared in accordance with good engineering and geoscience practices, signed and sealed by a licensed Texas professional engineer or licensed Texas professional geoscientist</w:t>
      </w:r>
      <w:r w:rsidR="00C32EA9" w:rsidRPr="003125E8">
        <w:rPr>
          <w:szCs w:val="22"/>
        </w:rPr>
        <w:t>,</w:t>
      </w:r>
      <w:r w:rsidRPr="003125E8">
        <w:rPr>
          <w:szCs w:val="22"/>
        </w:rPr>
        <w:t xml:space="preserve"> as appropriate</w:t>
      </w:r>
      <w:r w:rsidR="00C32EA9" w:rsidRPr="003125E8">
        <w:rPr>
          <w:szCs w:val="22"/>
        </w:rPr>
        <w:t>,</w:t>
      </w:r>
      <w:r w:rsidRPr="003125E8">
        <w:rPr>
          <w:szCs w:val="22"/>
        </w:rPr>
        <w:t xml:space="preserve"> and in conformance with the Texas Engineering Practice Act and the Texas Geoscience Practice Act and the licensing and registration boards under these acts;</w:t>
      </w:r>
    </w:p>
    <w:p w14:paraId="509BDBE3" w14:textId="77777777" w:rsidR="00276CF3" w:rsidRPr="003125E8" w:rsidRDefault="00276CF3" w:rsidP="003125E8">
      <w:pPr>
        <w:pStyle w:val="List-LowerCaseAlpha"/>
        <w:rPr>
          <w:szCs w:val="22"/>
        </w:rPr>
      </w:pPr>
      <w:r w:rsidRPr="003125E8">
        <w:rPr>
          <w:szCs w:val="22"/>
        </w:rPr>
        <w:t>include plans for design, construction, completion, operation, waste analysis, testing and closure of the Class I injection well to prevent the movement of fluids that could result in the pollution of a USDW;</w:t>
      </w:r>
    </w:p>
    <w:p w14:paraId="064F79AC" w14:textId="77777777" w:rsidR="00276CF3" w:rsidRPr="003125E8" w:rsidRDefault="00276CF3" w:rsidP="003125E8">
      <w:pPr>
        <w:pStyle w:val="List-LowerCaseAlpha"/>
        <w:rPr>
          <w:szCs w:val="22"/>
        </w:rPr>
      </w:pPr>
      <w:r w:rsidRPr="003125E8">
        <w:rPr>
          <w:szCs w:val="22"/>
        </w:rPr>
        <w:t>describe and ensure the implementation of practices which are to be used to assure compliance with the limitations and conditions of this permit;</w:t>
      </w:r>
    </w:p>
    <w:p w14:paraId="31FB65AC" w14:textId="77777777" w:rsidR="00276CF3" w:rsidRPr="003125E8" w:rsidRDefault="00276CF3" w:rsidP="003125E8">
      <w:pPr>
        <w:pStyle w:val="List-LowerCaseAlpha"/>
        <w:rPr>
          <w:szCs w:val="22"/>
        </w:rPr>
      </w:pPr>
      <w:r w:rsidRPr="003125E8">
        <w:rPr>
          <w:szCs w:val="22"/>
        </w:rPr>
        <w:t xml:space="preserve">include all information </w:t>
      </w:r>
      <w:r w:rsidR="00284945" w:rsidRPr="003125E8">
        <w:rPr>
          <w:szCs w:val="22"/>
        </w:rPr>
        <w:t>required</w:t>
      </w:r>
      <w:r w:rsidRPr="003125E8">
        <w:rPr>
          <w:szCs w:val="22"/>
        </w:rPr>
        <w:t xml:space="preserve"> in the NOI</w:t>
      </w:r>
      <w:r w:rsidR="00D12873" w:rsidRPr="003125E8">
        <w:rPr>
          <w:szCs w:val="22"/>
        </w:rPr>
        <w:t xml:space="preserve"> form and instructions</w:t>
      </w:r>
      <w:r w:rsidRPr="003125E8">
        <w:rPr>
          <w:szCs w:val="22"/>
        </w:rPr>
        <w:t>;</w:t>
      </w:r>
    </w:p>
    <w:p w14:paraId="14783514" w14:textId="77777777" w:rsidR="00276CF3" w:rsidRPr="003125E8" w:rsidRDefault="00276CF3" w:rsidP="003125E8">
      <w:pPr>
        <w:pStyle w:val="List-LowerCaseAlpha"/>
        <w:rPr>
          <w:szCs w:val="22"/>
        </w:rPr>
      </w:pPr>
      <w:r w:rsidRPr="003125E8">
        <w:rPr>
          <w:szCs w:val="22"/>
        </w:rPr>
        <w:t xml:space="preserve">be organized and labeled consistent with the organization of the NOI; and </w:t>
      </w:r>
    </w:p>
    <w:p w14:paraId="6298FF94" w14:textId="77777777" w:rsidR="00276CF3" w:rsidRPr="003125E8" w:rsidRDefault="00276CF3" w:rsidP="003125E8">
      <w:pPr>
        <w:pStyle w:val="List-LowerCaseAlpha"/>
        <w:rPr>
          <w:szCs w:val="22"/>
        </w:rPr>
      </w:pPr>
      <w:r w:rsidRPr="003125E8">
        <w:rPr>
          <w:szCs w:val="22"/>
        </w:rPr>
        <w:t xml:space="preserve">identify specific individual(s) responsible for development, implementation, operation, maintenance, inspections, recordkeeping, and revision of the technical report.  The activities and </w:t>
      </w:r>
      <w:r w:rsidRPr="003125E8">
        <w:rPr>
          <w:szCs w:val="22"/>
        </w:rPr>
        <w:lastRenderedPageBreak/>
        <w:t>responsibilities of the technical report personnel shall address all aspects of the facility's technical report.</w:t>
      </w:r>
    </w:p>
    <w:p w14:paraId="2291BD44" w14:textId="77777777" w:rsidR="00922145" w:rsidRPr="003125E8" w:rsidRDefault="00922145" w:rsidP="003125E8">
      <w:pPr>
        <w:pStyle w:val="List-arabicnumbers"/>
        <w:rPr>
          <w:szCs w:val="22"/>
        </w:rPr>
      </w:pPr>
      <w:r w:rsidRPr="003125E8">
        <w:rPr>
          <w:szCs w:val="22"/>
        </w:rPr>
        <w:t>An NOI shall be signed in accordance with 30 TAC §305.44 (relating to Signatories to Applications).</w:t>
      </w:r>
    </w:p>
    <w:p w14:paraId="4C168DC7" w14:textId="77777777" w:rsidR="0080460F" w:rsidRPr="003125E8" w:rsidRDefault="0080460F" w:rsidP="003125E8">
      <w:pPr>
        <w:pStyle w:val="List-arabicnumbers"/>
        <w:rPr>
          <w:szCs w:val="22"/>
        </w:rPr>
      </w:pPr>
      <w:r w:rsidRPr="003125E8">
        <w:rPr>
          <w:szCs w:val="22"/>
        </w:rPr>
        <w:t>Following review of the NOI, the executive director shall either acknowledge coverage by providing an identification number to the applicant or notify the applicant that coverage under t</w:t>
      </w:r>
      <w:r w:rsidR="003B7F73">
        <w:rPr>
          <w:szCs w:val="22"/>
        </w:rPr>
        <w:t xml:space="preserve">his general permit is denied.  </w:t>
      </w:r>
    </w:p>
    <w:p w14:paraId="1849EE5A" w14:textId="77777777" w:rsidR="009129BC" w:rsidRPr="003125E8" w:rsidRDefault="009129BC" w:rsidP="003125E8">
      <w:pPr>
        <w:pStyle w:val="List-arabicnumbers"/>
        <w:rPr>
          <w:szCs w:val="22"/>
        </w:rPr>
      </w:pPr>
      <w:r w:rsidRPr="003125E8">
        <w:rPr>
          <w:szCs w:val="22"/>
        </w:rPr>
        <w:t xml:space="preserve">A copy of the NOI, along with any correspondence from the </w:t>
      </w:r>
      <w:r w:rsidR="004561D5" w:rsidRPr="003125E8">
        <w:rPr>
          <w:szCs w:val="22"/>
        </w:rPr>
        <w:t>executive director</w:t>
      </w:r>
      <w:r w:rsidRPr="003125E8">
        <w:rPr>
          <w:szCs w:val="22"/>
        </w:rPr>
        <w:t xml:space="preserve"> </w:t>
      </w:r>
      <w:r w:rsidR="00F6126C" w:rsidRPr="003125E8">
        <w:rPr>
          <w:szCs w:val="22"/>
        </w:rPr>
        <w:t>acknowledging</w:t>
      </w:r>
      <w:r w:rsidRPr="003125E8">
        <w:rPr>
          <w:szCs w:val="22"/>
        </w:rPr>
        <w:t xml:space="preserve"> </w:t>
      </w:r>
      <w:r w:rsidR="00C11C57" w:rsidRPr="003125E8">
        <w:rPr>
          <w:szCs w:val="22"/>
        </w:rPr>
        <w:t>the NOI</w:t>
      </w:r>
      <w:r w:rsidRPr="003125E8">
        <w:rPr>
          <w:szCs w:val="22"/>
        </w:rPr>
        <w:t xml:space="preserve">, shall be retained at the </w:t>
      </w:r>
      <w:r w:rsidR="009256C3" w:rsidRPr="003125E8">
        <w:rPr>
          <w:szCs w:val="22"/>
        </w:rPr>
        <w:t xml:space="preserve">facility </w:t>
      </w:r>
      <w:r w:rsidRPr="003125E8">
        <w:rPr>
          <w:szCs w:val="22"/>
        </w:rPr>
        <w:t xml:space="preserve">site and kept with other records </w:t>
      </w:r>
      <w:proofErr w:type="gramStart"/>
      <w:r w:rsidRPr="003125E8">
        <w:rPr>
          <w:szCs w:val="22"/>
        </w:rPr>
        <w:t>related to authorization under this general permit</w:t>
      </w:r>
      <w:r w:rsidR="001D208A" w:rsidRPr="003125E8">
        <w:rPr>
          <w:szCs w:val="22"/>
        </w:rPr>
        <w:t xml:space="preserve"> </w:t>
      </w:r>
      <w:r w:rsidR="00535FD6" w:rsidRPr="003125E8">
        <w:rPr>
          <w:szCs w:val="22"/>
        </w:rPr>
        <w:t>at all times</w:t>
      </w:r>
      <w:proofErr w:type="gramEnd"/>
      <w:r w:rsidR="00535FD6" w:rsidRPr="003125E8">
        <w:rPr>
          <w:szCs w:val="22"/>
        </w:rPr>
        <w:t xml:space="preserve"> during operation of the authorized well and </w:t>
      </w:r>
      <w:r w:rsidR="001D208A" w:rsidRPr="003125E8">
        <w:rPr>
          <w:szCs w:val="22"/>
        </w:rPr>
        <w:t>for a period of three years following the completion of any plugging and abandonment procedures or termination of authorization under the general permit</w:t>
      </w:r>
      <w:r w:rsidRPr="003125E8">
        <w:rPr>
          <w:szCs w:val="22"/>
        </w:rPr>
        <w:t>.</w:t>
      </w:r>
    </w:p>
    <w:p w14:paraId="6749AB1D" w14:textId="77777777" w:rsidR="00C707FB" w:rsidRPr="003125E8" w:rsidRDefault="00C707FB" w:rsidP="003125E8">
      <w:pPr>
        <w:pStyle w:val="List-arabicnumbers"/>
        <w:rPr>
          <w:szCs w:val="22"/>
        </w:rPr>
      </w:pPr>
      <w:r w:rsidRPr="003125E8">
        <w:rPr>
          <w:szCs w:val="22"/>
        </w:rPr>
        <w:t>Existing Class I wells authorized under the expiring general permit are required to submit a new NOI within 90 days</w:t>
      </w:r>
      <w:r w:rsidR="00342FE6" w:rsidRPr="003125E8">
        <w:rPr>
          <w:szCs w:val="22"/>
        </w:rPr>
        <w:t xml:space="preserve"> after</w:t>
      </w:r>
      <w:r w:rsidRPr="003125E8">
        <w:rPr>
          <w:szCs w:val="22"/>
        </w:rPr>
        <w:t xml:space="preserve"> renewal of the general permit to continue authorization. </w:t>
      </w:r>
    </w:p>
    <w:p w14:paraId="10366F20" w14:textId="77777777" w:rsidR="007970E6" w:rsidRPr="003125E8" w:rsidRDefault="00C75DFC" w:rsidP="007A1FC7">
      <w:pPr>
        <w:pStyle w:val="List-arabicnumbers"/>
        <w:spacing w:after="0"/>
        <w:rPr>
          <w:szCs w:val="22"/>
        </w:rPr>
      </w:pPr>
      <w:r w:rsidRPr="003125E8">
        <w:rPr>
          <w:szCs w:val="22"/>
        </w:rPr>
        <w:t xml:space="preserve">Authorization under this general permit is not transferable.  A transfer of operational control includes changes to the structure or business organization of a company, such as changing from a partnership to a corporation, or changing to a different corporation type such that a different filing (or charter) number is established with the Texas Secretary of State.  Any change in </w:t>
      </w:r>
      <w:r w:rsidR="00580ADF" w:rsidRPr="003125E8">
        <w:rPr>
          <w:szCs w:val="22"/>
        </w:rPr>
        <w:t>an owner or operator</w:t>
      </w:r>
      <w:r w:rsidRPr="003125E8">
        <w:rPr>
          <w:szCs w:val="22"/>
        </w:rPr>
        <w:t xml:space="preserve">’s charter number, as registered with the Texas Secretary of State, is considered a change in ownership of the </w:t>
      </w:r>
      <w:proofErr w:type="gramStart"/>
      <w:r w:rsidRPr="003125E8">
        <w:rPr>
          <w:szCs w:val="22"/>
        </w:rPr>
        <w:t>company</w:t>
      </w:r>
      <w:proofErr w:type="gramEnd"/>
      <w:r w:rsidRPr="003125E8">
        <w:rPr>
          <w:szCs w:val="22"/>
        </w:rPr>
        <w:t xml:space="preserve"> and requires the new owner and operator to apply for permit coverage as stated below, including providing financial assurance coverage.  If the owner or operator of the regulated entity changes, the present owner and operator must submit a Notice of Termination (NOT), and the new owner and operator must submit a new NOI.  The NOT and NOI must be submitted not later than 30 days prior to the change in owner or operator status.  If the NOT and NOI are submitted as required under this provision, there will be no lapse in aut</w:t>
      </w:r>
      <w:r w:rsidR="003E36C8" w:rsidRPr="003125E8">
        <w:rPr>
          <w:szCs w:val="22"/>
        </w:rPr>
        <w:t>horization for this facility.</w:t>
      </w:r>
      <w:r w:rsidR="00F31866" w:rsidRPr="003125E8">
        <w:rPr>
          <w:szCs w:val="22"/>
        </w:rPr>
        <w:t xml:space="preserve"> </w:t>
      </w:r>
      <w:r w:rsidR="003E36C8" w:rsidRPr="003125E8">
        <w:rPr>
          <w:szCs w:val="22"/>
        </w:rPr>
        <w:t xml:space="preserve"> An </w:t>
      </w:r>
      <w:r w:rsidRPr="003125E8">
        <w:rPr>
          <w:szCs w:val="22"/>
        </w:rPr>
        <w:t xml:space="preserve">NOT is not required for a company name change without a change in operational control or business organization </w:t>
      </w:r>
      <w:proofErr w:type="gramStart"/>
      <w:r w:rsidRPr="003125E8">
        <w:rPr>
          <w:szCs w:val="22"/>
        </w:rPr>
        <w:t>as long as</w:t>
      </w:r>
      <w:proofErr w:type="gramEnd"/>
      <w:r w:rsidRPr="003125E8">
        <w:rPr>
          <w:szCs w:val="22"/>
        </w:rPr>
        <w:t xml:space="preserve"> the secretary of state can verify that a change in name alone has occurred.</w:t>
      </w:r>
    </w:p>
    <w:p w14:paraId="1351CE35" w14:textId="181C4674" w:rsidR="008D5BFD" w:rsidRPr="007A1FC7" w:rsidRDefault="008D5BFD" w:rsidP="00B64B10">
      <w:pPr>
        <w:pStyle w:val="H3TCEQ"/>
      </w:pPr>
      <w:r w:rsidRPr="00B64B10">
        <w:lastRenderedPageBreak/>
        <w:t>Section</w:t>
      </w:r>
      <w:r w:rsidRPr="007A1FC7">
        <w:t xml:space="preserve"> </w:t>
      </w:r>
      <w:r w:rsidR="00AD28D7" w:rsidRPr="007A1FC7">
        <w:t>D</w:t>
      </w:r>
      <w:r w:rsidR="00C33D8F" w:rsidRPr="007A1FC7">
        <w:t>.  Amending the NOI</w:t>
      </w:r>
    </w:p>
    <w:p w14:paraId="446087D8" w14:textId="77777777" w:rsidR="00235694" w:rsidRPr="00B35713" w:rsidRDefault="00580ADF" w:rsidP="00BA1936">
      <w:pPr>
        <w:pStyle w:val="List-arabicnumbers"/>
        <w:numPr>
          <w:ilvl w:val="0"/>
          <w:numId w:val="11"/>
        </w:numPr>
        <w:ind w:left="720"/>
        <w:rPr>
          <w:szCs w:val="22"/>
        </w:rPr>
      </w:pPr>
      <w:r w:rsidRPr="00B35713">
        <w:rPr>
          <w:szCs w:val="22"/>
        </w:rPr>
        <w:t>The owner or operator</w:t>
      </w:r>
      <w:r w:rsidR="008D5BFD" w:rsidRPr="00B35713">
        <w:rPr>
          <w:szCs w:val="22"/>
        </w:rPr>
        <w:t xml:space="preserve"> shall</w:t>
      </w:r>
      <w:r w:rsidR="00AB78A1" w:rsidRPr="00B35713">
        <w:rPr>
          <w:szCs w:val="22"/>
        </w:rPr>
        <w:t xml:space="preserve"> revise the NOI by submitting a</w:t>
      </w:r>
      <w:r w:rsidR="008D5BFD" w:rsidRPr="00B35713">
        <w:rPr>
          <w:szCs w:val="22"/>
        </w:rPr>
        <w:t xml:space="preserve"> </w:t>
      </w:r>
      <w:r w:rsidR="00AB78A1" w:rsidRPr="00B35713">
        <w:rPr>
          <w:szCs w:val="22"/>
        </w:rPr>
        <w:t>Notice of Change (NOC)</w:t>
      </w:r>
      <w:r w:rsidR="00F31274" w:rsidRPr="00B35713">
        <w:rPr>
          <w:szCs w:val="22"/>
        </w:rPr>
        <w:t xml:space="preserve"> </w:t>
      </w:r>
      <w:r w:rsidR="00B452ED" w:rsidRPr="00B35713">
        <w:rPr>
          <w:szCs w:val="22"/>
        </w:rPr>
        <w:t xml:space="preserve">to the same address as the NOI </w:t>
      </w:r>
      <w:r w:rsidR="008D5BFD" w:rsidRPr="00B35713">
        <w:rPr>
          <w:szCs w:val="22"/>
        </w:rPr>
        <w:t xml:space="preserve">before any change is made in the design, </w:t>
      </w:r>
      <w:proofErr w:type="gramStart"/>
      <w:r w:rsidR="008D5BFD" w:rsidRPr="00B35713">
        <w:rPr>
          <w:szCs w:val="22"/>
        </w:rPr>
        <w:t>construction</w:t>
      </w:r>
      <w:proofErr w:type="gramEnd"/>
      <w:r w:rsidR="008D5BFD" w:rsidRPr="00B35713">
        <w:rPr>
          <w:szCs w:val="22"/>
        </w:rPr>
        <w:t xml:space="preserve"> or completion of the Class I injection well</w:t>
      </w:r>
      <w:r w:rsidR="00F31274" w:rsidRPr="00B35713">
        <w:rPr>
          <w:szCs w:val="22"/>
        </w:rPr>
        <w:t>.</w:t>
      </w:r>
    </w:p>
    <w:p w14:paraId="464832F9" w14:textId="77777777" w:rsidR="00021984" w:rsidRPr="00B35713" w:rsidRDefault="00021984" w:rsidP="00B35713">
      <w:pPr>
        <w:pStyle w:val="List-arabicnumbers"/>
        <w:rPr>
          <w:szCs w:val="22"/>
        </w:rPr>
      </w:pPr>
      <w:r w:rsidRPr="00B35713">
        <w:rPr>
          <w:szCs w:val="22"/>
        </w:rPr>
        <w:t>An NOC letter must be submitted with supplemental or corrected information within 14 days following:</w:t>
      </w:r>
    </w:p>
    <w:p w14:paraId="5AD85B90" w14:textId="77777777" w:rsidR="00F31274" w:rsidRPr="00B35713" w:rsidRDefault="00F31274" w:rsidP="00BA1936">
      <w:pPr>
        <w:pStyle w:val="List-LowerCaseAlpha"/>
        <w:numPr>
          <w:ilvl w:val="0"/>
          <w:numId w:val="12"/>
        </w:numPr>
        <w:rPr>
          <w:szCs w:val="22"/>
        </w:rPr>
      </w:pPr>
      <w:r w:rsidRPr="00B35713">
        <w:rPr>
          <w:szCs w:val="22"/>
        </w:rPr>
        <w:t>the time when the operator becomes aware that the design, construction, completion, operation, testing or closure of the well are not effective in preventing the movement of fluids that could result in the pollution of a USDW;</w:t>
      </w:r>
    </w:p>
    <w:p w14:paraId="393D8CBD" w14:textId="77777777" w:rsidR="005E0725" w:rsidRPr="00B35713" w:rsidRDefault="00021984" w:rsidP="00B35713">
      <w:pPr>
        <w:pStyle w:val="List-LowerCaseAlpha"/>
        <w:rPr>
          <w:szCs w:val="22"/>
        </w:rPr>
      </w:pPr>
      <w:r w:rsidRPr="00B35713">
        <w:rPr>
          <w:szCs w:val="22"/>
        </w:rPr>
        <w:t>the time</w:t>
      </w:r>
      <w:r w:rsidR="005E0725" w:rsidRPr="00B35713">
        <w:rPr>
          <w:szCs w:val="22"/>
        </w:rPr>
        <w:t xml:space="preserve"> when </w:t>
      </w:r>
      <w:r w:rsidR="00580ADF" w:rsidRPr="00B35713">
        <w:rPr>
          <w:szCs w:val="22"/>
        </w:rPr>
        <w:t>the owner or operator</w:t>
      </w:r>
      <w:r w:rsidR="005E0725" w:rsidRPr="00B35713">
        <w:rPr>
          <w:szCs w:val="22"/>
        </w:rPr>
        <w:t xml:space="preserve"> becomes aware that he/she failed to submit any relevant facts in an NOI, or submitted incorrect information in an NOI or in any report to the executive director; or</w:t>
      </w:r>
    </w:p>
    <w:p w14:paraId="094CF7F2" w14:textId="77777777" w:rsidR="00021984" w:rsidRPr="00B35713" w:rsidRDefault="00021984" w:rsidP="00B35713">
      <w:pPr>
        <w:pStyle w:val="List-LowerCaseAlpha"/>
        <w:rPr>
          <w:szCs w:val="22"/>
        </w:rPr>
      </w:pPr>
      <w:r w:rsidRPr="00B35713">
        <w:rPr>
          <w:szCs w:val="22"/>
        </w:rPr>
        <w:t>the time when relevant facts in the NOI change (for example</w:t>
      </w:r>
      <w:r w:rsidR="0075036F" w:rsidRPr="00B35713">
        <w:rPr>
          <w:szCs w:val="22"/>
        </w:rPr>
        <w:t xml:space="preserve">, a </w:t>
      </w:r>
      <w:r w:rsidRPr="00B35713">
        <w:rPr>
          <w:szCs w:val="22"/>
        </w:rPr>
        <w:t xml:space="preserve">phone number, </w:t>
      </w:r>
      <w:proofErr w:type="gramStart"/>
      <w:r w:rsidRPr="00B35713">
        <w:rPr>
          <w:szCs w:val="22"/>
        </w:rPr>
        <w:t>map</w:t>
      </w:r>
      <w:proofErr w:type="gramEnd"/>
      <w:r w:rsidRPr="00B35713">
        <w:rPr>
          <w:szCs w:val="22"/>
        </w:rPr>
        <w:t xml:space="preserve"> or drawing).</w:t>
      </w:r>
    </w:p>
    <w:p w14:paraId="68D0A4C0" w14:textId="77777777" w:rsidR="008A207B" w:rsidRPr="00840AD5" w:rsidRDefault="008A207B" w:rsidP="00B64B10">
      <w:pPr>
        <w:pStyle w:val="H3TCEQ"/>
      </w:pPr>
      <w:r w:rsidRPr="00B64B10">
        <w:t>Section</w:t>
      </w:r>
      <w:r w:rsidRPr="00840AD5">
        <w:t xml:space="preserve"> E.  </w:t>
      </w:r>
      <w:r w:rsidR="00490D8A" w:rsidRPr="00840AD5">
        <w:t xml:space="preserve">Financial Assurance Prior to </w:t>
      </w:r>
      <w:r w:rsidRPr="00840AD5">
        <w:t>Commencement of Well Construction</w:t>
      </w:r>
    </w:p>
    <w:p w14:paraId="274D4F8A" w14:textId="77777777" w:rsidR="00490D8A" w:rsidRPr="00B35713" w:rsidRDefault="00603E0F" w:rsidP="00BA1936">
      <w:pPr>
        <w:pStyle w:val="List-arabicnumbers"/>
        <w:numPr>
          <w:ilvl w:val="0"/>
          <w:numId w:val="13"/>
        </w:numPr>
        <w:ind w:left="720"/>
        <w:rPr>
          <w:szCs w:val="22"/>
        </w:rPr>
      </w:pPr>
      <w:r w:rsidRPr="00B35713">
        <w:rPr>
          <w:szCs w:val="22"/>
        </w:rPr>
        <w:t>For new wells, e</w:t>
      </w:r>
      <w:r w:rsidR="008A207B" w:rsidRPr="00B35713">
        <w:rPr>
          <w:szCs w:val="22"/>
        </w:rPr>
        <w:t>vidence of financial assurance shall be submitted at least 60 days prior to commencement of drilling operations.  All financial assurance mechanisms shall be in effect before comme</w:t>
      </w:r>
      <w:r w:rsidR="00490D8A" w:rsidRPr="00B35713">
        <w:rPr>
          <w:szCs w:val="22"/>
        </w:rPr>
        <w:t>ncement of drilling o</w:t>
      </w:r>
      <w:r w:rsidR="00AB63C2" w:rsidRPr="00B35713">
        <w:rPr>
          <w:szCs w:val="22"/>
        </w:rPr>
        <w:t>perations.</w:t>
      </w:r>
    </w:p>
    <w:p w14:paraId="5BF1294A" w14:textId="77777777" w:rsidR="008A207B" w:rsidRPr="00B35713" w:rsidRDefault="008A207B" w:rsidP="00B35713">
      <w:pPr>
        <w:pStyle w:val="List-arabicnumbers"/>
        <w:rPr>
          <w:szCs w:val="22"/>
        </w:rPr>
      </w:pPr>
      <w:r w:rsidRPr="00B35713">
        <w:rPr>
          <w:szCs w:val="22"/>
        </w:rPr>
        <w:t xml:space="preserve">For converted wells and other previously constructed wells, </w:t>
      </w:r>
      <w:r w:rsidR="000C6926" w:rsidRPr="00B35713">
        <w:rPr>
          <w:szCs w:val="22"/>
        </w:rPr>
        <w:t>the owner or operator shall</w:t>
      </w:r>
      <w:r w:rsidR="00EE548B" w:rsidRPr="00B35713">
        <w:rPr>
          <w:szCs w:val="22"/>
        </w:rPr>
        <w:t xml:space="preserve"> submit </w:t>
      </w:r>
      <w:r w:rsidR="00197D5C" w:rsidRPr="00B35713">
        <w:rPr>
          <w:szCs w:val="22"/>
        </w:rPr>
        <w:t>an acceptable financial assurance mechanism along with the Notice of Intent</w:t>
      </w:r>
      <w:r w:rsidR="00F270B5" w:rsidRPr="00B35713">
        <w:rPr>
          <w:szCs w:val="22"/>
        </w:rPr>
        <w:t>.</w:t>
      </w:r>
    </w:p>
    <w:p w14:paraId="4DC9D2A6" w14:textId="77777777" w:rsidR="00C8623E" w:rsidRPr="00840AD5" w:rsidRDefault="00F439D9" w:rsidP="00B64B10">
      <w:pPr>
        <w:pStyle w:val="H3TCEQ"/>
      </w:pPr>
      <w:r w:rsidRPr="00840AD5">
        <w:t xml:space="preserve">Section </w:t>
      </w:r>
      <w:r w:rsidR="003A063D" w:rsidRPr="00840AD5">
        <w:t>F</w:t>
      </w:r>
      <w:r w:rsidRPr="00840AD5">
        <w:t>.  Approval of Construction and Completion</w:t>
      </w:r>
      <w:r w:rsidR="0049317B" w:rsidRPr="00840AD5">
        <w:t xml:space="preserve"> for Class I Wells Except Bedded Salt Cavern Disposal Wells</w:t>
      </w:r>
    </w:p>
    <w:p w14:paraId="52A3112E" w14:textId="77777777" w:rsidR="0016760F" w:rsidRPr="00E628A4" w:rsidRDefault="002C2E33" w:rsidP="00BA1936">
      <w:pPr>
        <w:pStyle w:val="List-arabicnumbers"/>
        <w:numPr>
          <w:ilvl w:val="0"/>
          <w:numId w:val="14"/>
        </w:numPr>
        <w:ind w:left="720"/>
        <w:rPr>
          <w:szCs w:val="22"/>
        </w:rPr>
      </w:pPr>
      <w:r w:rsidRPr="00E628A4">
        <w:rPr>
          <w:szCs w:val="22"/>
        </w:rPr>
        <w:t>A new injection well may not commence injection unt</w:t>
      </w:r>
      <w:r w:rsidR="009C39C1" w:rsidRPr="00E628A4">
        <w:rPr>
          <w:szCs w:val="22"/>
        </w:rPr>
        <w:t>il construction is complete</w:t>
      </w:r>
      <w:r w:rsidR="00B90C2B" w:rsidRPr="00E628A4">
        <w:rPr>
          <w:szCs w:val="22"/>
        </w:rPr>
        <w:t>;</w:t>
      </w:r>
      <w:r w:rsidR="009C39C1" w:rsidRPr="00E628A4">
        <w:rPr>
          <w:szCs w:val="22"/>
        </w:rPr>
        <w:t xml:space="preserve"> and</w:t>
      </w:r>
    </w:p>
    <w:p w14:paraId="54D6FA9C" w14:textId="77777777" w:rsidR="0016760F" w:rsidRPr="0097213E" w:rsidRDefault="00580ADF" w:rsidP="00BA1936">
      <w:pPr>
        <w:pStyle w:val="List-LowerCaseAlpha"/>
        <w:numPr>
          <w:ilvl w:val="0"/>
          <w:numId w:val="15"/>
        </w:numPr>
      </w:pPr>
      <w:r w:rsidRPr="0097213E">
        <w:t>The owner or operator</w:t>
      </w:r>
      <w:r w:rsidR="008F5DB5" w:rsidRPr="0097213E">
        <w:t xml:space="preserve"> has submitted notice of completion of construction to the executive director; and</w:t>
      </w:r>
    </w:p>
    <w:p w14:paraId="565917E6" w14:textId="77777777" w:rsidR="0016760F" w:rsidRPr="0097213E" w:rsidRDefault="008F5DB5" w:rsidP="00E628A4">
      <w:pPr>
        <w:pStyle w:val="List-LowerCaseAlpha"/>
      </w:pPr>
      <w:r w:rsidRPr="0097213E">
        <w:t xml:space="preserve">the executive director has inspected or otherwise reviewed the new injection well and finds it </w:t>
      </w:r>
      <w:proofErr w:type="gramStart"/>
      <w:r w:rsidRPr="0097213E">
        <w:t>is in compliance with</w:t>
      </w:r>
      <w:proofErr w:type="gramEnd"/>
      <w:r w:rsidRPr="0097213E">
        <w:t xml:space="preserve"> the conditions of the permit; or</w:t>
      </w:r>
    </w:p>
    <w:p w14:paraId="32F6BB9B" w14:textId="77777777" w:rsidR="0016760F" w:rsidRPr="0097213E" w:rsidRDefault="00580ADF" w:rsidP="00E628A4">
      <w:pPr>
        <w:pStyle w:val="List-LowerCaseAlpha"/>
      </w:pPr>
      <w:r w:rsidRPr="0097213E">
        <w:t>the owner or operator</w:t>
      </w:r>
      <w:r w:rsidR="008F5DB5" w:rsidRPr="0097213E">
        <w:t xml:space="preserve"> has not received notice from the executive director of his intent to inspect or otherwise review the new injection well within 13 days of the date of the notice in </w:t>
      </w:r>
      <w:r w:rsidR="00D83E95" w:rsidRPr="0097213E">
        <w:t xml:space="preserve">30 TAC </w:t>
      </w:r>
      <w:r w:rsidR="00D83E95" w:rsidRPr="0097213E">
        <w:lastRenderedPageBreak/>
        <w:t>§331.65(e)(1)(A)</w:t>
      </w:r>
      <w:r w:rsidR="008F5DB5" w:rsidRPr="0097213E">
        <w:t xml:space="preserve">, in which case prior inspection or review is waived and </w:t>
      </w:r>
      <w:r w:rsidRPr="0097213E">
        <w:t>the owner or operator</w:t>
      </w:r>
      <w:r w:rsidR="008F5DB5" w:rsidRPr="0097213E">
        <w:t xml:space="preserve"> may commence injection. </w:t>
      </w:r>
      <w:r w:rsidR="00F31866" w:rsidRPr="0097213E">
        <w:t xml:space="preserve"> </w:t>
      </w:r>
      <w:r w:rsidR="008F5DB5" w:rsidRPr="0097213E">
        <w:t xml:space="preserve">The executive director shall include in his notice a reasonable </w:t>
      </w:r>
      <w:proofErr w:type="gramStart"/>
      <w:r w:rsidR="008F5DB5" w:rsidRPr="0097213E">
        <w:t>time period</w:t>
      </w:r>
      <w:proofErr w:type="gramEnd"/>
      <w:r w:rsidR="008F5DB5" w:rsidRPr="0097213E">
        <w:t xml:space="preserve"> in which he shall inspect the well.</w:t>
      </w:r>
    </w:p>
    <w:p w14:paraId="3E87F61C" w14:textId="77777777" w:rsidR="00DD421F" w:rsidRPr="00E628A4" w:rsidRDefault="00DD421F" w:rsidP="00E628A4">
      <w:pPr>
        <w:pStyle w:val="List-arabicnumbers"/>
        <w:rPr>
          <w:szCs w:val="22"/>
        </w:rPr>
      </w:pPr>
      <w:r w:rsidRPr="00E628A4">
        <w:rPr>
          <w:szCs w:val="22"/>
        </w:rPr>
        <w:t xml:space="preserve">Within 90 days after the completion or conversion of the well, </w:t>
      </w:r>
      <w:r w:rsidR="00580ADF" w:rsidRPr="00E628A4">
        <w:rPr>
          <w:szCs w:val="22"/>
        </w:rPr>
        <w:t>the owner or operator</w:t>
      </w:r>
      <w:r w:rsidRPr="00E628A4">
        <w:rPr>
          <w:szCs w:val="22"/>
        </w:rPr>
        <w:t xml:space="preserve"> shall submit a</w:t>
      </w:r>
      <w:r w:rsidR="00020183" w:rsidRPr="00E628A4">
        <w:rPr>
          <w:szCs w:val="22"/>
        </w:rPr>
        <w:t xml:space="preserve"> c</w:t>
      </w:r>
      <w:r w:rsidRPr="00E628A4">
        <w:rPr>
          <w:szCs w:val="22"/>
        </w:rPr>
        <w:t xml:space="preserve">ompletion </w:t>
      </w:r>
      <w:r w:rsidR="00020183" w:rsidRPr="00E628A4">
        <w:rPr>
          <w:szCs w:val="22"/>
        </w:rPr>
        <w:t>r</w:t>
      </w:r>
      <w:r w:rsidRPr="00E628A4">
        <w:rPr>
          <w:szCs w:val="22"/>
        </w:rPr>
        <w:t>eport to the executive director</w:t>
      </w:r>
      <w:r w:rsidR="008873CF" w:rsidRPr="00E628A4">
        <w:rPr>
          <w:szCs w:val="22"/>
        </w:rPr>
        <w:t xml:space="preserve">.  </w:t>
      </w:r>
      <w:r w:rsidRPr="00E628A4">
        <w:rPr>
          <w:szCs w:val="22"/>
        </w:rPr>
        <w:t>The report must include:</w:t>
      </w:r>
    </w:p>
    <w:p w14:paraId="00F970FC" w14:textId="77777777" w:rsidR="00DD421F" w:rsidRPr="00E628A4" w:rsidRDefault="00DD421F" w:rsidP="00BA1936">
      <w:pPr>
        <w:pStyle w:val="List-LowerCaseAlpha"/>
        <w:numPr>
          <w:ilvl w:val="0"/>
          <w:numId w:val="16"/>
        </w:numPr>
        <w:rPr>
          <w:szCs w:val="22"/>
        </w:rPr>
      </w:pPr>
      <w:r w:rsidRPr="00E628A4">
        <w:rPr>
          <w:szCs w:val="22"/>
        </w:rPr>
        <w:t>all available logging and testing program data on the well;</w:t>
      </w:r>
    </w:p>
    <w:p w14:paraId="7C701ABB" w14:textId="77777777" w:rsidR="00DD421F" w:rsidRPr="00E628A4" w:rsidRDefault="00DD421F" w:rsidP="00E628A4">
      <w:pPr>
        <w:pStyle w:val="List-LowerCaseAlpha"/>
        <w:rPr>
          <w:szCs w:val="22"/>
        </w:rPr>
      </w:pPr>
      <w:r w:rsidRPr="00E628A4">
        <w:rPr>
          <w:szCs w:val="22"/>
        </w:rPr>
        <w:t>a demonstration of mechanical integrity;</w:t>
      </w:r>
    </w:p>
    <w:p w14:paraId="73BE780F" w14:textId="77777777" w:rsidR="00DD421F" w:rsidRPr="00E628A4" w:rsidRDefault="00DD421F" w:rsidP="00E628A4">
      <w:pPr>
        <w:pStyle w:val="List-LowerCaseAlpha"/>
        <w:rPr>
          <w:szCs w:val="22"/>
        </w:rPr>
      </w:pPr>
      <w:r w:rsidRPr="00E628A4">
        <w:rPr>
          <w:szCs w:val="22"/>
        </w:rPr>
        <w:t xml:space="preserve">the anticipated maximum pressure and flow rate at which </w:t>
      </w:r>
      <w:r w:rsidR="00580ADF" w:rsidRPr="00E628A4">
        <w:rPr>
          <w:szCs w:val="22"/>
        </w:rPr>
        <w:t>the owner or operator</w:t>
      </w:r>
      <w:r w:rsidRPr="00E628A4">
        <w:rPr>
          <w:szCs w:val="22"/>
        </w:rPr>
        <w:t xml:space="preserve"> will operate;</w:t>
      </w:r>
    </w:p>
    <w:p w14:paraId="6D10D40D" w14:textId="77777777" w:rsidR="00DD421F" w:rsidRPr="00E628A4" w:rsidRDefault="00DD421F" w:rsidP="00E628A4">
      <w:pPr>
        <w:pStyle w:val="List-LowerCaseAlpha"/>
        <w:rPr>
          <w:szCs w:val="22"/>
        </w:rPr>
      </w:pPr>
      <w:r w:rsidRPr="00E628A4">
        <w:rPr>
          <w:szCs w:val="22"/>
        </w:rPr>
        <w:t>the results of the formation testing program;</w:t>
      </w:r>
    </w:p>
    <w:p w14:paraId="39A3F9A0" w14:textId="77777777" w:rsidR="00DD421F" w:rsidRPr="00E628A4" w:rsidRDefault="00DD421F" w:rsidP="00E628A4">
      <w:pPr>
        <w:pStyle w:val="List-LowerCaseAlpha"/>
        <w:rPr>
          <w:szCs w:val="22"/>
        </w:rPr>
      </w:pPr>
      <w:r w:rsidRPr="00E628A4">
        <w:rPr>
          <w:szCs w:val="22"/>
        </w:rPr>
        <w:t>the actual injection procedure;</w:t>
      </w:r>
    </w:p>
    <w:p w14:paraId="62AC2F30" w14:textId="77777777" w:rsidR="00DD421F" w:rsidRPr="00E628A4" w:rsidRDefault="00DD421F" w:rsidP="00E628A4">
      <w:pPr>
        <w:pStyle w:val="List-LowerCaseAlpha"/>
        <w:rPr>
          <w:szCs w:val="22"/>
        </w:rPr>
      </w:pPr>
      <w:r w:rsidRPr="00E628A4">
        <w:rPr>
          <w:szCs w:val="22"/>
        </w:rPr>
        <w:t>the compatibility of injected waste with fluids in the injection zone and minerals in both the injection zone and the confining zone; and</w:t>
      </w:r>
    </w:p>
    <w:p w14:paraId="029B29E5" w14:textId="77777777" w:rsidR="00DD421F" w:rsidRPr="00E628A4" w:rsidRDefault="00DD421F" w:rsidP="00E628A4">
      <w:pPr>
        <w:pStyle w:val="List-LowerCaseAlpha"/>
        <w:rPr>
          <w:szCs w:val="22"/>
        </w:rPr>
      </w:pPr>
      <w:r w:rsidRPr="00E628A4">
        <w:rPr>
          <w:szCs w:val="22"/>
        </w:rPr>
        <w:t xml:space="preserve">the status of corrective action on defective wells </w:t>
      </w:r>
      <w:proofErr w:type="gramStart"/>
      <w:r w:rsidRPr="00E628A4">
        <w:rPr>
          <w:szCs w:val="22"/>
        </w:rPr>
        <w:t>in the area of</w:t>
      </w:r>
      <w:proofErr w:type="gramEnd"/>
      <w:r w:rsidRPr="00E628A4">
        <w:rPr>
          <w:szCs w:val="22"/>
        </w:rPr>
        <w:t xml:space="preserve"> review.</w:t>
      </w:r>
    </w:p>
    <w:p w14:paraId="15A2E76C" w14:textId="77777777" w:rsidR="00B90C2B" w:rsidRPr="0097213E" w:rsidRDefault="00B90C2B" w:rsidP="00E628A4">
      <w:pPr>
        <w:pStyle w:val="List-arabicnumbers"/>
      </w:pPr>
      <w:r w:rsidRPr="0097213E">
        <w:t xml:space="preserve">The executive director may approve or disapprove the construction and completion for an injection well or project.  In </w:t>
      </w:r>
      <w:proofErr w:type="gramStart"/>
      <w:r w:rsidRPr="0097213E">
        <w:t>making a determination</w:t>
      </w:r>
      <w:proofErr w:type="gramEnd"/>
      <w:r w:rsidRPr="0097213E">
        <w:t xml:space="preserve"> whether to grant approval of construction and completion, the executive director shall review the project for compliance with standards in 30 TAC §331.45(2).</w:t>
      </w:r>
    </w:p>
    <w:p w14:paraId="2594DAAD" w14:textId="77777777" w:rsidR="0049317B" w:rsidRPr="00840AD5" w:rsidRDefault="0049317B" w:rsidP="00B64B10">
      <w:pPr>
        <w:pStyle w:val="H3TCEQ"/>
      </w:pPr>
      <w:r w:rsidRPr="00B64B10">
        <w:t>Section</w:t>
      </w:r>
      <w:r w:rsidRPr="00840AD5">
        <w:t xml:space="preserve"> G.  Approval of Construction and Completion for Class I Bedded Salt Cavern Disposal Wells and Their Associated Caverns</w:t>
      </w:r>
    </w:p>
    <w:p w14:paraId="5A95F16B" w14:textId="77777777" w:rsidR="00FB3A66" w:rsidRPr="002E455D" w:rsidRDefault="00B20E27" w:rsidP="00BA1936">
      <w:pPr>
        <w:pStyle w:val="List-arabicnumbers"/>
        <w:numPr>
          <w:ilvl w:val="0"/>
          <w:numId w:val="17"/>
        </w:numPr>
        <w:ind w:left="720"/>
        <w:rPr>
          <w:szCs w:val="22"/>
        </w:rPr>
      </w:pPr>
      <w:r w:rsidRPr="002E455D">
        <w:rPr>
          <w:szCs w:val="22"/>
        </w:rPr>
        <w:t xml:space="preserve">Before beginning cavern construction and operation, the permittee shall obtain written approval from the executive director which states that the well construction </w:t>
      </w:r>
      <w:proofErr w:type="gramStart"/>
      <w:r w:rsidRPr="002E455D">
        <w:rPr>
          <w:szCs w:val="22"/>
        </w:rPr>
        <w:t>is in compliance with</w:t>
      </w:r>
      <w:proofErr w:type="gramEnd"/>
      <w:r w:rsidRPr="002E455D">
        <w:rPr>
          <w:szCs w:val="22"/>
        </w:rPr>
        <w:t xml:space="preserve"> the applicable provisions of the permit. </w:t>
      </w:r>
      <w:r w:rsidR="003B7F73">
        <w:rPr>
          <w:szCs w:val="22"/>
        </w:rPr>
        <w:t xml:space="preserve"> </w:t>
      </w:r>
      <w:r w:rsidRPr="002E455D">
        <w:rPr>
          <w:szCs w:val="22"/>
        </w:rPr>
        <w:t>To obtain approval, the permittee shall submit to the executive director</w:t>
      </w:r>
      <w:r w:rsidR="00A95815" w:rsidRPr="002E455D">
        <w:rPr>
          <w:szCs w:val="22"/>
        </w:rPr>
        <w:t xml:space="preserve"> </w:t>
      </w:r>
      <w:r w:rsidRPr="002E455D">
        <w:rPr>
          <w:szCs w:val="22"/>
        </w:rPr>
        <w:t xml:space="preserve">reports and certifications </w:t>
      </w:r>
      <w:r w:rsidR="00A95815" w:rsidRPr="002E455D">
        <w:rPr>
          <w:szCs w:val="22"/>
        </w:rPr>
        <w:t>in accordance with §331.243(k) within 90 days of completion of well construction.</w:t>
      </w:r>
    </w:p>
    <w:p w14:paraId="455B7627" w14:textId="77777777" w:rsidR="00FB3A66" w:rsidRPr="002E455D" w:rsidRDefault="00FB3A66" w:rsidP="002E455D">
      <w:pPr>
        <w:pStyle w:val="List-arabicnumbers"/>
        <w:rPr>
          <w:szCs w:val="22"/>
        </w:rPr>
      </w:pPr>
      <w:r w:rsidRPr="002E455D">
        <w:rPr>
          <w:szCs w:val="22"/>
        </w:rPr>
        <w:t>Within 30 days of completion of the bedded salt cavern construction stage the operator shall submit a report with the results of all tests regarding cave</w:t>
      </w:r>
      <w:r w:rsidR="00174800" w:rsidRPr="002E455D">
        <w:rPr>
          <w:szCs w:val="22"/>
        </w:rPr>
        <w:t>rn integrity.</w:t>
      </w:r>
    </w:p>
    <w:p w14:paraId="60D09FAA" w14:textId="3911B8BD" w:rsidR="00FB3A66" w:rsidRPr="002E455D" w:rsidRDefault="00FB3A66" w:rsidP="002E455D">
      <w:pPr>
        <w:pStyle w:val="List-arabicnumbers"/>
        <w:rPr>
          <w:szCs w:val="22"/>
        </w:rPr>
      </w:pPr>
      <w:r w:rsidRPr="002E455D">
        <w:rPr>
          <w:szCs w:val="22"/>
        </w:rPr>
        <w:t>Within 90 days of completion of cavern construction, the permittee shall provide notification to the</w:t>
      </w:r>
      <w:r w:rsidR="0025670D" w:rsidRPr="002E455D">
        <w:rPr>
          <w:szCs w:val="22"/>
        </w:rPr>
        <w:t xml:space="preserve"> </w:t>
      </w:r>
      <w:r w:rsidRPr="002E455D">
        <w:rPr>
          <w:szCs w:val="22"/>
        </w:rPr>
        <w:t xml:space="preserve">executive director which states that the cavern construction </w:t>
      </w:r>
      <w:proofErr w:type="gramStart"/>
      <w:r w:rsidRPr="002E455D">
        <w:rPr>
          <w:szCs w:val="22"/>
        </w:rPr>
        <w:t>is in compliance with</w:t>
      </w:r>
      <w:proofErr w:type="gramEnd"/>
      <w:r w:rsidRPr="002E455D">
        <w:rPr>
          <w:szCs w:val="22"/>
        </w:rPr>
        <w:t xml:space="preserve"> the</w:t>
      </w:r>
      <w:r w:rsidR="0025670D" w:rsidRPr="002E455D">
        <w:rPr>
          <w:szCs w:val="22"/>
        </w:rPr>
        <w:t xml:space="preserve"> </w:t>
      </w:r>
      <w:r w:rsidRPr="002E455D">
        <w:rPr>
          <w:szCs w:val="22"/>
        </w:rPr>
        <w:t>appli</w:t>
      </w:r>
      <w:r w:rsidR="0025670D" w:rsidRPr="002E455D">
        <w:rPr>
          <w:szCs w:val="22"/>
        </w:rPr>
        <w:t xml:space="preserve">cable provisions of the permit. </w:t>
      </w:r>
      <w:r w:rsidRPr="002E455D">
        <w:rPr>
          <w:szCs w:val="22"/>
        </w:rPr>
        <w:t>The permittee shall submit to the executi</w:t>
      </w:r>
      <w:r w:rsidR="0025670D" w:rsidRPr="002E455D">
        <w:rPr>
          <w:szCs w:val="22"/>
        </w:rPr>
        <w:t xml:space="preserve">ve director reports and </w:t>
      </w:r>
      <w:r w:rsidRPr="002E455D">
        <w:rPr>
          <w:szCs w:val="22"/>
        </w:rPr>
        <w:t>certifications</w:t>
      </w:r>
      <w:r w:rsidR="003C284E" w:rsidRPr="002E455D">
        <w:rPr>
          <w:szCs w:val="22"/>
        </w:rPr>
        <w:t xml:space="preserve"> in accordance </w:t>
      </w:r>
      <w:r w:rsidR="00C87C8A" w:rsidRPr="002E455D">
        <w:rPr>
          <w:szCs w:val="22"/>
        </w:rPr>
        <w:t>with §</w:t>
      </w:r>
      <w:r w:rsidR="003C284E" w:rsidRPr="002E455D">
        <w:rPr>
          <w:szCs w:val="22"/>
        </w:rPr>
        <w:t>331.244(f)(2).</w:t>
      </w:r>
    </w:p>
    <w:p w14:paraId="3E8A335F" w14:textId="77777777" w:rsidR="00AC00FE" w:rsidRPr="00840AD5" w:rsidRDefault="002D7C6B" w:rsidP="00B64B10">
      <w:pPr>
        <w:pStyle w:val="H3TCEQ"/>
      </w:pPr>
      <w:r w:rsidRPr="00840AD5">
        <w:lastRenderedPageBreak/>
        <w:t xml:space="preserve">Section </w:t>
      </w:r>
      <w:r w:rsidR="00535670" w:rsidRPr="00840AD5">
        <w:t>H</w:t>
      </w:r>
      <w:r w:rsidRPr="00840AD5">
        <w:t>.  Termination of Coverage</w:t>
      </w:r>
      <w:r w:rsidR="003D455C" w:rsidRPr="00840AD5">
        <w:t xml:space="preserve"> </w:t>
      </w:r>
    </w:p>
    <w:p w14:paraId="56E18B97" w14:textId="77777777" w:rsidR="00E07363" w:rsidRPr="00EB4D00" w:rsidRDefault="00580ADF" w:rsidP="00BA1936">
      <w:pPr>
        <w:pStyle w:val="List-arabicnumbers"/>
        <w:numPr>
          <w:ilvl w:val="0"/>
          <w:numId w:val="18"/>
        </w:numPr>
        <w:ind w:left="720"/>
        <w:rPr>
          <w:szCs w:val="22"/>
        </w:rPr>
      </w:pPr>
      <w:r w:rsidRPr="00EB4D00">
        <w:rPr>
          <w:szCs w:val="22"/>
        </w:rPr>
        <w:t>An owner or operator</w:t>
      </w:r>
      <w:r w:rsidR="00E74A01" w:rsidRPr="00EB4D00">
        <w:rPr>
          <w:szCs w:val="22"/>
        </w:rPr>
        <w:t xml:space="preserve"> shall terminate coverage under this general pe</w:t>
      </w:r>
      <w:r w:rsidR="00DA352F" w:rsidRPr="00EB4D00">
        <w:rPr>
          <w:szCs w:val="22"/>
        </w:rPr>
        <w:t>rmit through the submittal of an NOT</w:t>
      </w:r>
      <w:r w:rsidR="00E74A01" w:rsidRPr="00EB4D00">
        <w:rPr>
          <w:szCs w:val="22"/>
        </w:rPr>
        <w:t>, on a form approved by the execut</w:t>
      </w:r>
      <w:r w:rsidR="00CF3864" w:rsidRPr="00EB4D00">
        <w:rPr>
          <w:szCs w:val="22"/>
        </w:rPr>
        <w:t xml:space="preserve">ive director, when one </w:t>
      </w:r>
      <w:r w:rsidR="00E07363" w:rsidRPr="00EB4D00">
        <w:rPr>
          <w:szCs w:val="22"/>
        </w:rPr>
        <w:t>of the following conditions occurs:</w:t>
      </w:r>
    </w:p>
    <w:p w14:paraId="25B51605" w14:textId="77777777" w:rsidR="00E07363" w:rsidRPr="00EB4D00" w:rsidRDefault="00E74A01" w:rsidP="00BA1936">
      <w:pPr>
        <w:pStyle w:val="List-LowerCaseAlpha"/>
        <w:numPr>
          <w:ilvl w:val="0"/>
          <w:numId w:val="19"/>
        </w:numPr>
        <w:rPr>
          <w:szCs w:val="22"/>
        </w:rPr>
      </w:pPr>
      <w:r w:rsidRPr="00EB4D00">
        <w:rPr>
          <w:szCs w:val="22"/>
        </w:rPr>
        <w:t>owner or o</w:t>
      </w:r>
      <w:r w:rsidR="00E07363" w:rsidRPr="00EB4D00">
        <w:rPr>
          <w:szCs w:val="22"/>
        </w:rPr>
        <w:t>perator of the facility changes;</w:t>
      </w:r>
    </w:p>
    <w:p w14:paraId="2F1A8274" w14:textId="77777777" w:rsidR="00E07363" w:rsidRPr="00EB4D00" w:rsidRDefault="00E74A01" w:rsidP="00EB4D00">
      <w:pPr>
        <w:pStyle w:val="List-LowerCaseAlpha"/>
        <w:rPr>
          <w:szCs w:val="22"/>
        </w:rPr>
      </w:pPr>
      <w:r w:rsidRPr="00EB4D00">
        <w:rPr>
          <w:szCs w:val="22"/>
        </w:rPr>
        <w:t xml:space="preserve">the </w:t>
      </w:r>
      <w:r w:rsidR="00031402" w:rsidRPr="00EB4D00">
        <w:rPr>
          <w:szCs w:val="22"/>
        </w:rPr>
        <w:t>injection of waste</w:t>
      </w:r>
      <w:r w:rsidRPr="00EB4D00">
        <w:rPr>
          <w:szCs w:val="22"/>
        </w:rPr>
        <w:t xml:space="preserve"> becomes authori</w:t>
      </w:r>
      <w:r w:rsidR="00E07363" w:rsidRPr="00EB4D00">
        <w:rPr>
          <w:szCs w:val="22"/>
        </w:rPr>
        <w:t>zed under an individual permit;</w:t>
      </w:r>
    </w:p>
    <w:p w14:paraId="270B5E4E" w14:textId="77777777" w:rsidR="00E07363" w:rsidRPr="00EB4D00" w:rsidRDefault="00E74A01" w:rsidP="00EB4D00">
      <w:pPr>
        <w:pStyle w:val="List-LowerCaseAlpha"/>
        <w:rPr>
          <w:szCs w:val="22"/>
        </w:rPr>
      </w:pPr>
      <w:r w:rsidRPr="00EB4D00">
        <w:rPr>
          <w:szCs w:val="22"/>
        </w:rPr>
        <w:t>the use of the property changes and is no longer subject to regul</w:t>
      </w:r>
      <w:r w:rsidR="00E07363" w:rsidRPr="00EB4D00">
        <w:rPr>
          <w:szCs w:val="22"/>
        </w:rPr>
        <w:t>ation under this general permit; or</w:t>
      </w:r>
    </w:p>
    <w:p w14:paraId="7A2D98B8" w14:textId="77777777" w:rsidR="00A05A36" w:rsidRPr="00EB4D00" w:rsidRDefault="00E74A01" w:rsidP="00EB4D00">
      <w:pPr>
        <w:pStyle w:val="List-LowerCaseAlpha"/>
        <w:rPr>
          <w:szCs w:val="22"/>
        </w:rPr>
      </w:pPr>
      <w:r w:rsidRPr="00EB4D00">
        <w:rPr>
          <w:szCs w:val="22"/>
        </w:rPr>
        <w:t xml:space="preserve">the waste </w:t>
      </w:r>
      <w:r w:rsidR="002F0062" w:rsidRPr="00EB4D00">
        <w:rPr>
          <w:szCs w:val="22"/>
        </w:rPr>
        <w:t>injection</w:t>
      </w:r>
      <w:r w:rsidRPr="00EB4D00">
        <w:rPr>
          <w:szCs w:val="22"/>
        </w:rPr>
        <w:t xml:space="preserve"> becomes unnecessary</w:t>
      </w:r>
      <w:r w:rsidR="00AB5B03" w:rsidRPr="00EB4D00">
        <w:rPr>
          <w:szCs w:val="22"/>
        </w:rPr>
        <w:t xml:space="preserve"> </w:t>
      </w:r>
      <w:r w:rsidRPr="00EB4D00">
        <w:rPr>
          <w:szCs w:val="22"/>
        </w:rPr>
        <w:t>or is completed.</w:t>
      </w:r>
    </w:p>
    <w:p w14:paraId="4248C880" w14:textId="77777777" w:rsidR="00E74A01" w:rsidRPr="0097213E" w:rsidRDefault="00E74A01" w:rsidP="00EB4D00">
      <w:pPr>
        <w:pStyle w:val="List-arabicnumbers"/>
        <w:rPr>
          <w:b/>
        </w:rPr>
      </w:pPr>
      <w:r w:rsidRPr="0097213E">
        <w:t xml:space="preserve">Authorization to </w:t>
      </w:r>
      <w:r w:rsidR="00266EC0" w:rsidRPr="0097213E">
        <w:t>inject waste under the general permit</w:t>
      </w:r>
      <w:r w:rsidRPr="0097213E">
        <w:t xml:space="preserve"> terminates at midnight on the day that an NOT is postmarked for delivery to the TCEQ</w:t>
      </w:r>
      <w:r w:rsidR="008042D9" w:rsidRPr="0097213E">
        <w:t xml:space="preserve"> except in the case of a permit transfer</w:t>
      </w:r>
      <w:r w:rsidRPr="0097213E">
        <w:t>.</w:t>
      </w:r>
      <w:r w:rsidR="00496079" w:rsidRPr="0097213E">
        <w:t xml:space="preserve">  Please refer to Part </w:t>
      </w:r>
      <w:r w:rsidR="00BF38B4" w:rsidRPr="0097213E">
        <w:t>II.C.</w:t>
      </w:r>
      <w:r w:rsidR="004A6AE0" w:rsidRPr="0097213E">
        <w:t>9</w:t>
      </w:r>
      <w:r w:rsidR="00BF38B4" w:rsidRPr="0097213E">
        <w:t>.</w:t>
      </w:r>
    </w:p>
    <w:p w14:paraId="7D40A180" w14:textId="77777777" w:rsidR="00BD6612" w:rsidRPr="00840AD5" w:rsidRDefault="00BD6612" w:rsidP="00B64B10">
      <w:pPr>
        <w:pStyle w:val="H3TCEQ"/>
      </w:pPr>
      <w:r w:rsidRPr="00B64B10">
        <w:t>Section</w:t>
      </w:r>
      <w:r w:rsidRPr="00840AD5">
        <w:t xml:space="preserve"> </w:t>
      </w:r>
      <w:r w:rsidR="00535670" w:rsidRPr="00840AD5">
        <w:t>I</w:t>
      </w:r>
      <w:r w:rsidRPr="00840AD5">
        <w:t xml:space="preserve">.  Denial of </w:t>
      </w:r>
      <w:r w:rsidR="001E5B57" w:rsidRPr="00840AD5">
        <w:t>Authorization</w:t>
      </w:r>
    </w:p>
    <w:p w14:paraId="3380A4E3" w14:textId="77777777" w:rsidR="00531E1C" w:rsidRPr="00974B8B" w:rsidRDefault="00531E1C" w:rsidP="00BA1936">
      <w:pPr>
        <w:pStyle w:val="List-arabicnumbers"/>
        <w:numPr>
          <w:ilvl w:val="0"/>
          <w:numId w:val="20"/>
        </w:numPr>
        <w:ind w:left="720"/>
      </w:pPr>
      <w:r w:rsidRPr="00974B8B">
        <w:t>The executive director shall deny authorization to inject waste under an existing general permit for reasons stated in 30 TAC §331.203(c)(</w:t>
      </w:r>
      <w:r w:rsidR="008056E0" w:rsidRPr="00974B8B">
        <w:t>2</w:t>
      </w:r>
      <w:r w:rsidRPr="00974B8B">
        <w:t>).</w:t>
      </w:r>
    </w:p>
    <w:p w14:paraId="694255D4" w14:textId="77777777" w:rsidR="001C56ED" w:rsidRPr="00974B8B" w:rsidRDefault="00531E1C" w:rsidP="00974B8B">
      <w:pPr>
        <w:pStyle w:val="List-arabicnumbers"/>
      </w:pPr>
      <w:r w:rsidRPr="00974B8B">
        <w:t>The executive director may deny authorization to inject or operate an injection well under an existing general permit for reasons including, but not limited to those state</w:t>
      </w:r>
      <w:r w:rsidR="001C56ED" w:rsidRPr="00974B8B">
        <w:t>d in 30 TAC §331.203(c)(3).</w:t>
      </w:r>
    </w:p>
    <w:p w14:paraId="30E39D27" w14:textId="77777777" w:rsidR="006369CB" w:rsidRPr="00974B8B" w:rsidRDefault="001C56ED" w:rsidP="00974B8B">
      <w:pPr>
        <w:pStyle w:val="List-arabicnumbers"/>
      </w:pPr>
      <w:r w:rsidRPr="00974B8B">
        <w:t xml:space="preserve">As stated in 30 TAC §331.203(c)(1), the executive director shall provide written notice to a facility if the executive director denies the facility's </w:t>
      </w:r>
      <w:r w:rsidR="00491E1E" w:rsidRPr="00974B8B">
        <w:t>NOI</w:t>
      </w:r>
      <w:r w:rsidRPr="00974B8B">
        <w:t xml:space="preserve"> or authorization to inject waste under a general permit, including, at a minimum, a brief statement of the basis for this decision.</w:t>
      </w:r>
    </w:p>
    <w:p w14:paraId="2710B3AA" w14:textId="77777777" w:rsidR="00294893" w:rsidRPr="0097213E" w:rsidRDefault="006369CB" w:rsidP="00B64B10">
      <w:pPr>
        <w:pStyle w:val="H3TCEQ"/>
      </w:pPr>
      <w:r w:rsidRPr="0097213E">
        <w:t xml:space="preserve">Section </w:t>
      </w:r>
      <w:r w:rsidR="00535670" w:rsidRPr="0097213E">
        <w:t>J</w:t>
      </w:r>
      <w:r w:rsidRPr="0097213E">
        <w:t>.  Suspension of Authorization</w:t>
      </w:r>
    </w:p>
    <w:p w14:paraId="46C95A12" w14:textId="77777777" w:rsidR="00294893" w:rsidRPr="00534305" w:rsidRDefault="00060140" w:rsidP="00BA1936">
      <w:pPr>
        <w:pStyle w:val="List-arabicnumbers"/>
        <w:numPr>
          <w:ilvl w:val="0"/>
          <w:numId w:val="21"/>
        </w:numPr>
        <w:ind w:left="720"/>
        <w:rPr>
          <w:szCs w:val="22"/>
        </w:rPr>
      </w:pPr>
      <w:r w:rsidRPr="00534305">
        <w:rPr>
          <w:szCs w:val="22"/>
        </w:rPr>
        <w:t xml:space="preserve">The executive director </w:t>
      </w:r>
      <w:r w:rsidR="00294893" w:rsidRPr="00534305">
        <w:rPr>
          <w:szCs w:val="22"/>
        </w:rPr>
        <w:t>shall</w:t>
      </w:r>
      <w:r w:rsidRPr="00534305">
        <w:rPr>
          <w:szCs w:val="22"/>
        </w:rPr>
        <w:t xml:space="preserve"> provide written notice to </w:t>
      </w:r>
      <w:r w:rsidR="00580ADF" w:rsidRPr="00534305">
        <w:rPr>
          <w:szCs w:val="22"/>
        </w:rPr>
        <w:t>an owner or operator</w:t>
      </w:r>
      <w:r w:rsidRPr="00534305">
        <w:rPr>
          <w:szCs w:val="22"/>
        </w:rPr>
        <w:t xml:space="preserve"> that the executive director intends to suspend </w:t>
      </w:r>
      <w:r w:rsidR="00580ADF" w:rsidRPr="00534305">
        <w:rPr>
          <w:szCs w:val="22"/>
        </w:rPr>
        <w:t>the owner or operator</w:t>
      </w:r>
      <w:r w:rsidRPr="00534305">
        <w:rPr>
          <w:szCs w:val="22"/>
        </w:rPr>
        <w:t>'s authority to inject waste under a general permit, including:</w:t>
      </w:r>
    </w:p>
    <w:p w14:paraId="35915229" w14:textId="77777777" w:rsidR="00294893" w:rsidRPr="00534305" w:rsidRDefault="00060140" w:rsidP="00BA1936">
      <w:pPr>
        <w:pStyle w:val="List-LowerCaseAlpha"/>
        <w:numPr>
          <w:ilvl w:val="0"/>
          <w:numId w:val="22"/>
        </w:numPr>
        <w:rPr>
          <w:b/>
        </w:rPr>
      </w:pPr>
      <w:r w:rsidRPr="0097213E">
        <w:t xml:space="preserve">a brief statement of the basis for this </w:t>
      </w:r>
      <w:r w:rsidR="00294893" w:rsidRPr="0097213E">
        <w:t>decision;</w:t>
      </w:r>
    </w:p>
    <w:p w14:paraId="2309BEC5" w14:textId="77777777" w:rsidR="00294893" w:rsidRPr="0097213E" w:rsidRDefault="00060140" w:rsidP="00534305">
      <w:pPr>
        <w:pStyle w:val="List-LowerCaseAlpha"/>
        <w:rPr>
          <w:b/>
        </w:rPr>
      </w:pPr>
      <w:r w:rsidRPr="0097213E">
        <w:t xml:space="preserve">a statement of whether </w:t>
      </w:r>
      <w:r w:rsidR="00580ADF" w:rsidRPr="0097213E">
        <w:t>the owner or operator</w:t>
      </w:r>
      <w:r w:rsidRPr="0097213E">
        <w:t xml:space="preserve"> shall immedi</w:t>
      </w:r>
      <w:r w:rsidR="00294893" w:rsidRPr="0097213E">
        <w:t>ately cease injection of waste;</w:t>
      </w:r>
    </w:p>
    <w:p w14:paraId="47E8572B" w14:textId="77777777" w:rsidR="00294893" w:rsidRPr="0097213E" w:rsidRDefault="00060140" w:rsidP="00534305">
      <w:pPr>
        <w:pStyle w:val="List-LowerCaseAlpha"/>
        <w:rPr>
          <w:b/>
        </w:rPr>
      </w:pPr>
      <w:r w:rsidRPr="0097213E">
        <w:t xml:space="preserve">a statement setting the deadline for filing the application for an individual permit; and </w:t>
      </w:r>
    </w:p>
    <w:p w14:paraId="3764F107" w14:textId="77777777" w:rsidR="00294893" w:rsidRPr="0097213E" w:rsidRDefault="00060140" w:rsidP="00534305">
      <w:pPr>
        <w:pStyle w:val="List-LowerCaseAlpha"/>
        <w:rPr>
          <w:b/>
        </w:rPr>
      </w:pPr>
      <w:r w:rsidRPr="0097213E">
        <w:t xml:space="preserve">a statement that </w:t>
      </w:r>
      <w:r w:rsidR="00580ADF" w:rsidRPr="0097213E">
        <w:t>the owner or operator</w:t>
      </w:r>
      <w:r w:rsidRPr="0097213E">
        <w:t xml:space="preserve">'s waste injection authorization under the general permit shall be suspended on the effective date of the commission's action on the individual permit application unless the commission expressly provides otherwise, or unless the executive </w:t>
      </w:r>
      <w:r w:rsidRPr="0097213E">
        <w:lastRenderedPageBreak/>
        <w:t xml:space="preserve">director has required </w:t>
      </w:r>
      <w:r w:rsidR="00580ADF" w:rsidRPr="0097213E">
        <w:t>the owner or operator</w:t>
      </w:r>
      <w:r w:rsidRPr="0097213E">
        <w:t xml:space="preserve"> to immediately cease injection of waste.</w:t>
      </w:r>
    </w:p>
    <w:p w14:paraId="367F5C4E" w14:textId="77777777" w:rsidR="002E0DB4" w:rsidRPr="00002B74" w:rsidRDefault="002F1DC4" w:rsidP="00002B74">
      <w:pPr>
        <w:pStyle w:val="List-arabicnumbers"/>
        <w:rPr>
          <w:szCs w:val="22"/>
        </w:rPr>
      </w:pPr>
      <w:r w:rsidRPr="00002B74">
        <w:rPr>
          <w:szCs w:val="22"/>
        </w:rPr>
        <w:t xml:space="preserve">If </w:t>
      </w:r>
      <w:r w:rsidR="00580ADF" w:rsidRPr="00002B74">
        <w:rPr>
          <w:szCs w:val="22"/>
        </w:rPr>
        <w:t>an owner or operator</w:t>
      </w:r>
      <w:r w:rsidRPr="00002B74">
        <w:rPr>
          <w:szCs w:val="22"/>
        </w:rPr>
        <w:t xml:space="preserve">'s authorization under a general permit is suspended, </w:t>
      </w:r>
      <w:r w:rsidR="00580ADF" w:rsidRPr="00002B74">
        <w:rPr>
          <w:szCs w:val="22"/>
        </w:rPr>
        <w:t>the owner or operator</w:t>
      </w:r>
      <w:r w:rsidRPr="00002B74">
        <w:rPr>
          <w:szCs w:val="22"/>
        </w:rPr>
        <w:t xml:space="preserve"> shall immediately cease waste injection</w:t>
      </w:r>
      <w:r w:rsidR="00174800" w:rsidRPr="00002B74">
        <w:rPr>
          <w:szCs w:val="22"/>
        </w:rPr>
        <w:t>.</w:t>
      </w:r>
    </w:p>
    <w:p w14:paraId="4F04F01B" w14:textId="77777777" w:rsidR="002E0DB4" w:rsidRPr="00002B74" w:rsidRDefault="003E6B52" w:rsidP="00002B74">
      <w:pPr>
        <w:pStyle w:val="List-arabicnumbers"/>
        <w:rPr>
          <w:szCs w:val="22"/>
        </w:rPr>
      </w:pPr>
      <w:r w:rsidRPr="00002B74">
        <w:rPr>
          <w:szCs w:val="22"/>
        </w:rPr>
        <w:t>The executive director may require the person whose authorization to inject or operate an injection well is suspended to apply for and obtain an individual permit</w:t>
      </w:r>
      <w:r w:rsidR="00174800" w:rsidRPr="00002B74">
        <w:rPr>
          <w:szCs w:val="22"/>
        </w:rPr>
        <w:t>.</w:t>
      </w:r>
    </w:p>
    <w:p w14:paraId="0B7C1880" w14:textId="77777777" w:rsidR="002E0DB4" w:rsidRPr="00002B74" w:rsidRDefault="00060140" w:rsidP="00002B74">
      <w:pPr>
        <w:pStyle w:val="List-arabicnumbers"/>
        <w:rPr>
          <w:szCs w:val="22"/>
        </w:rPr>
      </w:pPr>
      <w:r w:rsidRPr="00002B74">
        <w:rPr>
          <w:szCs w:val="22"/>
        </w:rPr>
        <w:t xml:space="preserve">After providing written notice to </w:t>
      </w:r>
      <w:r w:rsidR="00580ADF" w:rsidRPr="00002B74">
        <w:rPr>
          <w:szCs w:val="22"/>
        </w:rPr>
        <w:t>the owner or operator</w:t>
      </w:r>
      <w:r w:rsidRPr="00002B74">
        <w:rPr>
          <w:szCs w:val="22"/>
        </w:rPr>
        <w:t>, the executive director shall suspend authorization to inject or operate an injection well under an existing general permit for the following reasons:</w:t>
      </w:r>
    </w:p>
    <w:p w14:paraId="32C48E10" w14:textId="77777777" w:rsidR="002E0DB4" w:rsidRPr="00002B74" w:rsidRDefault="00060140" w:rsidP="00BA1936">
      <w:pPr>
        <w:pStyle w:val="List-LowerCaseAlpha"/>
        <w:numPr>
          <w:ilvl w:val="0"/>
          <w:numId w:val="23"/>
        </w:numPr>
        <w:rPr>
          <w:szCs w:val="22"/>
        </w:rPr>
      </w:pPr>
      <w:r w:rsidRPr="00002B74">
        <w:rPr>
          <w:szCs w:val="22"/>
        </w:rPr>
        <w:t>the quantity of waste, the type of waste, or the type of operation does not comply with the general permit;</w:t>
      </w:r>
    </w:p>
    <w:p w14:paraId="398AD20E" w14:textId="77777777" w:rsidR="002E0DB4" w:rsidRPr="00002B74" w:rsidRDefault="00580ADF" w:rsidP="00002B74">
      <w:pPr>
        <w:pStyle w:val="List-LowerCaseAlpha"/>
        <w:rPr>
          <w:szCs w:val="22"/>
        </w:rPr>
      </w:pPr>
      <w:r w:rsidRPr="00002B74">
        <w:rPr>
          <w:szCs w:val="22"/>
        </w:rPr>
        <w:t>the owner or operator</w:t>
      </w:r>
      <w:r w:rsidR="00060140" w:rsidRPr="00002B74">
        <w:rPr>
          <w:szCs w:val="22"/>
        </w:rPr>
        <w:t xml:space="preserve"> </w:t>
      </w:r>
      <w:r w:rsidRPr="00002B74">
        <w:rPr>
          <w:szCs w:val="22"/>
        </w:rPr>
        <w:t>of the</w:t>
      </w:r>
      <w:r w:rsidR="00060140" w:rsidRPr="00002B74">
        <w:rPr>
          <w:szCs w:val="22"/>
        </w:rPr>
        <w:t xml:space="preserve"> facility:</w:t>
      </w:r>
    </w:p>
    <w:p w14:paraId="1DA93F8D" w14:textId="77777777" w:rsidR="002E0DB4" w:rsidRPr="00002B74" w:rsidRDefault="00060140" w:rsidP="00BA1936">
      <w:pPr>
        <w:pStyle w:val="List-LowerCasei"/>
        <w:numPr>
          <w:ilvl w:val="0"/>
          <w:numId w:val="24"/>
        </w:numPr>
      </w:pPr>
      <w:r w:rsidRPr="00002B74">
        <w:t>has failed to pay any portion of a delinquent fee or charge assessed by the executive director;</w:t>
      </w:r>
    </w:p>
    <w:p w14:paraId="00F7BD3F" w14:textId="77777777" w:rsidR="002E0DB4" w:rsidRPr="00002B74" w:rsidRDefault="00060140" w:rsidP="00002B74">
      <w:pPr>
        <w:pStyle w:val="List-LowerCasei"/>
      </w:pPr>
      <w:r w:rsidRPr="00002B74">
        <w:t>is not in compliance with all requirements, conditions, and timeframes specified in an unexpired commission final enforcement order relating to the activity regulated by the general permit: or</w:t>
      </w:r>
    </w:p>
    <w:p w14:paraId="3B23D621" w14:textId="77777777" w:rsidR="002E0DB4" w:rsidRPr="00002B74" w:rsidRDefault="00060140" w:rsidP="00002B74">
      <w:pPr>
        <w:pStyle w:val="List-LowerCasei"/>
      </w:pPr>
      <w:r w:rsidRPr="00002B74">
        <w:t>is subject to an unexpired enforcement order that requires the facility to comply with operating conditions different from or additional to the require</w:t>
      </w:r>
      <w:r w:rsidR="009E77CE" w:rsidRPr="00002B74">
        <w:t>ments of the general permit;</w:t>
      </w:r>
      <w:r w:rsidR="00C046E3" w:rsidRPr="00002B74">
        <w:t xml:space="preserve"> and</w:t>
      </w:r>
    </w:p>
    <w:p w14:paraId="68DA8B53" w14:textId="77777777" w:rsidR="002E0DB4" w:rsidRPr="0097213E" w:rsidRDefault="00060140" w:rsidP="00002B74">
      <w:pPr>
        <w:pStyle w:val="List-LowerCaseAlpha"/>
        <w:rPr>
          <w:b/>
        </w:rPr>
      </w:pPr>
      <w:r w:rsidRPr="0097213E">
        <w:t>an application is not received by the deadline specified by rule or in the general permit.</w:t>
      </w:r>
    </w:p>
    <w:p w14:paraId="231FE491" w14:textId="77777777" w:rsidR="002E0DB4" w:rsidRPr="0097213E" w:rsidRDefault="00060140" w:rsidP="00002B74">
      <w:pPr>
        <w:pStyle w:val="List-arabicnumbers"/>
        <w:rPr>
          <w:b/>
        </w:rPr>
      </w:pPr>
      <w:r w:rsidRPr="0097213E">
        <w:t xml:space="preserve">After providing written notice to </w:t>
      </w:r>
      <w:r w:rsidR="00580ADF" w:rsidRPr="0097213E">
        <w:t>the owner or operator</w:t>
      </w:r>
      <w:r w:rsidRPr="0097213E">
        <w:t>, the executive director may suspend authorization to inject waste under an existing general permit for reasons including, but</w:t>
      </w:r>
      <w:r w:rsidR="002E0DB4" w:rsidRPr="0097213E">
        <w:t xml:space="preserve"> not limited to, the following:</w:t>
      </w:r>
    </w:p>
    <w:p w14:paraId="19905A5B" w14:textId="77777777" w:rsidR="002E0DB4" w:rsidRPr="00002B74" w:rsidRDefault="00060140" w:rsidP="00BA1936">
      <w:pPr>
        <w:pStyle w:val="List-LowerCaseAlpha"/>
        <w:numPr>
          <w:ilvl w:val="0"/>
          <w:numId w:val="25"/>
        </w:numPr>
        <w:rPr>
          <w:b/>
        </w:rPr>
      </w:pPr>
      <w:r w:rsidRPr="0097213E">
        <w:t>a change has occurred in the availability of demonstrated technology or practices for the prevention, control, or abatement of pollutants applicable to the injection necessary to be implemented to meet applica</w:t>
      </w:r>
      <w:r w:rsidR="002E0DB4" w:rsidRPr="0097213E">
        <w:t>ble federal or state standards;</w:t>
      </w:r>
    </w:p>
    <w:p w14:paraId="51E71A11" w14:textId="77777777" w:rsidR="002E0DB4" w:rsidRPr="0097213E" w:rsidRDefault="00060140" w:rsidP="00002B74">
      <w:pPr>
        <w:pStyle w:val="List-LowerCaseAlpha"/>
        <w:rPr>
          <w:b/>
        </w:rPr>
      </w:pPr>
      <w:r w:rsidRPr="0097213E">
        <w:t>the owner and/or the operator of the facility has not filed a</w:t>
      </w:r>
      <w:r w:rsidR="0015178D" w:rsidRPr="0097213E">
        <w:t>n NOI</w:t>
      </w:r>
      <w:r w:rsidRPr="0097213E">
        <w:t xml:space="preserve"> in accorda</w:t>
      </w:r>
      <w:r w:rsidR="002E0DB4" w:rsidRPr="0097213E">
        <w:t xml:space="preserve">nce with </w:t>
      </w:r>
      <w:r w:rsidR="003F4758" w:rsidRPr="0097213E">
        <w:t xml:space="preserve">30 TAC </w:t>
      </w:r>
      <w:r w:rsidR="0008341D" w:rsidRPr="0097213E">
        <w:t>§305.43</w:t>
      </w:r>
      <w:r w:rsidR="002E0DB4" w:rsidRPr="0097213E">
        <w:t>;</w:t>
      </w:r>
    </w:p>
    <w:p w14:paraId="29DFE32E" w14:textId="77777777" w:rsidR="002E0DB4" w:rsidRPr="0097213E" w:rsidRDefault="00060140" w:rsidP="00002B74">
      <w:pPr>
        <w:pStyle w:val="List-LowerCaseAlpha"/>
        <w:rPr>
          <w:b/>
        </w:rPr>
      </w:pPr>
      <w:r w:rsidRPr="0097213E">
        <w:t xml:space="preserve">circumstances have changed since the time of the </w:t>
      </w:r>
      <w:r w:rsidR="00AB5377" w:rsidRPr="0097213E">
        <w:t>NOI</w:t>
      </w:r>
      <w:r w:rsidRPr="0097213E">
        <w:t xml:space="preserve"> so that injection of waste is no longer appropriately controlled to meet </w:t>
      </w:r>
      <w:r w:rsidRPr="0097213E">
        <w:lastRenderedPageBreak/>
        <w:t>applicable standards under the general permit, or either a temporary or permanent cessation of the authorize</w:t>
      </w:r>
      <w:r w:rsidR="002E0DB4" w:rsidRPr="0097213E">
        <w:t>d waste injection is necessary;</w:t>
      </w:r>
    </w:p>
    <w:p w14:paraId="0D1B2FDC" w14:textId="77777777" w:rsidR="002E0DB4" w:rsidRPr="0097213E" w:rsidRDefault="00060140" w:rsidP="00002B74">
      <w:pPr>
        <w:pStyle w:val="List-LowerCaseAlpha"/>
        <w:rPr>
          <w:b/>
        </w:rPr>
      </w:pPr>
      <w:r w:rsidRPr="0097213E">
        <w:t xml:space="preserve">the facility has been determined by the executive director to have been out of compliance with any rule, order, or permit of the commission, including </w:t>
      </w:r>
      <w:r w:rsidR="00F902CC" w:rsidRPr="0097213E">
        <w:t>non</w:t>
      </w:r>
      <w:r w:rsidRPr="0097213E">
        <w:t>payment of fees assessed by the executive director; and</w:t>
      </w:r>
    </w:p>
    <w:p w14:paraId="6707BDB9" w14:textId="77777777" w:rsidR="00060140" w:rsidRPr="0097213E" w:rsidRDefault="00580ADF" w:rsidP="00002B74">
      <w:pPr>
        <w:pStyle w:val="List-LowerCaseAlpha"/>
        <w:rPr>
          <w:b/>
        </w:rPr>
      </w:pPr>
      <w:r w:rsidRPr="0097213E">
        <w:t>the owner or operator</w:t>
      </w:r>
      <w:r w:rsidR="00060140" w:rsidRPr="0097213E">
        <w:t xml:space="preserve"> </w:t>
      </w:r>
      <w:r w:rsidRPr="0097213E">
        <w:t>of the</w:t>
      </w:r>
      <w:r w:rsidR="00060140" w:rsidRPr="0097213E">
        <w:t xml:space="preserve"> facility is the subject of an unresolved agency enforcement action in which the executive director has issued written notice that enforcement has been initiated. </w:t>
      </w:r>
    </w:p>
    <w:p w14:paraId="2F0641E4" w14:textId="2DAA5E43" w:rsidR="00287815" w:rsidRPr="00840AD5" w:rsidRDefault="00535670" w:rsidP="00B64B10">
      <w:pPr>
        <w:pStyle w:val="H3TCEQ"/>
      </w:pPr>
      <w:r w:rsidRPr="00840AD5">
        <w:t>Section K</w:t>
      </w:r>
      <w:r w:rsidR="00F93EB6" w:rsidRPr="00840AD5">
        <w:t xml:space="preserve">.  </w:t>
      </w:r>
      <w:r w:rsidR="00E94DAC" w:rsidRPr="00840AD5">
        <w:t xml:space="preserve">Authorization </w:t>
      </w:r>
      <w:r w:rsidR="00CB1797" w:rsidRPr="00840AD5">
        <w:t>under</w:t>
      </w:r>
      <w:r w:rsidR="00CB5236" w:rsidRPr="00840AD5">
        <w:t xml:space="preserve"> a </w:t>
      </w:r>
      <w:r w:rsidR="007E0302" w:rsidRPr="00840AD5">
        <w:t>UIC</w:t>
      </w:r>
      <w:r w:rsidR="003C4FB5" w:rsidRPr="00840AD5">
        <w:t xml:space="preserve"> Individual Permit</w:t>
      </w:r>
      <w:r w:rsidR="0029285E" w:rsidRPr="00840AD5">
        <w:t xml:space="preserve"> </w:t>
      </w:r>
    </w:p>
    <w:p w14:paraId="1E1A9FF2" w14:textId="77777777" w:rsidR="00E42510" w:rsidRPr="00720347" w:rsidRDefault="0029285E" w:rsidP="00BA1936">
      <w:pPr>
        <w:pStyle w:val="List-arabicnumbers"/>
        <w:numPr>
          <w:ilvl w:val="0"/>
          <w:numId w:val="26"/>
        </w:numPr>
        <w:ind w:left="720"/>
        <w:rPr>
          <w:szCs w:val="22"/>
        </w:rPr>
      </w:pPr>
      <w:r w:rsidRPr="00720347">
        <w:rPr>
          <w:szCs w:val="22"/>
        </w:rPr>
        <w:t>Injection of waste</w:t>
      </w:r>
      <w:r w:rsidR="00287815" w:rsidRPr="00720347">
        <w:rPr>
          <w:szCs w:val="22"/>
        </w:rPr>
        <w:t xml:space="preserve"> eligible for authorization by this general permit may alternatively be authorized by an individual </w:t>
      </w:r>
      <w:r w:rsidR="00294282" w:rsidRPr="00720347">
        <w:rPr>
          <w:szCs w:val="22"/>
        </w:rPr>
        <w:t xml:space="preserve">Class I UIC </w:t>
      </w:r>
      <w:r w:rsidR="00287815" w:rsidRPr="00720347">
        <w:rPr>
          <w:szCs w:val="22"/>
        </w:rPr>
        <w:t>permit according to 30 TAC Chapter 3</w:t>
      </w:r>
      <w:r w:rsidR="00E22DED" w:rsidRPr="00720347">
        <w:rPr>
          <w:szCs w:val="22"/>
        </w:rPr>
        <w:t>31</w:t>
      </w:r>
      <w:r w:rsidR="00287815" w:rsidRPr="00720347">
        <w:rPr>
          <w:szCs w:val="22"/>
        </w:rPr>
        <w:t xml:space="preserve"> (relating to </w:t>
      </w:r>
      <w:r w:rsidR="00E22DED" w:rsidRPr="00720347">
        <w:rPr>
          <w:szCs w:val="22"/>
        </w:rPr>
        <w:t>Underground Injection Control</w:t>
      </w:r>
      <w:r w:rsidR="00287815" w:rsidRPr="00720347">
        <w:rPr>
          <w:szCs w:val="22"/>
        </w:rPr>
        <w:t>).</w:t>
      </w:r>
    </w:p>
    <w:p w14:paraId="7E76D1C4" w14:textId="77777777" w:rsidR="00E42510" w:rsidRPr="00720347" w:rsidRDefault="00425086" w:rsidP="00720347">
      <w:pPr>
        <w:pStyle w:val="List-arabicnumbers"/>
        <w:rPr>
          <w:szCs w:val="22"/>
        </w:rPr>
      </w:pPr>
      <w:r w:rsidRPr="00720347">
        <w:rPr>
          <w:szCs w:val="22"/>
        </w:rPr>
        <w:t xml:space="preserve">When an individual permit is issued for </w:t>
      </w:r>
      <w:r w:rsidR="00327340" w:rsidRPr="00720347">
        <w:rPr>
          <w:szCs w:val="22"/>
        </w:rPr>
        <w:t>injection of waste</w:t>
      </w:r>
      <w:r w:rsidRPr="00720347">
        <w:rPr>
          <w:szCs w:val="22"/>
        </w:rPr>
        <w:t xml:space="preserve"> that is currently authorized under this general permit, </w:t>
      </w:r>
      <w:r w:rsidR="00580ADF" w:rsidRPr="00720347">
        <w:rPr>
          <w:szCs w:val="22"/>
        </w:rPr>
        <w:t>the owner or operator</w:t>
      </w:r>
      <w:r w:rsidRPr="00720347">
        <w:rPr>
          <w:szCs w:val="22"/>
        </w:rPr>
        <w:t xml:space="preserve"> shall terminate coverage under this general permit and shall submit a</w:t>
      </w:r>
      <w:r w:rsidR="00DB170E" w:rsidRPr="00720347">
        <w:rPr>
          <w:szCs w:val="22"/>
        </w:rPr>
        <w:t>n</w:t>
      </w:r>
      <w:r w:rsidRPr="00720347">
        <w:rPr>
          <w:szCs w:val="22"/>
        </w:rPr>
        <w:t xml:space="preserve"> NOT to the </w:t>
      </w:r>
      <w:r w:rsidR="004561D5" w:rsidRPr="00720347">
        <w:rPr>
          <w:szCs w:val="22"/>
        </w:rPr>
        <w:t>executive director</w:t>
      </w:r>
      <w:r w:rsidRPr="00720347">
        <w:rPr>
          <w:szCs w:val="22"/>
        </w:rPr>
        <w:t xml:space="preserve">.  The authorization under this general permit will be terminated when the </w:t>
      </w:r>
      <w:r w:rsidR="004561D5" w:rsidRPr="00720347">
        <w:rPr>
          <w:szCs w:val="22"/>
        </w:rPr>
        <w:t>executive director</w:t>
      </w:r>
      <w:r w:rsidRPr="00720347">
        <w:rPr>
          <w:szCs w:val="22"/>
        </w:rPr>
        <w:t xml:space="preserve"> </w:t>
      </w:r>
      <w:r w:rsidR="001C3364" w:rsidRPr="00720347">
        <w:rPr>
          <w:szCs w:val="22"/>
        </w:rPr>
        <w:t>has issued</w:t>
      </w:r>
      <w:r w:rsidRPr="00720347">
        <w:rPr>
          <w:szCs w:val="22"/>
        </w:rPr>
        <w:t xml:space="preserve"> the individual permit and receive</w:t>
      </w:r>
      <w:r w:rsidR="001C3364" w:rsidRPr="00720347">
        <w:rPr>
          <w:szCs w:val="22"/>
        </w:rPr>
        <w:t>d</w:t>
      </w:r>
      <w:r w:rsidRPr="00720347">
        <w:rPr>
          <w:szCs w:val="22"/>
        </w:rPr>
        <w:t xml:space="preserve"> the NOT.</w:t>
      </w:r>
    </w:p>
    <w:p w14:paraId="2F5A37A7" w14:textId="77777777" w:rsidR="00E21A36" w:rsidRPr="00750EB4" w:rsidRDefault="00E21A36" w:rsidP="00B64B10">
      <w:pPr>
        <w:pStyle w:val="H3TCEQ"/>
      </w:pPr>
      <w:r w:rsidRPr="00B64B10">
        <w:t>Section</w:t>
      </w:r>
      <w:r w:rsidR="00535670" w:rsidRPr="00750EB4">
        <w:t xml:space="preserve"> L</w:t>
      </w:r>
      <w:r w:rsidR="00F93EB6" w:rsidRPr="00750EB4">
        <w:t xml:space="preserve">.  </w:t>
      </w:r>
      <w:r w:rsidRPr="00750EB4">
        <w:t xml:space="preserve">Authorization of an Individually-Permitted Well under the </w:t>
      </w:r>
      <w:r w:rsidR="0009276B" w:rsidRPr="00750EB4">
        <w:t xml:space="preserve">UIC </w:t>
      </w:r>
      <w:r w:rsidRPr="00750EB4">
        <w:t xml:space="preserve">General Permit </w:t>
      </w:r>
    </w:p>
    <w:p w14:paraId="3315C76D" w14:textId="77777777" w:rsidR="00287815" w:rsidRPr="0097213E" w:rsidRDefault="00E21A36" w:rsidP="0040088F">
      <w:pPr>
        <w:pStyle w:val="BodyTextIndent"/>
        <w:rPr>
          <w:b/>
        </w:rPr>
      </w:pPr>
      <w:r w:rsidRPr="0097213E">
        <w:t xml:space="preserve">A facility </w:t>
      </w:r>
      <w:r w:rsidR="00B23BF2" w:rsidRPr="0097213E">
        <w:t>shall not</w:t>
      </w:r>
      <w:r w:rsidRPr="0097213E">
        <w:t xml:space="preserve"> </w:t>
      </w:r>
      <w:r w:rsidR="0058291B" w:rsidRPr="0097213E">
        <w:t xml:space="preserve">have Class I injection well authorization </w:t>
      </w:r>
      <w:r w:rsidRPr="0097213E">
        <w:t xml:space="preserve">under both an individual permit and the general permit.  </w:t>
      </w:r>
      <w:r w:rsidR="00EF612C" w:rsidRPr="0097213E">
        <w:t>Waste injection</w:t>
      </w:r>
      <w:r w:rsidR="00287815" w:rsidRPr="0097213E">
        <w:t xml:space="preserve"> </w:t>
      </w:r>
      <w:r w:rsidR="00EF612C" w:rsidRPr="0097213E">
        <w:t>at</w:t>
      </w:r>
      <w:r w:rsidR="00287815" w:rsidRPr="0097213E">
        <w:t xml:space="preserve"> facilities currently authorized by a </w:t>
      </w:r>
      <w:r w:rsidR="00EF612C" w:rsidRPr="0097213E">
        <w:t xml:space="preserve">Class I UIC individual permit </w:t>
      </w:r>
      <w:r w:rsidR="00287815" w:rsidRPr="0097213E">
        <w:t>may only be authorized under this general permit if the following conditions are met:</w:t>
      </w:r>
    </w:p>
    <w:p w14:paraId="65907E8E" w14:textId="77777777" w:rsidR="00633FDA" w:rsidRPr="0040088F" w:rsidRDefault="00EF612C" w:rsidP="00BA1936">
      <w:pPr>
        <w:pStyle w:val="List-arabicnumbers"/>
        <w:numPr>
          <w:ilvl w:val="0"/>
          <w:numId w:val="27"/>
        </w:numPr>
        <w:ind w:left="720"/>
        <w:rPr>
          <w:szCs w:val="22"/>
        </w:rPr>
      </w:pPr>
      <w:r w:rsidRPr="0040088F">
        <w:rPr>
          <w:szCs w:val="22"/>
        </w:rPr>
        <w:t>the injection of waste meets</w:t>
      </w:r>
      <w:r w:rsidR="00287815" w:rsidRPr="0040088F">
        <w:rPr>
          <w:szCs w:val="22"/>
        </w:rPr>
        <w:t xml:space="preserve"> the applicability and eligibility requirements for coverage under this general permit;</w:t>
      </w:r>
    </w:p>
    <w:p w14:paraId="7354053E" w14:textId="77777777" w:rsidR="00633FDA" w:rsidRPr="0040088F" w:rsidRDefault="00287815" w:rsidP="0040088F">
      <w:pPr>
        <w:pStyle w:val="List-arabicnumbers"/>
        <w:rPr>
          <w:szCs w:val="22"/>
        </w:rPr>
      </w:pPr>
      <w:r w:rsidRPr="0040088F">
        <w:rPr>
          <w:szCs w:val="22"/>
        </w:rPr>
        <w:t>the executive director has determined that continued coverage under an individual permit is</w:t>
      </w:r>
      <w:r w:rsidR="008071BF" w:rsidRPr="0040088F">
        <w:rPr>
          <w:szCs w:val="22"/>
        </w:rPr>
        <w:t xml:space="preserve"> not</w:t>
      </w:r>
      <w:r w:rsidRPr="0040088F">
        <w:rPr>
          <w:szCs w:val="22"/>
        </w:rPr>
        <w:t xml:space="preserve"> required based on consideration of </w:t>
      </w:r>
      <w:r w:rsidR="00051845" w:rsidRPr="0040088F">
        <w:rPr>
          <w:szCs w:val="22"/>
        </w:rPr>
        <w:t>the quanti</w:t>
      </w:r>
      <w:r w:rsidR="0045168B" w:rsidRPr="0040088F">
        <w:rPr>
          <w:szCs w:val="22"/>
        </w:rPr>
        <w:t xml:space="preserve">ty of waste to be injected, type of waste, type of operation, injection well design, </w:t>
      </w:r>
      <w:r w:rsidR="00051845" w:rsidRPr="0040088F">
        <w:rPr>
          <w:szCs w:val="22"/>
        </w:rPr>
        <w:t>injection well construction</w:t>
      </w:r>
      <w:r w:rsidRPr="0040088F">
        <w:rPr>
          <w:szCs w:val="22"/>
        </w:rPr>
        <w:t xml:space="preserve">, </w:t>
      </w:r>
      <w:r w:rsidR="00396F1D" w:rsidRPr="0040088F">
        <w:rPr>
          <w:szCs w:val="22"/>
        </w:rPr>
        <w:t>compliance history</w:t>
      </w:r>
      <w:r w:rsidRPr="0040088F">
        <w:rPr>
          <w:szCs w:val="22"/>
        </w:rPr>
        <w:t>, or other site-specific considerations;</w:t>
      </w:r>
    </w:p>
    <w:p w14:paraId="795A1ECB" w14:textId="77777777" w:rsidR="00633FDA" w:rsidRPr="0040088F" w:rsidRDefault="00EB75D5" w:rsidP="0040088F">
      <w:pPr>
        <w:pStyle w:val="List-arabicnumbers"/>
        <w:rPr>
          <w:szCs w:val="22"/>
        </w:rPr>
      </w:pPr>
      <w:r w:rsidRPr="0040088F">
        <w:rPr>
          <w:szCs w:val="22"/>
        </w:rPr>
        <w:t>no</w:t>
      </w:r>
      <w:r w:rsidR="00287815" w:rsidRPr="0040088F">
        <w:rPr>
          <w:szCs w:val="22"/>
        </w:rPr>
        <w:t xml:space="preserve"> previous application or</w:t>
      </w:r>
      <w:r w:rsidR="00FA6E26" w:rsidRPr="0040088F">
        <w:rPr>
          <w:szCs w:val="22"/>
        </w:rPr>
        <w:t xml:space="preserve"> permit for waste injection</w:t>
      </w:r>
      <w:r w:rsidR="00287815" w:rsidRPr="0040088F">
        <w:rPr>
          <w:szCs w:val="22"/>
        </w:rPr>
        <w:t xml:space="preserve"> </w:t>
      </w:r>
      <w:r w:rsidR="00673812" w:rsidRPr="0040088F">
        <w:rPr>
          <w:szCs w:val="22"/>
        </w:rPr>
        <w:t xml:space="preserve">by the applicant </w:t>
      </w:r>
      <w:r w:rsidR="00287815" w:rsidRPr="0040088F">
        <w:rPr>
          <w:szCs w:val="22"/>
        </w:rPr>
        <w:t>has</w:t>
      </w:r>
      <w:r w:rsidR="00673812" w:rsidRPr="0040088F">
        <w:rPr>
          <w:szCs w:val="22"/>
        </w:rPr>
        <w:t xml:space="preserve"> </w:t>
      </w:r>
      <w:r w:rsidR="00287815" w:rsidRPr="0040088F">
        <w:rPr>
          <w:szCs w:val="22"/>
        </w:rPr>
        <w:t xml:space="preserve">been denied, terminated, or revoked by the executive director </w:t>
      </w:r>
      <w:proofErr w:type="gramStart"/>
      <w:r w:rsidR="00287815" w:rsidRPr="0040088F">
        <w:rPr>
          <w:szCs w:val="22"/>
        </w:rPr>
        <w:t>as a result of</w:t>
      </w:r>
      <w:proofErr w:type="gramEnd"/>
      <w:r w:rsidR="00287815" w:rsidRPr="0040088F">
        <w:rPr>
          <w:szCs w:val="22"/>
        </w:rPr>
        <w:t xml:space="preserve"> </w:t>
      </w:r>
      <w:r w:rsidR="00962B23" w:rsidRPr="0040088F">
        <w:rPr>
          <w:szCs w:val="22"/>
        </w:rPr>
        <w:t xml:space="preserve">an </w:t>
      </w:r>
      <w:r w:rsidR="00287815" w:rsidRPr="0040088F">
        <w:rPr>
          <w:szCs w:val="22"/>
        </w:rPr>
        <w:t xml:space="preserve">enforcement </w:t>
      </w:r>
      <w:r w:rsidR="00962B23" w:rsidRPr="0040088F">
        <w:rPr>
          <w:szCs w:val="22"/>
        </w:rPr>
        <w:t xml:space="preserve">action </w:t>
      </w:r>
      <w:r w:rsidR="00287815" w:rsidRPr="0040088F">
        <w:rPr>
          <w:szCs w:val="22"/>
        </w:rPr>
        <w:t>or concerns</w:t>
      </w:r>
      <w:r w:rsidR="0030636D" w:rsidRPr="0040088F">
        <w:rPr>
          <w:szCs w:val="22"/>
        </w:rPr>
        <w:t xml:space="preserve"> about movement of fluids alo</w:t>
      </w:r>
      <w:r w:rsidR="002A6B99" w:rsidRPr="0040088F">
        <w:rPr>
          <w:szCs w:val="22"/>
        </w:rPr>
        <w:t xml:space="preserve">ng the borehole into or between </w:t>
      </w:r>
      <w:r w:rsidR="0030636D" w:rsidRPr="0040088F">
        <w:rPr>
          <w:szCs w:val="22"/>
        </w:rPr>
        <w:t>USDWs or freshwater aquifers</w:t>
      </w:r>
      <w:r w:rsidR="00287815" w:rsidRPr="0040088F">
        <w:rPr>
          <w:szCs w:val="22"/>
        </w:rPr>
        <w:t xml:space="preserve">.  The executive director may provide a waiver to this provision based on new </w:t>
      </w:r>
      <w:r w:rsidR="00287815" w:rsidRPr="0040088F">
        <w:rPr>
          <w:szCs w:val="22"/>
        </w:rPr>
        <w:lastRenderedPageBreak/>
        <w:t>circumstances at the facility, or if there is a new facility owner or operator</w:t>
      </w:r>
      <w:r w:rsidR="00E42510" w:rsidRPr="0040088F">
        <w:rPr>
          <w:szCs w:val="22"/>
        </w:rPr>
        <w:t>; and</w:t>
      </w:r>
    </w:p>
    <w:p w14:paraId="115C5AF1" w14:textId="77777777" w:rsidR="00F86B57" w:rsidRPr="0040088F" w:rsidRDefault="00287815" w:rsidP="0040088F">
      <w:pPr>
        <w:pStyle w:val="List-arabicnumbers"/>
        <w:rPr>
          <w:szCs w:val="22"/>
        </w:rPr>
      </w:pPr>
      <w:r w:rsidRPr="0040088F">
        <w:rPr>
          <w:szCs w:val="22"/>
        </w:rPr>
        <w:t xml:space="preserve">the applicant requests cancellation of </w:t>
      </w:r>
      <w:r w:rsidR="00F17FB8" w:rsidRPr="0040088F">
        <w:rPr>
          <w:szCs w:val="22"/>
        </w:rPr>
        <w:t xml:space="preserve">authorization under </w:t>
      </w:r>
      <w:r w:rsidRPr="0040088F">
        <w:rPr>
          <w:szCs w:val="22"/>
        </w:rPr>
        <w:t>the existing</w:t>
      </w:r>
      <w:r w:rsidR="0030636D" w:rsidRPr="0040088F">
        <w:rPr>
          <w:szCs w:val="22"/>
        </w:rPr>
        <w:t xml:space="preserve"> UIC</w:t>
      </w:r>
      <w:r w:rsidRPr="0040088F">
        <w:rPr>
          <w:szCs w:val="22"/>
        </w:rPr>
        <w:t xml:space="preserve"> individual permit within 30 days after </w:t>
      </w:r>
      <w:r w:rsidR="00E21A36" w:rsidRPr="0040088F">
        <w:rPr>
          <w:szCs w:val="22"/>
        </w:rPr>
        <w:t xml:space="preserve">receiving </w:t>
      </w:r>
      <w:r w:rsidRPr="0040088F">
        <w:rPr>
          <w:szCs w:val="22"/>
        </w:rPr>
        <w:t>notice</w:t>
      </w:r>
      <w:r w:rsidR="00E21A36" w:rsidRPr="0040088F">
        <w:rPr>
          <w:szCs w:val="22"/>
        </w:rPr>
        <w:t xml:space="preserve"> from the executive director</w:t>
      </w:r>
      <w:r w:rsidRPr="0040088F">
        <w:rPr>
          <w:szCs w:val="22"/>
        </w:rPr>
        <w:t xml:space="preserve"> that authorization under th</w:t>
      </w:r>
      <w:r w:rsidR="007D6714" w:rsidRPr="0040088F">
        <w:rPr>
          <w:szCs w:val="22"/>
        </w:rPr>
        <w:t>is general permit is effective.</w:t>
      </w:r>
    </w:p>
    <w:p w14:paraId="1F199982" w14:textId="77777777" w:rsidR="007D6714" w:rsidRPr="00750EB4" w:rsidRDefault="00761F1F" w:rsidP="00B64B10">
      <w:pPr>
        <w:pStyle w:val="H3TCEQ"/>
      </w:pPr>
      <w:r w:rsidRPr="00B64B10">
        <w:t>Section</w:t>
      </w:r>
      <w:r w:rsidRPr="00750EB4">
        <w:t xml:space="preserve"> </w:t>
      </w:r>
      <w:r w:rsidR="00535670" w:rsidRPr="00750EB4">
        <w:t>M</w:t>
      </w:r>
      <w:r w:rsidR="00D7721A" w:rsidRPr="00750EB4">
        <w:t xml:space="preserve">.  </w:t>
      </w:r>
      <w:r w:rsidR="00F86B57" w:rsidRPr="00750EB4">
        <w:t>Permit</w:t>
      </w:r>
      <w:r w:rsidR="008D46D2" w:rsidRPr="00750EB4">
        <w:t xml:space="preserve"> Renewal and</w:t>
      </w:r>
      <w:r w:rsidR="00F86B57" w:rsidRPr="00750EB4">
        <w:t xml:space="preserve"> Expiration</w:t>
      </w:r>
      <w:r w:rsidR="003D455C" w:rsidRPr="00750EB4">
        <w:t xml:space="preserve"> </w:t>
      </w:r>
    </w:p>
    <w:p w14:paraId="3422CE6B" w14:textId="77777777" w:rsidR="00E42510" w:rsidRPr="00E30DCA" w:rsidRDefault="0085306B" w:rsidP="00BA1936">
      <w:pPr>
        <w:pStyle w:val="List-arabicnumbers"/>
        <w:numPr>
          <w:ilvl w:val="0"/>
          <w:numId w:val="28"/>
        </w:numPr>
        <w:ind w:left="720"/>
        <w:rPr>
          <w:szCs w:val="22"/>
        </w:rPr>
      </w:pPr>
      <w:r w:rsidRPr="00E30DCA">
        <w:rPr>
          <w:szCs w:val="22"/>
        </w:rPr>
        <w:t xml:space="preserve">Permit term.  </w:t>
      </w:r>
      <w:r w:rsidR="003263C2" w:rsidRPr="00E30DCA">
        <w:rPr>
          <w:szCs w:val="22"/>
        </w:rPr>
        <w:t xml:space="preserve">This general permit is effective from the date of issuance for a term of </w:t>
      </w:r>
      <w:r w:rsidR="003D455C" w:rsidRPr="00E30DCA">
        <w:rPr>
          <w:szCs w:val="22"/>
        </w:rPr>
        <w:t>ten</w:t>
      </w:r>
      <w:r w:rsidR="003263C2" w:rsidRPr="00E30DCA">
        <w:rPr>
          <w:szCs w:val="22"/>
        </w:rPr>
        <w:t xml:space="preserve"> years, unless otherwise amended, revoked, or cancelled by the commission prior to that date.  Authorizations for </w:t>
      </w:r>
      <w:r w:rsidR="003D455C" w:rsidRPr="00E30DCA">
        <w:rPr>
          <w:szCs w:val="22"/>
        </w:rPr>
        <w:t>waste injection</w:t>
      </w:r>
      <w:r w:rsidR="003263C2" w:rsidRPr="00E30DCA">
        <w:rPr>
          <w:szCs w:val="22"/>
        </w:rPr>
        <w:t xml:space="preserve"> under the provisions of this general permit may be issued until the expiration date of the permit.  This general permit may be amended, revoked, or cancelled by the commission after notice and c</w:t>
      </w:r>
      <w:r w:rsidR="00020FC1" w:rsidRPr="00E30DCA">
        <w:rPr>
          <w:szCs w:val="22"/>
        </w:rPr>
        <w:t>omment as provided by 30 TAC §§</w:t>
      </w:r>
      <w:r w:rsidR="003D455C" w:rsidRPr="00E30DCA">
        <w:rPr>
          <w:szCs w:val="22"/>
        </w:rPr>
        <w:t>331.</w:t>
      </w:r>
      <w:r w:rsidR="00D5546F" w:rsidRPr="00E30DCA">
        <w:rPr>
          <w:szCs w:val="22"/>
        </w:rPr>
        <w:t>202</w:t>
      </w:r>
      <w:r w:rsidR="003263C2" w:rsidRPr="00E30DCA">
        <w:rPr>
          <w:szCs w:val="22"/>
        </w:rPr>
        <w:t xml:space="preserve"> and</w:t>
      </w:r>
      <w:r w:rsidR="003D455C" w:rsidRPr="00E30DCA">
        <w:rPr>
          <w:szCs w:val="22"/>
        </w:rPr>
        <w:t xml:space="preserve"> 331.</w:t>
      </w:r>
      <w:r w:rsidR="00D5546F" w:rsidRPr="00E30DCA">
        <w:rPr>
          <w:szCs w:val="22"/>
        </w:rPr>
        <w:t>204</w:t>
      </w:r>
      <w:r w:rsidR="003263C2" w:rsidRPr="00E30DCA">
        <w:rPr>
          <w:szCs w:val="22"/>
        </w:rPr>
        <w:t>.</w:t>
      </w:r>
    </w:p>
    <w:p w14:paraId="3655AF92" w14:textId="77777777" w:rsidR="008D46D2" w:rsidRPr="00E30DCA" w:rsidRDefault="008D46D2" w:rsidP="00E30DCA">
      <w:pPr>
        <w:pStyle w:val="List-arabicnumbers"/>
        <w:rPr>
          <w:szCs w:val="22"/>
        </w:rPr>
      </w:pPr>
      <w:r w:rsidRPr="00E30DCA">
        <w:rPr>
          <w:szCs w:val="22"/>
        </w:rPr>
        <w:t>Amended general permit.  Upon issuance of an amended general permit</w:t>
      </w:r>
      <w:r w:rsidR="00746921" w:rsidRPr="00E30DCA">
        <w:rPr>
          <w:szCs w:val="22"/>
        </w:rPr>
        <w:t xml:space="preserve"> by the TCEQ</w:t>
      </w:r>
      <w:r w:rsidRPr="00E30DCA">
        <w:rPr>
          <w:szCs w:val="22"/>
        </w:rPr>
        <w:t>, all owners or operators covered under the general permit shall submit an NOI in accordance with the requirements of the new permit or obtain an individu</w:t>
      </w:r>
      <w:r w:rsidR="00174800" w:rsidRPr="00E30DCA">
        <w:rPr>
          <w:szCs w:val="22"/>
        </w:rPr>
        <w:t>al permit.</w:t>
      </w:r>
    </w:p>
    <w:p w14:paraId="103D3F92" w14:textId="77777777" w:rsidR="003A404A" w:rsidRPr="00E30DCA" w:rsidRDefault="003A404A" w:rsidP="00E30DCA">
      <w:pPr>
        <w:pStyle w:val="List-arabicnumbers"/>
        <w:rPr>
          <w:szCs w:val="22"/>
        </w:rPr>
      </w:pPr>
      <w:r w:rsidRPr="00E30DCA">
        <w:rPr>
          <w:szCs w:val="22"/>
        </w:rPr>
        <w:t>Permit renewal.  If the commission proposes to renew a general permit</w:t>
      </w:r>
      <w:r w:rsidR="00F15266" w:rsidRPr="00E30DCA">
        <w:rPr>
          <w:szCs w:val="22"/>
        </w:rPr>
        <w:t xml:space="preserve"> before its expiration, </w:t>
      </w:r>
      <w:r w:rsidRPr="00E30DCA">
        <w:rPr>
          <w:szCs w:val="22"/>
        </w:rPr>
        <w:t xml:space="preserve">the general permit shall remain in effect after the expiration date for those existing </w:t>
      </w:r>
      <w:r w:rsidR="00300877" w:rsidRPr="00E30DCA">
        <w:rPr>
          <w:szCs w:val="22"/>
        </w:rPr>
        <w:t>owners and operators</w:t>
      </w:r>
      <w:r w:rsidRPr="00E30DCA">
        <w:rPr>
          <w:szCs w:val="22"/>
        </w:rPr>
        <w:t xml:space="preserve"> covered by the general permit until the date on which the commission takes final action on the proposed permit renewal.  No new </w:t>
      </w:r>
      <w:r w:rsidR="00EB3613" w:rsidRPr="00E30DCA">
        <w:rPr>
          <w:szCs w:val="22"/>
        </w:rPr>
        <w:t>NOIs</w:t>
      </w:r>
      <w:r w:rsidRPr="00E30DCA">
        <w:rPr>
          <w:szCs w:val="22"/>
        </w:rPr>
        <w:t xml:space="preserve"> will be </w:t>
      </w:r>
      <w:proofErr w:type="gramStart"/>
      <w:r w:rsidRPr="00E30DCA">
        <w:rPr>
          <w:szCs w:val="22"/>
        </w:rPr>
        <w:t>accepted</w:t>
      </w:r>
      <w:proofErr w:type="gramEnd"/>
      <w:r w:rsidRPr="00E30DCA">
        <w:rPr>
          <w:szCs w:val="22"/>
        </w:rPr>
        <w:t xml:space="preserve"> or new authorizations honored for authorization under the general permit after the expiration date.</w:t>
      </w:r>
    </w:p>
    <w:p w14:paraId="18BC7B1D" w14:textId="77777777" w:rsidR="00E42510" w:rsidRPr="00E30DCA" w:rsidRDefault="0085306B" w:rsidP="00E30DCA">
      <w:pPr>
        <w:pStyle w:val="List-arabicnumbers"/>
        <w:rPr>
          <w:szCs w:val="22"/>
        </w:rPr>
      </w:pPr>
      <w:r w:rsidRPr="00E30DCA">
        <w:rPr>
          <w:szCs w:val="22"/>
        </w:rPr>
        <w:t xml:space="preserve">Application following renewal.  </w:t>
      </w:r>
      <w:r w:rsidR="0035000C" w:rsidRPr="00E30DCA">
        <w:rPr>
          <w:szCs w:val="22"/>
        </w:rPr>
        <w:t>Upon issuance of a renewed gen</w:t>
      </w:r>
      <w:r w:rsidR="003263C2" w:rsidRPr="00E30DCA">
        <w:rPr>
          <w:szCs w:val="22"/>
        </w:rPr>
        <w:t>eral permit, all facilities, including those covered under the expired general permit, will be required to submit an NOI according to the requirements of t</w:t>
      </w:r>
      <w:r w:rsidR="00F950C1" w:rsidRPr="00E30DCA">
        <w:rPr>
          <w:szCs w:val="22"/>
        </w:rPr>
        <w:t>he new general permit, o</w:t>
      </w:r>
      <w:r w:rsidR="002F3A47" w:rsidRPr="00E30DCA">
        <w:rPr>
          <w:szCs w:val="22"/>
        </w:rPr>
        <w:t>r</w:t>
      </w:r>
      <w:r w:rsidR="00F950C1" w:rsidRPr="00E30DCA">
        <w:rPr>
          <w:szCs w:val="22"/>
        </w:rPr>
        <w:t xml:space="preserve"> obtain an individual permit.</w:t>
      </w:r>
    </w:p>
    <w:p w14:paraId="11CBCE6C" w14:textId="7344790F" w:rsidR="003263C2" w:rsidRDefault="006F545D" w:rsidP="00E30DCA">
      <w:pPr>
        <w:pStyle w:val="List-arabicnumbers"/>
        <w:rPr>
          <w:szCs w:val="22"/>
        </w:rPr>
      </w:pPr>
      <w:r w:rsidRPr="00E30DCA">
        <w:rPr>
          <w:szCs w:val="22"/>
        </w:rPr>
        <w:t>Expiration without renewal.</w:t>
      </w:r>
      <w:r w:rsidR="00591B02" w:rsidRPr="00E30DCA">
        <w:rPr>
          <w:szCs w:val="22"/>
        </w:rPr>
        <w:t xml:space="preserve">  </w:t>
      </w:r>
      <w:r w:rsidR="00607804" w:rsidRPr="00E30DCA">
        <w:rPr>
          <w:szCs w:val="22"/>
        </w:rPr>
        <w:t>According to 30 TAC §</w:t>
      </w:r>
      <w:r w:rsidR="00B640CF" w:rsidRPr="00E30DCA">
        <w:rPr>
          <w:szCs w:val="22"/>
        </w:rPr>
        <w:t>331.204</w:t>
      </w:r>
      <w:r w:rsidR="003263C2" w:rsidRPr="00E30DCA">
        <w:rPr>
          <w:szCs w:val="22"/>
        </w:rPr>
        <w:t>(</w:t>
      </w:r>
      <w:r w:rsidR="000505FE" w:rsidRPr="00E30DCA">
        <w:rPr>
          <w:szCs w:val="22"/>
        </w:rPr>
        <w:t>d</w:t>
      </w:r>
      <w:r w:rsidR="003263C2" w:rsidRPr="00E30DCA">
        <w:rPr>
          <w:szCs w:val="22"/>
        </w:rPr>
        <w:t xml:space="preserve">), if </w:t>
      </w:r>
      <w:r w:rsidR="00591B02" w:rsidRPr="00E30DCA">
        <w:rPr>
          <w:szCs w:val="22"/>
        </w:rPr>
        <w:t xml:space="preserve">the commission has not proposed to renew a general permit at least 90 days before its expiration date, </w:t>
      </w:r>
      <w:r w:rsidR="00300877" w:rsidRPr="00E30DCA">
        <w:rPr>
          <w:szCs w:val="22"/>
        </w:rPr>
        <w:t>owners and operator</w:t>
      </w:r>
      <w:r w:rsidR="00591B02" w:rsidRPr="00E30DCA">
        <w:rPr>
          <w:szCs w:val="22"/>
        </w:rPr>
        <w:t xml:space="preserve">s authorized under the general permit shall </w:t>
      </w:r>
      <w:proofErr w:type="gramStart"/>
      <w:r w:rsidR="00591B02" w:rsidRPr="00E30DCA">
        <w:rPr>
          <w:szCs w:val="22"/>
        </w:rPr>
        <w:t>submit an application</w:t>
      </w:r>
      <w:proofErr w:type="gramEnd"/>
      <w:r w:rsidR="00591B02" w:rsidRPr="00E30DCA">
        <w:rPr>
          <w:szCs w:val="22"/>
        </w:rPr>
        <w:t xml:space="preserve"> for an individual permit before the general permit's expiration</w:t>
      </w:r>
      <w:r w:rsidR="008873CF" w:rsidRPr="00E30DCA">
        <w:rPr>
          <w:szCs w:val="22"/>
        </w:rPr>
        <w:t xml:space="preserve">.  </w:t>
      </w:r>
      <w:r w:rsidR="00591B02" w:rsidRPr="00E30DCA">
        <w:rPr>
          <w:szCs w:val="22"/>
        </w:rPr>
        <w:t>If an application for an individual permit is submitted before the general permit's expiration, authorization under the expired general permit remains in effect until the issuance or denial of an individual permit.</w:t>
      </w:r>
    </w:p>
    <w:p w14:paraId="24E5382D" w14:textId="77777777" w:rsidR="004E0B12" w:rsidRPr="00E30DCA" w:rsidRDefault="004E0B12" w:rsidP="004E0B12">
      <w:pPr>
        <w:pStyle w:val="List-arabicnumbers"/>
        <w:numPr>
          <w:ilvl w:val="0"/>
          <w:numId w:val="0"/>
        </w:numPr>
        <w:ind w:left="720"/>
        <w:rPr>
          <w:szCs w:val="22"/>
        </w:rPr>
      </w:pPr>
    </w:p>
    <w:p w14:paraId="52BAB244" w14:textId="77777777" w:rsidR="001C3765" w:rsidRPr="00750EB4" w:rsidRDefault="001C3765" w:rsidP="00B64B10">
      <w:pPr>
        <w:pStyle w:val="H2TCEQ"/>
      </w:pPr>
      <w:r w:rsidRPr="00750EB4">
        <w:lastRenderedPageBreak/>
        <w:t xml:space="preserve">Part </w:t>
      </w:r>
      <w:r w:rsidRPr="00B64B10">
        <w:t>III</w:t>
      </w:r>
      <w:r w:rsidR="00A136A1" w:rsidRPr="00750EB4">
        <w:t xml:space="preserve">.  </w:t>
      </w:r>
      <w:r w:rsidR="0021150C" w:rsidRPr="00750EB4">
        <w:t xml:space="preserve">Technical </w:t>
      </w:r>
      <w:r w:rsidRPr="00750EB4">
        <w:t>Standards</w:t>
      </w:r>
      <w:r w:rsidR="00AB49FC" w:rsidRPr="00750EB4">
        <w:t xml:space="preserve"> and Requirements</w:t>
      </w:r>
    </w:p>
    <w:p w14:paraId="5F55BAE9" w14:textId="77777777" w:rsidR="004135FB" w:rsidRPr="0097213E" w:rsidRDefault="00580ADF" w:rsidP="008C66C5">
      <w:pPr>
        <w:pStyle w:val="ListParagraph"/>
      </w:pPr>
      <w:r w:rsidRPr="0097213E">
        <w:t>The owner or operator</w:t>
      </w:r>
      <w:r w:rsidR="00A620C2" w:rsidRPr="0097213E">
        <w:t xml:space="preserve"> must comply with the following</w:t>
      </w:r>
      <w:r w:rsidR="00A77AAA" w:rsidRPr="0097213E">
        <w:t xml:space="preserve"> standards and </w:t>
      </w:r>
      <w:r w:rsidR="00A620C2" w:rsidRPr="0097213E">
        <w:t xml:space="preserve">requirements for </w:t>
      </w:r>
      <w:r w:rsidR="00447C6E" w:rsidRPr="0097213E">
        <w:t>injection</w:t>
      </w:r>
      <w:r w:rsidR="00A620C2" w:rsidRPr="0097213E">
        <w:t xml:space="preserve"> of </w:t>
      </w:r>
      <w:r w:rsidR="00447C6E" w:rsidRPr="0097213E">
        <w:t>waste</w:t>
      </w:r>
      <w:r w:rsidR="00CF58F0" w:rsidRPr="0097213E">
        <w:t xml:space="preserve"> into a Class I well </w:t>
      </w:r>
      <w:r w:rsidR="00447C6E" w:rsidRPr="0097213E">
        <w:t>under</w:t>
      </w:r>
      <w:r w:rsidR="0047113D" w:rsidRPr="0097213E">
        <w:t xml:space="preserve"> the general permit</w:t>
      </w:r>
      <w:r w:rsidR="00A620C2" w:rsidRPr="0097213E">
        <w:t>:</w:t>
      </w:r>
    </w:p>
    <w:p w14:paraId="76F05F2C" w14:textId="2BF45A04" w:rsidR="00924BEB" w:rsidRPr="00FF4030" w:rsidRDefault="00924BEB" w:rsidP="00BA1936">
      <w:pPr>
        <w:pStyle w:val="List-arabicnumbers"/>
        <w:numPr>
          <w:ilvl w:val="0"/>
          <w:numId w:val="29"/>
        </w:numPr>
        <w:ind w:left="720"/>
        <w:rPr>
          <w:szCs w:val="22"/>
        </w:rPr>
      </w:pPr>
      <w:r w:rsidRPr="00FF4030">
        <w:rPr>
          <w:szCs w:val="22"/>
        </w:rPr>
        <w:t xml:space="preserve">Construction Standards.  All Class I wells shall be designed, constructed, and completed to prevent the movement of fluids that could result in the pollution of a </w:t>
      </w:r>
      <w:r w:rsidR="00174800" w:rsidRPr="00C73B2E">
        <w:rPr>
          <w:szCs w:val="22"/>
        </w:rPr>
        <w:t>USDW</w:t>
      </w:r>
      <w:r w:rsidR="00174800" w:rsidRPr="00FF4030">
        <w:rPr>
          <w:szCs w:val="22"/>
        </w:rPr>
        <w:t>.</w:t>
      </w:r>
    </w:p>
    <w:p w14:paraId="7E8015B7" w14:textId="77777777" w:rsidR="004135FB" w:rsidRPr="00FF4030" w:rsidRDefault="008844A6" w:rsidP="00FF4030">
      <w:pPr>
        <w:pStyle w:val="List-arabicnumbers"/>
        <w:rPr>
          <w:szCs w:val="22"/>
        </w:rPr>
      </w:pPr>
      <w:r w:rsidRPr="00FF4030">
        <w:rPr>
          <w:szCs w:val="22"/>
        </w:rPr>
        <w:t>Operating Requirements (Performance</w:t>
      </w:r>
      <w:r w:rsidR="00A77AAA" w:rsidRPr="00FF4030">
        <w:rPr>
          <w:szCs w:val="22"/>
        </w:rPr>
        <w:t xml:space="preserve"> standard</w:t>
      </w:r>
      <w:r w:rsidRPr="00FF4030">
        <w:rPr>
          <w:szCs w:val="22"/>
        </w:rPr>
        <w:t>)</w:t>
      </w:r>
      <w:r w:rsidR="00A77AAA" w:rsidRPr="00FF4030">
        <w:rPr>
          <w:szCs w:val="22"/>
        </w:rPr>
        <w:t>.  All Class I wells shall be operated to prevent the movement of fluids that could result in the pollution of a USDW and to prevent leaks from the well in</w:t>
      </w:r>
      <w:r w:rsidR="00174800" w:rsidRPr="00FF4030">
        <w:rPr>
          <w:szCs w:val="22"/>
        </w:rPr>
        <w:t>to unauthorized zones.</w:t>
      </w:r>
    </w:p>
    <w:p w14:paraId="12CDFBB4" w14:textId="77777777" w:rsidR="004135FB" w:rsidRPr="00FF4030" w:rsidRDefault="004135FB" w:rsidP="00FF4030">
      <w:pPr>
        <w:pStyle w:val="List-arabicnumbers"/>
        <w:rPr>
          <w:szCs w:val="22"/>
        </w:rPr>
      </w:pPr>
      <w:r w:rsidRPr="00FF4030">
        <w:rPr>
          <w:szCs w:val="22"/>
        </w:rPr>
        <w:t xml:space="preserve">Public Interest.  A well authorized under the general permit must be in the public interest with respect to criteria stated in </w:t>
      </w:r>
      <w:r w:rsidR="00C1648E" w:rsidRPr="00FF4030">
        <w:rPr>
          <w:szCs w:val="22"/>
        </w:rPr>
        <w:t xml:space="preserve">TWC §27.051 and </w:t>
      </w:r>
      <w:r w:rsidRPr="00FF4030">
        <w:rPr>
          <w:szCs w:val="22"/>
        </w:rPr>
        <w:t xml:space="preserve">30 TAC </w:t>
      </w:r>
      <w:r w:rsidR="00020FC1" w:rsidRPr="00FF4030">
        <w:rPr>
          <w:szCs w:val="22"/>
        </w:rPr>
        <w:t>§</w:t>
      </w:r>
      <w:r w:rsidRPr="00FF4030">
        <w:rPr>
          <w:szCs w:val="22"/>
        </w:rPr>
        <w:t>331.121(b).</w:t>
      </w:r>
    </w:p>
    <w:p w14:paraId="033DE35D" w14:textId="582E1B8D" w:rsidR="004135FB" w:rsidRPr="00FF4030" w:rsidRDefault="001C3765" w:rsidP="00FF4030">
      <w:pPr>
        <w:pStyle w:val="List-arabicnumbers"/>
        <w:rPr>
          <w:szCs w:val="22"/>
        </w:rPr>
      </w:pPr>
      <w:r w:rsidRPr="00FF4030">
        <w:rPr>
          <w:szCs w:val="22"/>
        </w:rPr>
        <w:t xml:space="preserve">Siting.  Wells shall be sited in such a fashion that they inject into a formation which is beneath the lowermost formation containing, within </w:t>
      </w:r>
      <w:r w:rsidR="00E2590D" w:rsidRPr="00C73B2E">
        <w:rPr>
          <w:szCs w:val="22"/>
        </w:rPr>
        <w:t>1/4</w:t>
      </w:r>
      <w:r w:rsidRPr="00FF4030">
        <w:rPr>
          <w:szCs w:val="22"/>
        </w:rPr>
        <w:t xml:space="preserve"> mile of the well bore, </w:t>
      </w:r>
      <w:r w:rsidR="000355DF" w:rsidRPr="00FF4030">
        <w:rPr>
          <w:szCs w:val="22"/>
        </w:rPr>
        <w:t>a USDW</w:t>
      </w:r>
      <w:r w:rsidRPr="00FF4030">
        <w:rPr>
          <w:szCs w:val="22"/>
        </w:rPr>
        <w:t>.</w:t>
      </w:r>
    </w:p>
    <w:p w14:paraId="78481862" w14:textId="77777777" w:rsidR="00D34AD3" w:rsidRPr="00FF4030" w:rsidRDefault="001C3765" w:rsidP="00FF4030">
      <w:pPr>
        <w:pStyle w:val="List-arabicnumbers"/>
        <w:rPr>
          <w:szCs w:val="22"/>
        </w:rPr>
      </w:pPr>
      <w:r w:rsidRPr="00FF4030">
        <w:rPr>
          <w:szCs w:val="22"/>
        </w:rPr>
        <w:t xml:space="preserve">Area of </w:t>
      </w:r>
      <w:r w:rsidR="00DE0CB2">
        <w:rPr>
          <w:szCs w:val="22"/>
        </w:rPr>
        <w:t>R</w:t>
      </w:r>
      <w:r w:rsidRPr="00FF4030">
        <w:rPr>
          <w:szCs w:val="22"/>
        </w:rPr>
        <w:t>eview.  The are</w:t>
      </w:r>
      <w:r w:rsidR="00F56910" w:rsidRPr="00FF4030">
        <w:rPr>
          <w:szCs w:val="22"/>
        </w:rPr>
        <w:t>a of review shall be determined by a radius of 1/4 mile from the proposed or existing wellbore, or the area within the cone of influence, whichever is greater.</w:t>
      </w:r>
    </w:p>
    <w:p w14:paraId="00DC7140" w14:textId="77777777" w:rsidR="00D34AD3" w:rsidRPr="00FF4030" w:rsidRDefault="001A5D52" w:rsidP="00FF4030">
      <w:pPr>
        <w:pStyle w:val="List-arabicnumbers"/>
        <w:rPr>
          <w:szCs w:val="22"/>
        </w:rPr>
      </w:pPr>
      <w:r>
        <w:rPr>
          <w:szCs w:val="22"/>
        </w:rPr>
        <w:t xml:space="preserve">Defective </w:t>
      </w:r>
      <w:r w:rsidR="00DE0CB2">
        <w:rPr>
          <w:szCs w:val="22"/>
        </w:rPr>
        <w:t>Wells in Area of Review</w:t>
      </w:r>
      <w:r w:rsidR="00403959" w:rsidRPr="00FF4030">
        <w:rPr>
          <w:szCs w:val="22"/>
        </w:rPr>
        <w:t>.  F</w:t>
      </w:r>
      <w:r w:rsidR="00D34AD3" w:rsidRPr="00FF4030">
        <w:rPr>
          <w:szCs w:val="22"/>
        </w:rPr>
        <w:t xml:space="preserve">or wells within the area of review which penetrate the injection zone but are not </w:t>
      </w:r>
      <w:r w:rsidR="00B530D2" w:rsidRPr="00FF4030">
        <w:rPr>
          <w:szCs w:val="22"/>
        </w:rPr>
        <w:t xml:space="preserve">properly completed or plugged, </w:t>
      </w:r>
      <w:r w:rsidR="00D34AD3" w:rsidRPr="00FF4030">
        <w:rPr>
          <w:szCs w:val="22"/>
        </w:rPr>
        <w:t xml:space="preserve">corrective action </w:t>
      </w:r>
      <w:r w:rsidR="00403959" w:rsidRPr="00FF4030">
        <w:rPr>
          <w:szCs w:val="22"/>
        </w:rPr>
        <w:t>must be</w:t>
      </w:r>
      <w:r w:rsidR="00D34AD3" w:rsidRPr="00FF4030">
        <w:rPr>
          <w:szCs w:val="22"/>
        </w:rPr>
        <w:t xml:space="preserve"> taken</w:t>
      </w:r>
      <w:r w:rsidR="00174800" w:rsidRPr="00FF4030">
        <w:rPr>
          <w:szCs w:val="22"/>
        </w:rPr>
        <w:t>.</w:t>
      </w:r>
    </w:p>
    <w:p w14:paraId="23F16238" w14:textId="77777777" w:rsidR="004135FB" w:rsidRPr="00FF4030" w:rsidRDefault="001C3765" w:rsidP="00FF4030">
      <w:pPr>
        <w:pStyle w:val="List-arabicnumbers"/>
        <w:rPr>
          <w:szCs w:val="22"/>
        </w:rPr>
      </w:pPr>
      <w:r w:rsidRPr="00FF4030">
        <w:rPr>
          <w:szCs w:val="22"/>
        </w:rPr>
        <w:t xml:space="preserve">Drilling and </w:t>
      </w:r>
      <w:r w:rsidR="00DE0CB2">
        <w:rPr>
          <w:szCs w:val="22"/>
        </w:rPr>
        <w:t>C</w:t>
      </w:r>
      <w:r w:rsidRPr="00FF4030">
        <w:rPr>
          <w:szCs w:val="22"/>
        </w:rPr>
        <w:t xml:space="preserve">ompletion.  The drilling and completion of the well shall be done in accordance with </w:t>
      </w:r>
      <w:r w:rsidR="0076364C" w:rsidRPr="00FF4030">
        <w:rPr>
          <w:szCs w:val="22"/>
        </w:rPr>
        <w:t xml:space="preserve">the detailed in the plans and specifications of the technical report and </w:t>
      </w:r>
      <w:r w:rsidRPr="00FF4030">
        <w:rPr>
          <w:szCs w:val="22"/>
        </w:rPr>
        <w:t xml:space="preserve">30 TAC </w:t>
      </w:r>
      <w:r w:rsidR="008E4973" w:rsidRPr="00FF4030">
        <w:rPr>
          <w:szCs w:val="22"/>
        </w:rPr>
        <w:t>§</w:t>
      </w:r>
      <w:r w:rsidRPr="00FF4030">
        <w:rPr>
          <w:szCs w:val="22"/>
        </w:rPr>
        <w:t>331.62(b)</w:t>
      </w:r>
      <w:r w:rsidR="0076364C" w:rsidRPr="00FF4030">
        <w:rPr>
          <w:szCs w:val="22"/>
        </w:rPr>
        <w:t>,</w:t>
      </w:r>
      <w:r w:rsidR="000611E8" w:rsidRPr="00FF4030">
        <w:rPr>
          <w:szCs w:val="22"/>
        </w:rPr>
        <w:t xml:space="preserve"> </w:t>
      </w:r>
      <w:r w:rsidR="006E2F31" w:rsidRPr="00FF4030">
        <w:rPr>
          <w:szCs w:val="22"/>
        </w:rPr>
        <w:t>and</w:t>
      </w:r>
      <w:r w:rsidR="00A32A2F" w:rsidRPr="00FF4030">
        <w:rPr>
          <w:szCs w:val="22"/>
        </w:rPr>
        <w:t xml:space="preserve"> for bed</w:t>
      </w:r>
      <w:r w:rsidR="0076364C" w:rsidRPr="00FF4030">
        <w:rPr>
          <w:szCs w:val="22"/>
        </w:rPr>
        <w:t xml:space="preserve">ded salt cavern disposal wells </w:t>
      </w:r>
      <w:r w:rsidR="00661D13" w:rsidRPr="00FF4030">
        <w:rPr>
          <w:szCs w:val="22"/>
        </w:rPr>
        <w:t>§</w:t>
      </w:r>
      <w:r w:rsidR="008E4973" w:rsidRPr="00FF4030">
        <w:rPr>
          <w:szCs w:val="22"/>
        </w:rPr>
        <w:t>331.243</w:t>
      </w:r>
      <w:r w:rsidRPr="00FF4030">
        <w:rPr>
          <w:szCs w:val="22"/>
        </w:rPr>
        <w:t>.</w:t>
      </w:r>
    </w:p>
    <w:p w14:paraId="7E51BA22" w14:textId="77777777" w:rsidR="004135FB" w:rsidRPr="00FF4030" w:rsidRDefault="001C3765" w:rsidP="00FF4030">
      <w:pPr>
        <w:pStyle w:val="List-arabicnumbers"/>
        <w:rPr>
          <w:szCs w:val="22"/>
        </w:rPr>
      </w:pPr>
      <w:r w:rsidRPr="00FF4030">
        <w:rPr>
          <w:szCs w:val="22"/>
        </w:rPr>
        <w:t xml:space="preserve">Casing and </w:t>
      </w:r>
      <w:r w:rsidR="00DE0CB2">
        <w:rPr>
          <w:szCs w:val="22"/>
        </w:rPr>
        <w:t>C</w:t>
      </w:r>
      <w:r w:rsidRPr="00FF4030">
        <w:rPr>
          <w:szCs w:val="22"/>
        </w:rPr>
        <w:t xml:space="preserve">ementing.  In accordance with 30 TAC </w:t>
      </w:r>
      <w:r w:rsidR="00020FC1" w:rsidRPr="00FF4030">
        <w:rPr>
          <w:szCs w:val="22"/>
        </w:rPr>
        <w:t>§</w:t>
      </w:r>
      <w:r w:rsidRPr="00FF4030">
        <w:rPr>
          <w:szCs w:val="22"/>
        </w:rPr>
        <w:t>331.62(b)(2)</w:t>
      </w:r>
      <w:r w:rsidR="000318B7" w:rsidRPr="00FF4030">
        <w:rPr>
          <w:szCs w:val="22"/>
        </w:rPr>
        <w:t>,</w:t>
      </w:r>
      <w:r w:rsidR="00E9513E" w:rsidRPr="00FF4030">
        <w:rPr>
          <w:szCs w:val="22"/>
        </w:rPr>
        <w:t xml:space="preserve"> and for bedded salt cavern disposal wells,</w:t>
      </w:r>
      <w:r w:rsidRPr="00FF4030">
        <w:rPr>
          <w:szCs w:val="22"/>
        </w:rPr>
        <w:t xml:space="preserve"> </w:t>
      </w:r>
      <w:r w:rsidR="00E9513E" w:rsidRPr="00FF4030">
        <w:rPr>
          <w:szCs w:val="22"/>
        </w:rPr>
        <w:t xml:space="preserve">§331.243(d)(1), </w:t>
      </w:r>
      <w:r w:rsidRPr="00FF4030">
        <w:rPr>
          <w:szCs w:val="22"/>
        </w:rPr>
        <w:t>wells shall be cased and cemented to prevent the movement of fluids into or between underground sources of drinking water</w:t>
      </w:r>
      <w:r w:rsidR="008873CF" w:rsidRPr="00FF4030">
        <w:rPr>
          <w:szCs w:val="22"/>
        </w:rPr>
        <w:t xml:space="preserve">.  </w:t>
      </w:r>
      <w:r w:rsidRPr="00FF4030">
        <w:rPr>
          <w:szCs w:val="22"/>
        </w:rPr>
        <w:t>The casing and cement used in the construction of each newly drilled well shall be designed for the life expectancy of the well</w:t>
      </w:r>
      <w:r w:rsidR="000318B7" w:rsidRPr="00FF4030">
        <w:rPr>
          <w:szCs w:val="22"/>
        </w:rPr>
        <w:t xml:space="preserve">.  </w:t>
      </w:r>
      <w:r w:rsidRPr="00FF4030">
        <w:rPr>
          <w:szCs w:val="22"/>
        </w:rPr>
        <w:t xml:space="preserve">In determining and specifying casing and cementing requirements, the factors listed in 30 TAC </w:t>
      </w:r>
      <w:r w:rsidR="00E9513E" w:rsidRPr="00FF4030">
        <w:rPr>
          <w:szCs w:val="22"/>
        </w:rPr>
        <w:t>§</w:t>
      </w:r>
      <w:r w:rsidRPr="00FF4030">
        <w:rPr>
          <w:szCs w:val="22"/>
        </w:rPr>
        <w:t>331.62(b)(2)(A)-(G)</w:t>
      </w:r>
      <w:r w:rsidR="00796EC7" w:rsidRPr="00FF4030">
        <w:rPr>
          <w:szCs w:val="22"/>
        </w:rPr>
        <w:t>,</w:t>
      </w:r>
      <w:r w:rsidR="00E9513E" w:rsidRPr="00FF4030">
        <w:rPr>
          <w:szCs w:val="22"/>
        </w:rPr>
        <w:t xml:space="preserve"> and </w:t>
      </w:r>
      <w:r w:rsidR="00985AAA" w:rsidRPr="00FF4030">
        <w:rPr>
          <w:szCs w:val="22"/>
        </w:rPr>
        <w:t>for bedded salt cavern disposal wells, §</w:t>
      </w:r>
      <w:r w:rsidR="00E9513E" w:rsidRPr="00FF4030">
        <w:rPr>
          <w:szCs w:val="22"/>
        </w:rPr>
        <w:t>331.243(d)(1)</w:t>
      </w:r>
      <w:r w:rsidR="004943F9" w:rsidRPr="00FF4030">
        <w:rPr>
          <w:szCs w:val="22"/>
        </w:rPr>
        <w:t>(A)-(K)</w:t>
      </w:r>
      <w:r w:rsidR="00E16463" w:rsidRPr="00FF4030">
        <w:rPr>
          <w:szCs w:val="22"/>
        </w:rPr>
        <w:t xml:space="preserve"> shall be considered</w:t>
      </w:r>
      <w:r w:rsidR="00AE474F" w:rsidRPr="00FF4030">
        <w:rPr>
          <w:szCs w:val="22"/>
        </w:rPr>
        <w:t>.</w:t>
      </w:r>
    </w:p>
    <w:p w14:paraId="205EB41C" w14:textId="77777777" w:rsidR="004135FB" w:rsidRPr="00FF4030" w:rsidRDefault="001C3765" w:rsidP="00FF4030">
      <w:pPr>
        <w:pStyle w:val="List-arabicnumbers"/>
        <w:rPr>
          <w:szCs w:val="22"/>
        </w:rPr>
      </w:pPr>
      <w:r w:rsidRPr="00FF4030">
        <w:rPr>
          <w:szCs w:val="22"/>
        </w:rPr>
        <w:t xml:space="preserve">Tubing and </w:t>
      </w:r>
      <w:r w:rsidR="00DE0CB2">
        <w:rPr>
          <w:szCs w:val="22"/>
        </w:rPr>
        <w:t>P</w:t>
      </w:r>
      <w:r w:rsidRPr="00FF4030">
        <w:rPr>
          <w:szCs w:val="22"/>
        </w:rPr>
        <w:t>acker.  Injection wells, except those municipal wells</w:t>
      </w:r>
      <w:r w:rsidR="006A23CC" w:rsidRPr="00FF4030">
        <w:rPr>
          <w:szCs w:val="22"/>
        </w:rPr>
        <w:t xml:space="preserve"> injecting </w:t>
      </w:r>
      <w:r w:rsidR="00F902CC" w:rsidRPr="00FF4030">
        <w:rPr>
          <w:szCs w:val="22"/>
        </w:rPr>
        <w:t>non</w:t>
      </w:r>
      <w:r w:rsidR="006A23CC" w:rsidRPr="00FF4030">
        <w:rPr>
          <w:szCs w:val="22"/>
        </w:rPr>
        <w:t xml:space="preserve">corrosive wastes, </w:t>
      </w:r>
      <w:r w:rsidRPr="00FF4030">
        <w:rPr>
          <w:szCs w:val="22"/>
        </w:rPr>
        <w:t>shall inject fluids through tubing with a packer set immediately above the injection zone</w:t>
      </w:r>
      <w:r w:rsidR="008873CF" w:rsidRPr="00FF4030">
        <w:rPr>
          <w:szCs w:val="22"/>
        </w:rPr>
        <w:t xml:space="preserve">.  </w:t>
      </w:r>
      <w:r w:rsidRPr="00FF4030">
        <w:rPr>
          <w:szCs w:val="22"/>
        </w:rPr>
        <w:t xml:space="preserve">The tubing, packer, and </w:t>
      </w:r>
      <w:r w:rsidRPr="00FF4030">
        <w:rPr>
          <w:szCs w:val="22"/>
        </w:rPr>
        <w:lastRenderedPageBreak/>
        <w:t>fluid seal shall be designed for the expected service.  The factors listed in 30 TAC §331.62(b</w:t>
      </w:r>
      <w:r w:rsidR="008D344C" w:rsidRPr="00FF4030">
        <w:rPr>
          <w:szCs w:val="22"/>
        </w:rPr>
        <w:t>)(</w:t>
      </w:r>
      <w:r w:rsidRPr="00FF4030">
        <w:rPr>
          <w:szCs w:val="22"/>
        </w:rPr>
        <w:t>3)(A)-(B)</w:t>
      </w:r>
      <w:r w:rsidR="00066635" w:rsidRPr="00FF4030">
        <w:rPr>
          <w:szCs w:val="22"/>
        </w:rPr>
        <w:t>,</w:t>
      </w:r>
      <w:r w:rsidRPr="00FF4030">
        <w:rPr>
          <w:szCs w:val="22"/>
        </w:rPr>
        <w:t xml:space="preserve"> </w:t>
      </w:r>
      <w:r w:rsidR="003A01FB" w:rsidRPr="00FF4030">
        <w:rPr>
          <w:szCs w:val="22"/>
        </w:rPr>
        <w:t>and for bedded salt cavern disposal wells, §331.243</w:t>
      </w:r>
      <w:r w:rsidR="000B636A" w:rsidRPr="00FF4030">
        <w:rPr>
          <w:szCs w:val="22"/>
        </w:rPr>
        <w:t>(e)(2)</w:t>
      </w:r>
      <w:r w:rsidR="003A01FB" w:rsidRPr="00FF4030">
        <w:rPr>
          <w:szCs w:val="22"/>
        </w:rPr>
        <w:t xml:space="preserve"> </w:t>
      </w:r>
      <w:r w:rsidRPr="00FF4030">
        <w:rPr>
          <w:szCs w:val="22"/>
        </w:rPr>
        <w:t>shall be considered.</w:t>
      </w:r>
    </w:p>
    <w:p w14:paraId="6C305AE1" w14:textId="77777777" w:rsidR="004135FB" w:rsidRPr="00FF4030" w:rsidRDefault="000C174A" w:rsidP="00FF4030">
      <w:pPr>
        <w:pStyle w:val="List-arabicnumbers"/>
        <w:rPr>
          <w:szCs w:val="22"/>
        </w:rPr>
      </w:pPr>
      <w:r w:rsidRPr="00FF4030">
        <w:rPr>
          <w:szCs w:val="22"/>
        </w:rPr>
        <w:t>Annular</w:t>
      </w:r>
      <w:r w:rsidR="00DE0CB2">
        <w:rPr>
          <w:szCs w:val="22"/>
        </w:rPr>
        <w:t xml:space="preserve"> F</w:t>
      </w:r>
      <w:r w:rsidRPr="00FF4030">
        <w:rPr>
          <w:szCs w:val="22"/>
        </w:rPr>
        <w:t>luid.</w:t>
      </w:r>
      <w:r w:rsidR="00B06F28" w:rsidRPr="00FF4030">
        <w:rPr>
          <w:szCs w:val="22"/>
        </w:rPr>
        <w:t xml:space="preserve">  The annulus between the tubing and the long string of casings shall be filled with a fluid approved by the executive director and a pressure, also approved by the executive director, shall be maintained on the annulus in accordance with </w:t>
      </w:r>
      <w:r w:rsidR="00A77AAA" w:rsidRPr="00FF4030">
        <w:rPr>
          <w:rStyle w:val="2subsectionaChar"/>
          <w:color w:val="auto"/>
          <w:sz w:val="24"/>
        </w:rPr>
        <w:t xml:space="preserve">30 TAC </w:t>
      </w:r>
      <w:r w:rsidR="00840D6D" w:rsidRPr="00FF4030">
        <w:rPr>
          <w:szCs w:val="22"/>
        </w:rPr>
        <w:t>§</w:t>
      </w:r>
      <w:r w:rsidR="00A77AAA" w:rsidRPr="00FF4030">
        <w:rPr>
          <w:rStyle w:val="2subsectionaChar"/>
          <w:color w:val="auto"/>
          <w:sz w:val="24"/>
        </w:rPr>
        <w:t>331.63(n)</w:t>
      </w:r>
      <w:r w:rsidR="00E46FD4" w:rsidRPr="00FF4030">
        <w:rPr>
          <w:szCs w:val="22"/>
        </w:rPr>
        <w:t>, and for bedded salt cavern disposal wells, §</w:t>
      </w:r>
      <w:r w:rsidR="00840D6D" w:rsidRPr="00FF4030">
        <w:rPr>
          <w:szCs w:val="22"/>
        </w:rPr>
        <w:t>331.24</w:t>
      </w:r>
      <w:r w:rsidR="00A42181" w:rsidRPr="00FF4030">
        <w:rPr>
          <w:szCs w:val="22"/>
        </w:rPr>
        <w:t>5</w:t>
      </w:r>
      <w:r w:rsidR="00840D6D" w:rsidRPr="00FF4030">
        <w:rPr>
          <w:szCs w:val="22"/>
        </w:rPr>
        <w:t>(</w:t>
      </w:r>
      <w:r w:rsidR="00A42181" w:rsidRPr="00FF4030">
        <w:rPr>
          <w:szCs w:val="22"/>
        </w:rPr>
        <w:t>a</w:t>
      </w:r>
      <w:r w:rsidR="00840D6D" w:rsidRPr="00FF4030">
        <w:rPr>
          <w:szCs w:val="22"/>
        </w:rPr>
        <w:t>)(</w:t>
      </w:r>
      <w:r w:rsidR="00A42181" w:rsidRPr="00FF4030">
        <w:rPr>
          <w:szCs w:val="22"/>
        </w:rPr>
        <w:t>4</w:t>
      </w:r>
      <w:r w:rsidR="00840D6D" w:rsidRPr="00FF4030">
        <w:rPr>
          <w:szCs w:val="22"/>
        </w:rPr>
        <w:t>)</w:t>
      </w:r>
      <w:r w:rsidR="00B06F28" w:rsidRPr="00FF4030">
        <w:rPr>
          <w:rStyle w:val="2subsectionaChar"/>
          <w:color w:val="auto"/>
          <w:sz w:val="24"/>
        </w:rPr>
        <w:t>.</w:t>
      </w:r>
    </w:p>
    <w:p w14:paraId="161B593C" w14:textId="77777777" w:rsidR="00495B16" w:rsidRPr="00FF4030" w:rsidRDefault="001C3765" w:rsidP="00FF4030">
      <w:pPr>
        <w:pStyle w:val="List-arabicnumbers"/>
        <w:rPr>
          <w:szCs w:val="22"/>
        </w:rPr>
      </w:pPr>
      <w:r w:rsidRPr="00FF4030">
        <w:rPr>
          <w:szCs w:val="22"/>
        </w:rPr>
        <w:t xml:space="preserve">Logging and </w:t>
      </w:r>
      <w:r w:rsidR="00DE0CB2">
        <w:rPr>
          <w:szCs w:val="22"/>
        </w:rPr>
        <w:t>T</w:t>
      </w:r>
      <w:r w:rsidRPr="00FF4030">
        <w:rPr>
          <w:szCs w:val="22"/>
        </w:rPr>
        <w:t>esting</w:t>
      </w:r>
      <w:r w:rsidR="009C0226" w:rsidRPr="00FF4030">
        <w:rPr>
          <w:szCs w:val="22"/>
        </w:rPr>
        <w:t xml:space="preserve">.  </w:t>
      </w:r>
      <w:r w:rsidRPr="00FF4030">
        <w:rPr>
          <w:szCs w:val="22"/>
        </w:rPr>
        <w:t>Appropriate logs and other tests shall be conducted during the drilling and construction of a new well</w:t>
      </w:r>
      <w:r w:rsidR="00495B16" w:rsidRPr="00FF4030">
        <w:rPr>
          <w:szCs w:val="22"/>
        </w:rPr>
        <w:t xml:space="preserve">.  </w:t>
      </w:r>
      <w:r w:rsidRPr="00FF4030">
        <w:rPr>
          <w:szCs w:val="22"/>
        </w:rPr>
        <w:t>A descriptive report interpreting the results of such logs and tests shall be prepared by a knowledgeable log analyst and submitted to the executive director</w:t>
      </w:r>
      <w:r w:rsidR="008873CF" w:rsidRPr="00FF4030">
        <w:rPr>
          <w:szCs w:val="22"/>
        </w:rPr>
        <w:t xml:space="preserve">.  </w:t>
      </w:r>
      <w:r w:rsidRPr="00FF4030">
        <w:rPr>
          <w:szCs w:val="22"/>
        </w:rPr>
        <w:t>At a minimum, such logs and tests shall include</w:t>
      </w:r>
      <w:r w:rsidR="009C0226" w:rsidRPr="00FF4030">
        <w:rPr>
          <w:szCs w:val="22"/>
        </w:rPr>
        <w:t xml:space="preserve"> those required under 30 TAC §331.62(b)(4)</w:t>
      </w:r>
      <w:r w:rsidR="00696C67" w:rsidRPr="00FF4030">
        <w:rPr>
          <w:szCs w:val="22"/>
        </w:rPr>
        <w:t>, and for</w:t>
      </w:r>
      <w:r w:rsidR="009C0226" w:rsidRPr="00FF4030">
        <w:rPr>
          <w:szCs w:val="22"/>
        </w:rPr>
        <w:t xml:space="preserve"> bedded salt cavern disposal wells, §331.243(g).</w:t>
      </w:r>
    </w:p>
    <w:p w14:paraId="323B1110" w14:textId="77777777" w:rsidR="00790BD0" w:rsidRPr="00FF4030" w:rsidRDefault="00790BD0" w:rsidP="00FF4030">
      <w:pPr>
        <w:pStyle w:val="List-arabicnumbers"/>
        <w:rPr>
          <w:szCs w:val="22"/>
        </w:rPr>
      </w:pPr>
      <w:r w:rsidRPr="00FF4030">
        <w:rPr>
          <w:szCs w:val="22"/>
        </w:rPr>
        <w:t>Injection</w:t>
      </w:r>
      <w:r w:rsidR="00DE0CB2">
        <w:rPr>
          <w:szCs w:val="22"/>
        </w:rPr>
        <w:t xml:space="preserve"> F</w:t>
      </w:r>
      <w:r w:rsidRPr="00FF4030">
        <w:rPr>
          <w:szCs w:val="22"/>
        </w:rPr>
        <w:t xml:space="preserve">ormation </w:t>
      </w:r>
      <w:r w:rsidR="00DE0CB2">
        <w:rPr>
          <w:szCs w:val="22"/>
        </w:rPr>
        <w:t>P</w:t>
      </w:r>
      <w:r w:rsidRPr="00FF4030">
        <w:rPr>
          <w:szCs w:val="22"/>
        </w:rPr>
        <w:t>roperties.  In accordance with 30 TAC §331.62(b)(5), at a minimum, the following information concerning the injection formation shall be determined or calculated for a new well:</w:t>
      </w:r>
    </w:p>
    <w:p w14:paraId="1F0A6A7B" w14:textId="77777777" w:rsidR="00790BD0" w:rsidRPr="00FF4030" w:rsidRDefault="00790BD0" w:rsidP="00BA1936">
      <w:pPr>
        <w:pStyle w:val="List-LowerCaseAlpha"/>
        <w:numPr>
          <w:ilvl w:val="0"/>
          <w:numId w:val="30"/>
        </w:numPr>
        <w:rPr>
          <w:szCs w:val="22"/>
        </w:rPr>
      </w:pPr>
      <w:r w:rsidRPr="00FF4030">
        <w:rPr>
          <w:szCs w:val="22"/>
        </w:rPr>
        <w:t>fluid pressure;</w:t>
      </w:r>
    </w:p>
    <w:p w14:paraId="6DA3B816" w14:textId="77777777" w:rsidR="00790BD0" w:rsidRPr="00FF4030" w:rsidRDefault="00790BD0" w:rsidP="00FF4030">
      <w:pPr>
        <w:pStyle w:val="List-LowerCaseAlpha"/>
        <w:rPr>
          <w:szCs w:val="22"/>
        </w:rPr>
      </w:pPr>
      <w:r w:rsidRPr="00FF4030">
        <w:rPr>
          <w:szCs w:val="22"/>
        </w:rPr>
        <w:t>temperature;</w:t>
      </w:r>
    </w:p>
    <w:p w14:paraId="3CDA282B" w14:textId="77777777" w:rsidR="00790BD0" w:rsidRPr="00FF4030" w:rsidRDefault="00790BD0" w:rsidP="00FF4030">
      <w:pPr>
        <w:pStyle w:val="List-LowerCaseAlpha"/>
        <w:rPr>
          <w:szCs w:val="22"/>
        </w:rPr>
      </w:pPr>
      <w:r w:rsidRPr="00FF4030">
        <w:rPr>
          <w:szCs w:val="22"/>
        </w:rPr>
        <w:t>fracture pressure;</w:t>
      </w:r>
    </w:p>
    <w:p w14:paraId="1843BCFC" w14:textId="77777777" w:rsidR="00790BD0" w:rsidRPr="00FF4030" w:rsidRDefault="00790BD0" w:rsidP="00FF4030">
      <w:pPr>
        <w:pStyle w:val="List-LowerCaseAlpha"/>
        <w:rPr>
          <w:szCs w:val="22"/>
        </w:rPr>
      </w:pPr>
      <w:r w:rsidRPr="00FF4030">
        <w:rPr>
          <w:szCs w:val="22"/>
        </w:rPr>
        <w:t xml:space="preserve">other physical, </w:t>
      </w:r>
      <w:proofErr w:type="gramStart"/>
      <w:r w:rsidRPr="00FF4030">
        <w:rPr>
          <w:szCs w:val="22"/>
        </w:rPr>
        <w:t>chemical</w:t>
      </w:r>
      <w:proofErr w:type="gramEnd"/>
      <w:r w:rsidRPr="00FF4030">
        <w:rPr>
          <w:szCs w:val="22"/>
        </w:rPr>
        <w:t xml:space="preserve"> and radiological characteristics of the injection matrix; and</w:t>
      </w:r>
    </w:p>
    <w:p w14:paraId="79B5CE55" w14:textId="77777777" w:rsidR="00790BD0" w:rsidRPr="00FF4030" w:rsidRDefault="00790BD0" w:rsidP="00FF4030">
      <w:pPr>
        <w:pStyle w:val="List-LowerCaseAlpha"/>
        <w:rPr>
          <w:szCs w:val="22"/>
        </w:rPr>
      </w:pPr>
      <w:r w:rsidRPr="00FF4030">
        <w:rPr>
          <w:szCs w:val="22"/>
        </w:rPr>
        <w:t>physical and chemical characteristics of the formation fluids.</w:t>
      </w:r>
    </w:p>
    <w:p w14:paraId="4EB99B53" w14:textId="77777777" w:rsidR="00DB7A23" w:rsidRPr="006672D1" w:rsidRDefault="00DB7A23" w:rsidP="006672D1">
      <w:pPr>
        <w:pStyle w:val="List-arabicnumbers"/>
        <w:rPr>
          <w:szCs w:val="22"/>
        </w:rPr>
      </w:pPr>
      <w:r w:rsidRPr="006672D1">
        <w:rPr>
          <w:szCs w:val="22"/>
        </w:rPr>
        <w:t xml:space="preserve">Injection </w:t>
      </w:r>
      <w:r w:rsidR="00DE0CB2">
        <w:rPr>
          <w:szCs w:val="22"/>
        </w:rPr>
        <w:t>P</w:t>
      </w:r>
      <w:r w:rsidRPr="006672D1">
        <w:rPr>
          <w:szCs w:val="22"/>
        </w:rPr>
        <w:t>ressure.  F</w:t>
      </w:r>
      <w:r w:rsidR="003E31BB" w:rsidRPr="006672D1">
        <w:rPr>
          <w:szCs w:val="22"/>
        </w:rPr>
        <w:t xml:space="preserve">or wells not located in non-domal or bedded salt, </w:t>
      </w:r>
      <w:r w:rsidRPr="006672D1">
        <w:rPr>
          <w:szCs w:val="22"/>
        </w:rPr>
        <w:t xml:space="preserve">except during well stimulation, </w:t>
      </w:r>
      <w:r w:rsidR="003E31BB" w:rsidRPr="006672D1">
        <w:rPr>
          <w:szCs w:val="22"/>
        </w:rPr>
        <w:t xml:space="preserve">the </w:t>
      </w:r>
      <w:r w:rsidR="001C3765" w:rsidRPr="006672D1">
        <w:rPr>
          <w:szCs w:val="22"/>
        </w:rPr>
        <w:t>injection pressure at the wellhead shall not exceed a maximum which shall be calculated so as to assure that the pressure in the injection zone during injection does not initiate new fractures or propagate existing fractures in the injection zone, initiate new fractures or propagate existing fractures in the confining zone, or cause movement of fluid out of the injection zone that may pollute USDWs or surface water.</w:t>
      </w:r>
    </w:p>
    <w:p w14:paraId="41889026" w14:textId="77777777" w:rsidR="004135FB" w:rsidRPr="006672D1" w:rsidRDefault="00DE0CB2" w:rsidP="006672D1">
      <w:pPr>
        <w:pStyle w:val="List-arabicnumbers"/>
        <w:rPr>
          <w:szCs w:val="22"/>
        </w:rPr>
      </w:pPr>
      <w:r>
        <w:rPr>
          <w:szCs w:val="22"/>
        </w:rPr>
        <w:t xml:space="preserve">Bedded Salt Cavern Disposal Wells.  </w:t>
      </w:r>
      <w:r w:rsidR="003E31BB" w:rsidRPr="006672D1">
        <w:rPr>
          <w:szCs w:val="22"/>
        </w:rPr>
        <w:t xml:space="preserve">For bedded salt cavern disposal wells, a </w:t>
      </w:r>
      <w:r w:rsidR="00DB7A23" w:rsidRPr="006672D1">
        <w:rPr>
          <w:szCs w:val="22"/>
        </w:rPr>
        <w:t>maximum allowable operating pressure and test pressure shall not exceed 0.8 pounds per square inch per foot of depth measured at the higher elevation of either the long string casing seat or the highest interior elevation of the cavern roof</w:t>
      </w:r>
      <w:r w:rsidR="00223BA3" w:rsidRPr="006672D1">
        <w:rPr>
          <w:szCs w:val="22"/>
        </w:rPr>
        <w:t xml:space="preserve">, </w:t>
      </w:r>
      <w:r w:rsidR="00DB7A23" w:rsidRPr="006672D1">
        <w:rPr>
          <w:szCs w:val="22"/>
        </w:rPr>
        <w:t xml:space="preserve">but in no case shall it disrupt the bond between the salt, cement, and the casing seat, initiate new fractures </w:t>
      </w:r>
      <w:r w:rsidR="00DB7A23" w:rsidRPr="006672D1">
        <w:rPr>
          <w:szCs w:val="22"/>
        </w:rPr>
        <w:lastRenderedPageBreak/>
        <w:t xml:space="preserve">or propagate existing fractures in the cavern or the confining zone, or cause movement of fluid or waste out of the injection zone.  A minimum operating pressure that is protective of bedded salt cavern </w:t>
      </w:r>
      <w:r w:rsidR="00174800" w:rsidRPr="006672D1">
        <w:rPr>
          <w:szCs w:val="22"/>
        </w:rPr>
        <w:t>integrity shall be maintained.</w:t>
      </w:r>
    </w:p>
    <w:p w14:paraId="2F0EE935" w14:textId="77777777" w:rsidR="004135FB" w:rsidRPr="006672D1" w:rsidRDefault="001C3765" w:rsidP="006672D1">
      <w:pPr>
        <w:pStyle w:val="List-arabicnumbers"/>
        <w:rPr>
          <w:szCs w:val="22"/>
        </w:rPr>
      </w:pPr>
      <w:r w:rsidRPr="006672D1">
        <w:rPr>
          <w:szCs w:val="22"/>
        </w:rPr>
        <w:t xml:space="preserve">Annular </w:t>
      </w:r>
      <w:r w:rsidR="00DE0CB2">
        <w:rPr>
          <w:szCs w:val="22"/>
        </w:rPr>
        <w:t>I</w:t>
      </w:r>
      <w:r w:rsidRPr="006672D1">
        <w:rPr>
          <w:szCs w:val="22"/>
        </w:rPr>
        <w:t>njection.  Injection between the outermost casing protecting USDWs and fresh or surface water and the wellbore is prohibited.</w:t>
      </w:r>
    </w:p>
    <w:p w14:paraId="6A156334" w14:textId="77777777" w:rsidR="004135FB" w:rsidRPr="006672D1" w:rsidRDefault="001C3765" w:rsidP="006672D1">
      <w:pPr>
        <w:pStyle w:val="List-arabicnumbers"/>
        <w:rPr>
          <w:szCs w:val="22"/>
        </w:rPr>
      </w:pPr>
      <w:r w:rsidRPr="006672D1">
        <w:rPr>
          <w:szCs w:val="22"/>
        </w:rPr>
        <w:t xml:space="preserve">Monitoring and </w:t>
      </w:r>
      <w:r w:rsidR="00DE0CB2">
        <w:rPr>
          <w:szCs w:val="22"/>
        </w:rPr>
        <w:t>T</w:t>
      </w:r>
      <w:r w:rsidRPr="006672D1">
        <w:rPr>
          <w:szCs w:val="22"/>
        </w:rPr>
        <w:t>esting</w:t>
      </w:r>
      <w:r w:rsidR="008873CF" w:rsidRPr="006672D1">
        <w:rPr>
          <w:szCs w:val="22"/>
        </w:rPr>
        <w:t xml:space="preserve">.  </w:t>
      </w:r>
      <w:r w:rsidRPr="006672D1">
        <w:rPr>
          <w:szCs w:val="22"/>
        </w:rPr>
        <w:t>Monitoring and testing shall include the activities specified in 30 TAC §331.64(k)</w:t>
      </w:r>
      <w:r w:rsidR="00696C67" w:rsidRPr="006672D1">
        <w:rPr>
          <w:szCs w:val="22"/>
        </w:rPr>
        <w:t>,</w:t>
      </w:r>
      <w:r w:rsidR="00B53192" w:rsidRPr="006672D1">
        <w:rPr>
          <w:szCs w:val="22"/>
        </w:rPr>
        <w:t xml:space="preserve"> and for bedded salt cavern disposal wells and their associated caverns, §331.246.</w:t>
      </w:r>
    </w:p>
    <w:p w14:paraId="518BB0A2" w14:textId="77777777" w:rsidR="004135FB" w:rsidRPr="006672D1" w:rsidRDefault="001C3765" w:rsidP="006672D1">
      <w:pPr>
        <w:pStyle w:val="List-arabicnumbers"/>
        <w:rPr>
          <w:szCs w:val="22"/>
        </w:rPr>
      </w:pPr>
      <w:r w:rsidRPr="006672D1">
        <w:rPr>
          <w:szCs w:val="22"/>
        </w:rPr>
        <w:t xml:space="preserve">Reporting.  </w:t>
      </w:r>
      <w:r w:rsidR="00580ADF" w:rsidRPr="006672D1">
        <w:rPr>
          <w:szCs w:val="22"/>
        </w:rPr>
        <w:t>The owner or operator</w:t>
      </w:r>
      <w:r w:rsidRPr="006672D1">
        <w:rPr>
          <w:szCs w:val="22"/>
        </w:rPr>
        <w:t xml:space="preserve"> shall comply with </w:t>
      </w:r>
      <w:r w:rsidR="005A5978" w:rsidRPr="006672D1">
        <w:rPr>
          <w:szCs w:val="22"/>
        </w:rPr>
        <w:t xml:space="preserve">requirements for completion reports, operating </w:t>
      </w:r>
      <w:proofErr w:type="gramStart"/>
      <w:r w:rsidR="005A5978" w:rsidRPr="006672D1">
        <w:rPr>
          <w:szCs w:val="22"/>
        </w:rPr>
        <w:t>reports</w:t>
      </w:r>
      <w:proofErr w:type="gramEnd"/>
      <w:r w:rsidR="005A5978" w:rsidRPr="006672D1">
        <w:rPr>
          <w:szCs w:val="22"/>
        </w:rPr>
        <w:t xml:space="preserve"> and annual reports as</w:t>
      </w:r>
      <w:r w:rsidRPr="006672D1">
        <w:rPr>
          <w:szCs w:val="22"/>
        </w:rPr>
        <w:t xml:space="preserve"> specified in</w:t>
      </w:r>
      <w:r w:rsidR="003A604B" w:rsidRPr="006672D1">
        <w:rPr>
          <w:szCs w:val="22"/>
        </w:rPr>
        <w:t xml:space="preserve"> 30 TAC §331.65(e)</w:t>
      </w:r>
      <w:r w:rsidR="00FA18FA" w:rsidRPr="006672D1">
        <w:rPr>
          <w:szCs w:val="22"/>
        </w:rPr>
        <w:t>, and for bedded salt cavern disposal wells</w:t>
      </w:r>
      <w:r w:rsidR="00787C4F" w:rsidRPr="006672D1">
        <w:rPr>
          <w:szCs w:val="22"/>
        </w:rPr>
        <w:t>,</w:t>
      </w:r>
      <w:r w:rsidR="00FA18FA" w:rsidRPr="006672D1">
        <w:rPr>
          <w:szCs w:val="22"/>
        </w:rPr>
        <w:t xml:space="preserve"> as specified in §331.24</w:t>
      </w:r>
      <w:r w:rsidR="00787C4F" w:rsidRPr="006672D1">
        <w:rPr>
          <w:szCs w:val="22"/>
        </w:rPr>
        <w:t>7</w:t>
      </w:r>
      <w:r w:rsidR="00FA18FA" w:rsidRPr="006672D1">
        <w:rPr>
          <w:szCs w:val="22"/>
        </w:rPr>
        <w:t>.</w:t>
      </w:r>
    </w:p>
    <w:p w14:paraId="77042285" w14:textId="77777777" w:rsidR="00183AA8" w:rsidRPr="006672D1" w:rsidRDefault="00F63607" w:rsidP="006672D1">
      <w:pPr>
        <w:pStyle w:val="List-arabicnumbers"/>
        <w:rPr>
          <w:szCs w:val="22"/>
        </w:rPr>
      </w:pPr>
      <w:r w:rsidRPr="006672D1">
        <w:rPr>
          <w:szCs w:val="22"/>
        </w:rPr>
        <w:t xml:space="preserve">Recordkeeping.  </w:t>
      </w:r>
      <w:r w:rsidR="00580ADF" w:rsidRPr="006672D1">
        <w:rPr>
          <w:szCs w:val="22"/>
        </w:rPr>
        <w:t>The owner or operator</w:t>
      </w:r>
      <w:r w:rsidR="002D687A" w:rsidRPr="006672D1">
        <w:rPr>
          <w:szCs w:val="22"/>
        </w:rPr>
        <w:t xml:space="preserve"> shall keep complete and accurate records as required by 30 TAC </w:t>
      </w:r>
      <w:r w:rsidR="009578EB" w:rsidRPr="006672D1">
        <w:rPr>
          <w:szCs w:val="22"/>
        </w:rPr>
        <w:t>§</w:t>
      </w:r>
      <w:r w:rsidR="002D687A" w:rsidRPr="006672D1">
        <w:rPr>
          <w:szCs w:val="22"/>
        </w:rPr>
        <w:t>305</w:t>
      </w:r>
      <w:r w:rsidR="00767E27" w:rsidRPr="006672D1">
        <w:rPr>
          <w:szCs w:val="22"/>
        </w:rPr>
        <w:t>.157</w:t>
      </w:r>
      <w:r w:rsidR="00020FC1" w:rsidRPr="006672D1">
        <w:rPr>
          <w:szCs w:val="22"/>
        </w:rPr>
        <w:t xml:space="preserve"> and 30 TAC Chapters</w:t>
      </w:r>
      <w:r w:rsidR="002D687A" w:rsidRPr="006672D1">
        <w:rPr>
          <w:szCs w:val="22"/>
        </w:rPr>
        <w:t xml:space="preserve"> 331 and 335.</w:t>
      </w:r>
      <w:r w:rsidR="00FB2071" w:rsidRPr="006672D1">
        <w:rPr>
          <w:szCs w:val="22"/>
        </w:rPr>
        <w:t xml:space="preserve">  </w:t>
      </w:r>
      <w:r w:rsidR="00580ADF" w:rsidRPr="006672D1">
        <w:rPr>
          <w:szCs w:val="22"/>
        </w:rPr>
        <w:t>The owner or operator</w:t>
      </w:r>
      <w:r w:rsidR="00183AA8" w:rsidRPr="006672D1">
        <w:rPr>
          <w:szCs w:val="22"/>
        </w:rPr>
        <w:t xml:space="preserve"> shall furnish to the executive director, upon request and </w:t>
      </w:r>
      <w:r w:rsidR="00B86616" w:rsidRPr="006672D1">
        <w:rPr>
          <w:szCs w:val="22"/>
        </w:rPr>
        <w:t xml:space="preserve">within a reasonable time frame, and in no case later than 30 days from the date of the request, </w:t>
      </w:r>
      <w:r w:rsidR="00183AA8" w:rsidRPr="006672D1">
        <w:rPr>
          <w:szCs w:val="22"/>
        </w:rPr>
        <w:t>copies of records required to be kept by the permit.</w:t>
      </w:r>
    </w:p>
    <w:p w14:paraId="74AD4931" w14:textId="77777777" w:rsidR="003B40D4" w:rsidRPr="003B40D4" w:rsidRDefault="001C3765" w:rsidP="003B40D4">
      <w:pPr>
        <w:pStyle w:val="List-arabicnumbers"/>
      </w:pPr>
      <w:r w:rsidRPr="003B40D4">
        <w:t>Closure Standards</w:t>
      </w:r>
      <w:r w:rsidR="005A5978" w:rsidRPr="003B40D4">
        <w:t>.  T</w:t>
      </w:r>
      <w:r w:rsidRPr="003B40D4">
        <w:t>he well shall be closed in accordance with</w:t>
      </w:r>
      <w:r w:rsidR="00830B48" w:rsidRPr="003B40D4">
        <w:t xml:space="preserve"> the applicable standards as specified in </w:t>
      </w:r>
      <w:r w:rsidRPr="003B40D4">
        <w:t xml:space="preserve">30 TAC </w:t>
      </w:r>
      <w:r w:rsidR="00A52D3F" w:rsidRPr="003B40D4">
        <w:t>§</w:t>
      </w:r>
      <w:r w:rsidRPr="003B40D4">
        <w:t>331.46</w:t>
      </w:r>
      <w:r w:rsidR="00674E33" w:rsidRPr="003B40D4">
        <w:t>(</w:t>
      </w:r>
      <w:r w:rsidR="00830B48" w:rsidRPr="003B40D4">
        <w:t>a)</w:t>
      </w:r>
      <w:r w:rsidR="005A5978" w:rsidRPr="003B40D4">
        <w:t>.</w:t>
      </w:r>
      <w:r w:rsidR="009B7893" w:rsidRPr="003B40D4">
        <w:t xml:space="preserve">  </w:t>
      </w:r>
      <w:r w:rsidR="0004668F" w:rsidRPr="003B40D4">
        <w:t>Bedded salt cavern disposal wells and their associated caverns</w:t>
      </w:r>
      <w:r w:rsidR="00F97A50" w:rsidRPr="003B40D4">
        <w:t xml:space="preserve"> shall be closed in accordance with §331.250.  </w:t>
      </w:r>
      <w:r w:rsidRPr="003B40D4">
        <w:t>The obligation to implement the closure plan survives the termination of a permit or the cessation of injection activities</w:t>
      </w:r>
      <w:r w:rsidR="008873CF" w:rsidRPr="003B40D4">
        <w:t xml:space="preserve">.  </w:t>
      </w:r>
      <w:r w:rsidRPr="003B40D4">
        <w:t>The requirement to maintain and implement an approved plan is directly enforceable regardless of whether the closure plan requireme</w:t>
      </w:r>
      <w:r w:rsidR="00825281" w:rsidRPr="003B40D4">
        <w:t>nt</w:t>
      </w:r>
      <w:r w:rsidR="00830B48" w:rsidRPr="003B40D4">
        <w:t xml:space="preserve"> is a condition of the permit.</w:t>
      </w:r>
    </w:p>
    <w:p w14:paraId="36DDC6D3" w14:textId="77777777" w:rsidR="00897180" w:rsidRPr="003B40D4" w:rsidRDefault="00D96358" w:rsidP="003B40D4">
      <w:pPr>
        <w:pStyle w:val="List-arabicnumbers"/>
      </w:pPr>
      <w:r w:rsidRPr="003B40D4">
        <w:t xml:space="preserve">Corrective Action.  </w:t>
      </w:r>
      <w:r w:rsidR="001D5C59" w:rsidRPr="003B40D4">
        <w:t xml:space="preserve">The owner or operator </w:t>
      </w:r>
      <w:r w:rsidR="002153F5" w:rsidRPr="003B40D4">
        <w:t>may</w:t>
      </w:r>
      <w:r w:rsidR="001D5C59" w:rsidRPr="003B40D4">
        <w:t xml:space="preserve"> </w:t>
      </w:r>
      <w:r w:rsidRPr="003B40D4">
        <w:t>perform corrective action as is necessary to prevent the movement of fluid into or between USDWs caused by the lack of mechanical integrity</w:t>
      </w:r>
      <w:r w:rsidR="008873CF" w:rsidRPr="003B40D4">
        <w:t xml:space="preserve">.  </w:t>
      </w:r>
      <w:r w:rsidRPr="003B40D4">
        <w:t>The owner or operator may resume injection upon receipt of written notification from the executive director that the owner or operator has demonstrated mechanical integrity under</w:t>
      </w:r>
      <w:r w:rsidR="001D5C59" w:rsidRPr="003B40D4">
        <w:t xml:space="preserve"> 30 TAC</w:t>
      </w:r>
      <w:r w:rsidR="002153F5" w:rsidRPr="003B40D4">
        <w:t xml:space="preserve"> §</w:t>
      </w:r>
      <w:r w:rsidR="001D5C59" w:rsidRPr="003B40D4">
        <w:t>331.64(k)(4).</w:t>
      </w:r>
    </w:p>
    <w:p w14:paraId="7F66D213" w14:textId="15F75AC8" w:rsidR="00E32DD8" w:rsidRPr="00C73B2E" w:rsidRDefault="00907659" w:rsidP="00E32DD8">
      <w:pPr>
        <w:pStyle w:val="List-arabicnumbers"/>
      </w:pPr>
      <w:r w:rsidRPr="00C73B2E">
        <w:rPr>
          <w:szCs w:val="22"/>
        </w:rPr>
        <w:t xml:space="preserve">Unless subject to a radioactive materials license issued under 30 TAC Chapter 336, applicants requesting authorization under this general permit for a nonhazardous waste commercial Class I injection well, but who are not required to have a Resource Conservation and Recovery Act (RCRA) permit for the surface facility, must submit form TCEQ-0024, "Application for a Permit to Store, Process or Dispose of Industrial </w:t>
      </w:r>
      <w:r w:rsidRPr="00C73B2E">
        <w:rPr>
          <w:szCs w:val="22"/>
        </w:rPr>
        <w:lastRenderedPageBreak/>
        <w:t>Nonhazardous Solid Waste," to the Waste Permits Division, Industrial and Hazardous Waste Permits Section, Mail Code 130 at the TCEQ address.</w:t>
      </w:r>
    </w:p>
    <w:p w14:paraId="32409FBF" w14:textId="77777777" w:rsidR="00D93AF6" w:rsidRPr="00C73B2E" w:rsidRDefault="00D93AF6" w:rsidP="00D93AF6">
      <w:pPr>
        <w:pStyle w:val="List-arabicnumbers"/>
      </w:pPr>
      <w:r w:rsidRPr="00C73B2E">
        <w:t>For NORM waste disposal, Class I injection well permitting must be accompanied by an application for a radioactive materials license.</w:t>
      </w:r>
    </w:p>
    <w:p w14:paraId="0F91E630" w14:textId="77777777" w:rsidR="00F7621B" w:rsidRPr="00750EB4" w:rsidRDefault="00936BF1" w:rsidP="00B64B10">
      <w:pPr>
        <w:pStyle w:val="H2TCEQ"/>
      </w:pPr>
      <w:r w:rsidRPr="00750EB4">
        <w:t xml:space="preserve">Part </w:t>
      </w:r>
      <w:r w:rsidR="008E1F23" w:rsidRPr="00750EB4">
        <w:t>I</w:t>
      </w:r>
      <w:r w:rsidRPr="00750EB4">
        <w:t xml:space="preserve">V.  Standard </w:t>
      </w:r>
      <w:r w:rsidR="00CD1421" w:rsidRPr="00750EB4">
        <w:t xml:space="preserve">Permit </w:t>
      </w:r>
      <w:r w:rsidR="007822F6" w:rsidRPr="00750EB4">
        <w:t>Condition</w:t>
      </w:r>
      <w:r w:rsidRPr="00750EB4">
        <w:t>s</w:t>
      </w:r>
    </w:p>
    <w:p w14:paraId="6B388651" w14:textId="77777777" w:rsidR="002F384D" w:rsidRPr="003B40D4" w:rsidRDefault="005758F4" w:rsidP="00BA1936">
      <w:pPr>
        <w:pStyle w:val="List-arabicnumbers"/>
        <w:numPr>
          <w:ilvl w:val="0"/>
          <w:numId w:val="31"/>
        </w:numPr>
        <w:ind w:left="720"/>
        <w:rPr>
          <w:szCs w:val="22"/>
        </w:rPr>
      </w:pPr>
      <w:r w:rsidRPr="003B40D4">
        <w:rPr>
          <w:szCs w:val="22"/>
        </w:rPr>
        <w:t xml:space="preserve">Authorization to </w:t>
      </w:r>
      <w:r w:rsidR="00524302" w:rsidRPr="003B40D4">
        <w:rPr>
          <w:szCs w:val="22"/>
        </w:rPr>
        <w:t>inject waste in a Class I well</w:t>
      </w:r>
      <w:r w:rsidRPr="003B40D4">
        <w:rPr>
          <w:szCs w:val="22"/>
        </w:rPr>
        <w:t xml:space="preserve"> must be obtained prior to the construction of any new </w:t>
      </w:r>
      <w:r w:rsidR="00524302" w:rsidRPr="003B40D4">
        <w:rPr>
          <w:szCs w:val="22"/>
        </w:rPr>
        <w:t xml:space="preserve">waste disposal well </w:t>
      </w:r>
      <w:r w:rsidRPr="003B40D4">
        <w:rPr>
          <w:szCs w:val="22"/>
        </w:rPr>
        <w:t xml:space="preserve">facility as stated in 30 TAC </w:t>
      </w:r>
      <w:r w:rsidR="00E106FE" w:rsidRPr="003B40D4">
        <w:rPr>
          <w:szCs w:val="22"/>
        </w:rPr>
        <w:t>§331.7</w:t>
      </w:r>
      <w:r w:rsidRPr="003B40D4">
        <w:rPr>
          <w:szCs w:val="22"/>
        </w:rPr>
        <w:t>.  This authorization may be obtained through either this general pe</w:t>
      </w:r>
      <w:r w:rsidR="00E208A2" w:rsidRPr="003B40D4">
        <w:rPr>
          <w:szCs w:val="22"/>
        </w:rPr>
        <w:t>rmit or an individual permit.</w:t>
      </w:r>
    </w:p>
    <w:p w14:paraId="11D0AA5C" w14:textId="77777777" w:rsidR="002F384D" w:rsidRPr="003B40D4" w:rsidRDefault="002F384D" w:rsidP="003B40D4">
      <w:pPr>
        <w:pStyle w:val="List-arabicnumbers"/>
        <w:rPr>
          <w:szCs w:val="22"/>
        </w:rPr>
      </w:pPr>
      <w:r w:rsidRPr="003B40D4">
        <w:rPr>
          <w:szCs w:val="22"/>
        </w:rPr>
        <w:t>NOIs, NOTs, and NOCs shall be signed in accordance with the requirements of 30 TAC §305.44(a) (relating to Signatories to Applications).  Plans, reports, and other information requested or required by the executive director shall be signed in accordance with the requirements of 30 TAC §305.128 (relating to Signatories to Reports).</w:t>
      </w:r>
    </w:p>
    <w:p w14:paraId="0D244EA3" w14:textId="77777777" w:rsidR="00A15B41" w:rsidRPr="003B40D4" w:rsidRDefault="00766330" w:rsidP="003B40D4">
      <w:pPr>
        <w:pStyle w:val="List-arabicnumbers"/>
        <w:rPr>
          <w:szCs w:val="22"/>
        </w:rPr>
      </w:pPr>
      <w:r w:rsidRPr="003B40D4">
        <w:rPr>
          <w:szCs w:val="22"/>
        </w:rPr>
        <w:t xml:space="preserve">The applicant </w:t>
      </w:r>
      <w:r w:rsidR="00011AFE" w:rsidRPr="003B40D4">
        <w:rPr>
          <w:szCs w:val="22"/>
        </w:rPr>
        <w:t>must</w:t>
      </w:r>
      <w:r w:rsidRPr="003B40D4">
        <w:rPr>
          <w:szCs w:val="22"/>
        </w:rPr>
        <w:t xml:space="preserve"> </w:t>
      </w:r>
      <w:r w:rsidR="00221F55" w:rsidRPr="003B40D4">
        <w:rPr>
          <w:szCs w:val="22"/>
        </w:rPr>
        <w:t xml:space="preserve">provide acceptable financial assurance </w:t>
      </w:r>
      <w:r w:rsidRPr="003B40D4">
        <w:rPr>
          <w:szCs w:val="22"/>
        </w:rPr>
        <w:t>in accordance with 30 TAC Chapter</w:t>
      </w:r>
      <w:r w:rsidR="000C21E0" w:rsidRPr="003B40D4">
        <w:rPr>
          <w:szCs w:val="22"/>
        </w:rPr>
        <w:t xml:space="preserve"> 37, Subchapter Q </w:t>
      </w:r>
      <w:r w:rsidRPr="003B40D4">
        <w:rPr>
          <w:szCs w:val="22"/>
        </w:rPr>
        <w:t>(relating to Financial Assurance for Underground Injection Control Wells)</w:t>
      </w:r>
      <w:r w:rsidR="00FC0A6E" w:rsidRPr="003B40D4">
        <w:rPr>
          <w:szCs w:val="22"/>
        </w:rPr>
        <w:t>.</w:t>
      </w:r>
    </w:p>
    <w:p w14:paraId="44E97411" w14:textId="77777777" w:rsidR="00CE2BB6" w:rsidRPr="003B40D4" w:rsidRDefault="00580ADF" w:rsidP="003B40D4">
      <w:pPr>
        <w:pStyle w:val="List-arabicnumbers"/>
        <w:rPr>
          <w:szCs w:val="22"/>
        </w:rPr>
      </w:pPr>
      <w:r w:rsidRPr="003B40D4">
        <w:rPr>
          <w:szCs w:val="22"/>
        </w:rPr>
        <w:t>The owner or operator</w:t>
      </w:r>
      <w:r w:rsidR="005758F4" w:rsidRPr="003B40D4">
        <w:rPr>
          <w:szCs w:val="22"/>
        </w:rPr>
        <w:t xml:space="preserve"> has a duty to comply with all conditions in this general permit and 30 TAC Chapter</w:t>
      </w:r>
      <w:r w:rsidR="00481150" w:rsidRPr="003B40D4">
        <w:rPr>
          <w:szCs w:val="22"/>
        </w:rPr>
        <w:t>s 305</w:t>
      </w:r>
      <w:r w:rsidR="00FC0A6E" w:rsidRPr="003B40D4">
        <w:rPr>
          <w:szCs w:val="22"/>
        </w:rPr>
        <w:t>, 335</w:t>
      </w:r>
      <w:r w:rsidR="00481150" w:rsidRPr="003B40D4">
        <w:rPr>
          <w:szCs w:val="22"/>
        </w:rPr>
        <w:t xml:space="preserve"> and</w:t>
      </w:r>
      <w:r w:rsidR="005758F4" w:rsidRPr="003B40D4">
        <w:rPr>
          <w:szCs w:val="22"/>
        </w:rPr>
        <w:t xml:space="preserve"> </w:t>
      </w:r>
      <w:r w:rsidR="005537B2" w:rsidRPr="003B40D4">
        <w:rPr>
          <w:szCs w:val="22"/>
        </w:rPr>
        <w:t>331</w:t>
      </w:r>
      <w:r w:rsidR="005758F4" w:rsidRPr="003B40D4">
        <w:rPr>
          <w:szCs w:val="22"/>
        </w:rPr>
        <w:t>.  Failure to comply with any condition is a violation of the general permit and the statutes under which the general permit was issued</w:t>
      </w:r>
      <w:r w:rsidR="008873CF" w:rsidRPr="003B40D4">
        <w:rPr>
          <w:szCs w:val="22"/>
        </w:rPr>
        <w:t xml:space="preserve">.  </w:t>
      </w:r>
      <w:r w:rsidR="005758F4" w:rsidRPr="003B40D4">
        <w:rPr>
          <w:szCs w:val="22"/>
        </w:rPr>
        <w:t xml:space="preserve">Any violation may be grounds for enforcement action, for terminating coverage under this general permit, or for requiring </w:t>
      </w:r>
      <w:r w:rsidRPr="003B40D4">
        <w:rPr>
          <w:szCs w:val="22"/>
        </w:rPr>
        <w:t>an owner or operator</w:t>
      </w:r>
      <w:r w:rsidR="005758F4" w:rsidRPr="003B40D4">
        <w:rPr>
          <w:szCs w:val="22"/>
        </w:rPr>
        <w:t xml:space="preserve"> to apply for and obtain an individual permit.</w:t>
      </w:r>
    </w:p>
    <w:p w14:paraId="4B169A80" w14:textId="77777777" w:rsidR="00CE2BB6" w:rsidRPr="003B40D4" w:rsidRDefault="005758F4" w:rsidP="003B40D4">
      <w:pPr>
        <w:pStyle w:val="List-arabicnumbers"/>
        <w:rPr>
          <w:szCs w:val="22"/>
        </w:rPr>
      </w:pPr>
      <w:r w:rsidRPr="003B40D4">
        <w:rPr>
          <w:szCs w:val="22"/>
        </w:rPr>
        <w:t xml:space="preserve">It is not a defense for </w:t>
      </w:r>
      <w:r w:rsidR="00580ADF" w:rsidRPr="003B40D4">
        <w:rPr>
          <w:szCs w:val="22"/>
        </w:rPr>
        <w:t>an owner or operator</w:t>
      </w:r>
      <w:r w:rsidRPr="003B40D4">
        <w:rPr>
          <w:szCs w:val="22"/>
        </w:rPr>
        <w:t xml:space="preserve"> in an enforcement action that it would have been necessary to halt or reduce the permitted </w:t>
      </w:r>
      <w:r w:rsidR="005537B2" w:rsidRPr="003B40D4">
        <w:rPr>
          <w:szCs w:val="22"/>
        </w:rPr>
        <w:t>waste injection</w:t>
      </w:r>
      <w:r w:rsidRPr="003B40D4">
        <w:rPr>
          <w:szCs w:val="22"/>
        </w:rPr>
        <w:t xml:space="preserve"> to maintain compliance with the permit conditions.</w:t>
      </w:r>
    </w:p>
    <w:p w14:paraId="3D31F0AC" w14:textId="472E3861" w:rsidR="00CE2BB6" w:rsidRPr="003B40D4" w:rsidRDefault="00580ADF" w:rsidP="003B40D4">
      <w:pPr>
        <w:pStyle w:val="List-arabicnumbers"/>
        <w:rPr>
          <w:szCs w:val="22"/>
        </w:rPr>
      </w:pPr>
      <w:r w:rsidRPr="003B40D4">
        <w:rPr>
          <w:szCs w:val="22"/>
        </w:rPr>
        <w:t>The owner or operator</w:t>
      </w:r>
      <w:r w:rsidR="005758F4" w:rsidRPr="003B40D4">
        <w:rPr>
          <w:szCs w:val="22"/>
        </w:rPr>
        <w:t xml:space="preserve"> </w:t>
      </w:r>
      <w:proofErr w:type="gramStart"/>
      <w:r w:rsidR="005758F4" w:rsidRPr="003B40D4">
        <w:rPr>
          <w:szCs w:val="22"/>
        </w:rPr>
        <w:t>shall at all times</w:t>
      </w:r>
      <w:proofErr w:type="gramEnd"/>
      <w:r w:rsidR="005758F4" w:rsidRPr="003B40D4">
        <w:rPr>
          <w:szCs w:val="22"/>
        </w:rPr>
        <w:t xml:space="preserve"> properly operate and maintain all facilities and systems of treatment and control (and related appurtenances) installed or used by </w:t>
      </w:r>
      <w:r w:rsidRPr="003B40D4">
        <w:rPr>
          <w:szCs w:val="22"/>
        </w:rPr>
        <w:t>the owner or operator</w:t>
      </w:r>
      <w:r w:rsidR="005758F4" w:rsidRPr="003B40D4">
        <w:rPr>
          <w:szCs w:val="22"/>
        </w:rPr>
        <w:t xml:space="preserve"> to achieve compliance with the permit conditions.  Proper operation and maintenance also include adequate laboratory and process controls, and appropriate quality assurance procedures.  This provision requires the operation of back-up or auxiliary facilities or similar systems only when necessary to achieve compliance with the permit conditions.</w:t>
      </w:r>
    </w:p>
    <w:p w14:paraId="3FEADDF6" w14:textId="77777777" w:rsidR="00CE2BB6" w:rsidRPr="003B40D4" w:rsidRDefault="005758F4" w:rsidP="003B40D4">
      <w:pPr>
        <w:pStyle w:val="List-arabicnumbers"/>
        <w:rPr>
          <w:szCs w:val="22"/>
        </w:rPr>
      </w:pPr>
      <w:r w:rsidRPr="003B40D4">
        <w:rPr>
          <w:szCs w:val="22"/>
        </w:rPr>
        <w:t xml:space="preserve">All </w:t>
      </w:r>
      <w:r w:rsidR="006B318A" w:rsidRPr="003B40D4">
        <w:rPr>
          <w:szCs w:val="22"/>
        </w:rPr>
        <w:t>monitoring and reporting records, including strip charts and records of calibration and</w:t>
      </w:r>
      <w:r w:rsidR="00CE2BB6" w:rsidRPr="003B40D4">
        <w:rPr>
          <w:szCs w:val="22"/>
        </w:rPr>
        <w:t xml:space="preserve"> </w:t>
      </w:r>
      <w:r w:rsidR="006B318A" w:rsidRPr="003B40D4">
        <w:rPr>
          <w:szCs w:val="22"/>
        </w:rPr>
        <w:t>maintenance,</w:t>
      </w:r>
      <w:r w:rsidR="00DE7A3A" w:rsidRPr="003B40D4">
        <w:rPr>
          <w:szCs w:val="22"/>
        </w:rPr>
        <w:t xml:space="preserve"> </w:t>
      </w:r>
      <w:r w:rsidR="00FC0A6E" w:rsidRPr="003B40D4">
        <w:rPr>
          <w:szCs w:val="22"/>
        </w:rPr>
        <w:t xml:space="preserve">the </w:t>
      </w:r>
      <w:r w:rsidR="00DE7A3A" w:rsidRPr="003B40D4">
        <w:rPr>
          <w:szCs w:val="22"/>
        </w:rPr>
        <w:t xml:space="preserve">waste analysis plan, </w:t>
      </w:r>
      <w:r w:rsidR="006B318A" w:rsidRPr="003B40D4">
        <w:rPr>
          <w:szCs w:val="22"/>
        </w:rPr>
        <w:t xml:space="preserve">records of all data used to complete the NOI for authorization under this general </w:t>
      </w:r>
      <w:r w:rsidR="006B318A" w:rsidRPr="003B40D4">
        <w:rPr>
          <w:szCs w:val="22"/>
        </w:rPr>
        <w:lastRenderedPageBreak/>
        <w:t xml:space="preserve">permit, </w:t>
      </w:r>
      <w:r w:rsidRPr="003B40D4">
        <w:rPr>
          <w:szCs w:val="22"/>
        </w:rPr>
        <w:t xml:space="preserve">reports, </w:t>
      </w:r>
      <w:r w:rsidR="00574715" w:rsidRPr="003B40D4">
        <w:rPr>
          <w:szCs w:val="22"/>
        </w:rPr>
        <w:t xml:space="preserve">maps, </w:t>
      </w:r>
      <w:r w:rsidRPr="003B40D4">
        <w:rPr>
          <w:szCs w:val="22"/>
        </w:rPr>
        <w:t xml:space="preserve">drawings, and other documentation required by this general permit must be maintained for a minimum period </w:t>
      </w:r>
      <w:r w:rsidR="00CA36B9" w:rsidRPr="003B40D4">
        <w:rPr>
          <w:szCs w:val="22"/>
        </w:rPr>
        <w:t xml:space="preserve">of </w:t>
      </w:r>
      <w:r w:rsidR="001760A7" w:rsidRPr="003B40D4">
        <w:rPr>
          <w:szCs w:val="22"/>
        </w:rPr>
        <w:t>ten</w:t>
      </w:r>
      <w:r w:rsidRPr="003B40D4">
        <w:rPr>
          <w:szCs w:val="22"/>
        </w:rPr>
        <w:t xml:space="preserve"> years from the date of the record and either be kept </w:t>
      </w:r>
      <w:r w:rsidR="008B522A" w:rsidRPr="003B40D4">
        <w:rPr>
          <w:szCs w:val="22"/>
        </w:rPr>
        <w:t>on site</w:t>
      </w:r>
      <w:r w:rsidRPr="003B40D4">
        <w:rPr>
          <w:szCs w:val="22"/>
        </w:rPr>
        <w:t xml:space="preserve"> or made readily available for review by an authorized representative of the </w:t>
      </w:r>
      <w:r w:rsidR="002D7FAF" w:rsidRPr="003B40D4">
        <w:rPr>
          <w:szCs w:val="22"/>
        </w:rPr>
        <w:t>commission</w:t>
      </w:r>
      <w:r w:rsidRPr="003B40D4">
        <w:rPr>
          <w:szCs w:val="22"/>
        </w:rPr>
        <w:t xml:space="preserve"> upon request.  This period may be extended at the request of the </w:t>
      </w:r>
      <w:r w:rsidR="004561D5" w:rsidRPr="003B40D4">
        <w:rPr>
          <w:szCs w:val="22"/>
        </w:rPr>
        <w:t>executive director</w:t>
      </w:r>
      <w:r w:rsidRPr="003B40D4">
        <w:rPr>
          <w:szCs w:val="22"/>
        </w:rPr>
        <w:t>.</w:t>
      </w:r>
    </w:p>
    <w:p w14:paraId="3051FA4A" w14:textId="77777777" w:rsidR="00BD6D72" w:rsidRPr="003B40D4" w:rsidRDefault="00580ADF" w:rsidP="003B40D4">
      <w:pPr>
        <w:pStyle w:val="List-arabicnumbers"/>
        <w:rPr>
          <w:szCs w:val="22"/>
        </w:rPr>
      </w:pPr>
      <w:r w:rsidRPr="003B40D4">
        <w:rPr>
          <w:szCs w:val="22"/>
        </w:rPr>
        <w:t>The owner or operator</w:t>
      </w:r>
      <w:r w:rsidR="005758F4" w:rsidRPr="003B40D4">
        <w:rPr>
          <w:szCs w:val="22"/>
        </w:rPr>
        <w:t xml:space="preserve"> shall furnish any information, at the request of the </w:t>
      </w:r>
      <w:r w:rsidR="004561D5" w:rsidRPr="003B40D4">
        <w:rPr>
          <w:szCs w:val="22"/>
        </w:rPr>
        <w:t>executive director</w:t>
      </w:r>
      <w:r w:rsidR="00CA36B9" w:rsidRPr="003B40D4">
        <w:rPr>
          <w:szCs w:val="22"/>
        </w:rPr>
        <w:t>, which</w:t>
      </w:r>
      <w:r w:rsidR="005758F4" w:rsidRPr="003B40D4">
        <w:rPr>
          <w:szCs w:val="22"/>
        </w:rPr>
        <w:t xml:space="preserve"> is necessary to determine whether cause exists for revoking, suspending, or terminating authorization under this permit.  The requested information must be provided within a reasonable time frame and in no case later than 30 days from the date of the request.</w:t>
      </w:r>
      <w:r w:rsidR="00583B4E" w:rsidRPr="003B40D4">
        <w:rPr>
          <w:szCs w:val="22"/>
        </w:rPr>
        <w:t xml:space="preserve">  </w:t>
      </w:r>
      <w:r w:rsidR="003C499B" w:rsidRPr="003B40D4">
        <w:rPr>
          <w:szCs w:val="22"/>
        </w:rPr>
        <w:t xml:space="preserve">Any </w:t>
      </w:r>
      <w:r w:rsidR="006369CB" w:rsidRPr="003B40D4">
        <w:rPr>
          <w:szCs w:val="22"/>
        </w:rPr>
        <w:t>noncompliance or</w:t>
      </w:r>
      <w:r w:rsidR="003C499B" w:rsidRPr="003B40D4">
        <w:rPr>
          <w:szCs w:val="22"/>
        </w:rPr>
        <w:t xml:space="preserve"> any required information not submitted or submitted incorrectly shall be reported to the executive director as promptly as possible</w:t>
      </w:r>
      <w:r w:rsidR="002C764C" w:rsidRPr="003B40D4">
        <w:rPr>
          <w:szCs w:val="22"/>
        </w:rPr>
        <w:t>.</w:t>
      </w:r>
    </w:p>
    <w:p w14:paraId="53FBAD24" w14:textId="77777777" w:rsidR="000054A8" w:rsidRPr="003B40D4" w:rsidRDefault="005758F4" w:rsidP="003B40D4">
      <w:pPr>
        <w:pStyle w:val="List-arabicnumbers"/>
        <w:rPr>
          <w:szCs w:val="22"/>
        </w:rPr>
      </w:pPr>
      <w:r w:rsidRPr="003B40D4">
        <w:rPr>
          <w:szCs w:val="22"/>
        </w:rPr>
        <w:t xml:space="preserve">Inspection and entry shall be allowed under TWC, Chapters 26 </w:t>
      </w:r>
      <w:r w:rsidR="003B2B0F" w:rsidRPr="003B40D4">
        <w:rPr>
          <w:szCs w:val="22"/>
        </w:rPr>
        <w:t>and 27</w:t>
      </w:r>
      <w:r w:rsidRPr="003B40D4">
        <w:rPr>
          <w:szCs w:val="22"/>
        </w:rPr>
        <w:t xml:space="preserve"> and </w:t>
      </w:r>
      <w:r w:rsidR="005B14EA" w:rsidRPr="003B40D4">
        <w:rPr>
          <w:szCs w:val="22"/>
        </w:rPr>
        <w:t>THSC</w:t>
      </w:r>
      <w:r w:rsidR="000A41A8" w:rsidRPr="003B40D4">
        <w:rPr>
          <w:szCs w:val="22"/>
        </w:rPr>
        <w:t xml:space="preserve"> </w:t>
      </w:r>
      <w:r w:rsidR="0030538F" w:rsidRPr="003B40D4">
        <w:rPr>
          <w:szCs w:val="22"/>
        </w:rPr>
        <w:t>§361.032</w:t>
      </w:r>
      <w:r w:rsidR="003B2B0F" w:rsidRPr="003B40D4">
        <w:rPr>
          <w:szCs w:val="22"/>
        </w:rPr>
        <w:t xml:space="preserve">.  </w:t>
      </w:r>
      <w:r w:rsidRPr="003B40D4">
        <w:rPr>
          <w:szCs w:val="22"/>
        </w:rPr>
        <w:t xml:space="preserve">The statement in TWC §26.014 that </w:t>
      </w:r>
      <w:r w:rsidR="002D7FAF" w:rsidRPr="003B40D4">
        <w:rPr>
          <w:szCs w:val="22"/>
        </w:rPr>
        <w:t>commission</w:t>
      </w:r>
      <w:r w:rsidRPr="003B40D4">
        <w:rPr>
          <w:szCs w:val="22"/>
        </w:rPr>
        <w:t xml:space="preserve"> entry of a regulated entity shall occur in accordance with an establishment's rules and regulations concerning safety, internal security, and fire protection is not grounds for denial or restriction of entry to any part of the regulated entity, but merely describes the </w:t>
      </w:r>
      <w:r w:rsidR="002D7FAF" w:rsidRPr="003B40D4">
        <w:rPr>
          <w:szCs w:val="22"/>
        </w:rPr>
        <w:t>commission</w:t>
      </w:r>
      <w:r w:rsidRPr="003B40D4">
        <w:rPr>
          <w:szCs w:val="22"/>
        </w:rPr>
        <w:t>'s duty to observe appropriate rules and re</w:t>
      </w:r>
      <w:r w:rsidR="005D407B" w:rsidRPr="003B40D4">
        <w:rPr>
          <w:szCs w:val="22"/>
        </w:rPr>
        <w:t>gulations during an inspection.</w:t>
      </w:r>
    </w:p>
    <w:p w14:paraId="792E2A1F" w14:textId="77777777" w:rsidR="000054A8" w:rsidRPr="003B40D4" w:rsidRDefault="000054A8" w:rsidP="003B40D4">
      <w:pPr>
        <w:pStyle w:val="List-arabicnumbers"/>
        <w:rPr>
          <w:szCs w:val="22"/>
        </w:rPr>
      </w:pPr>
      <w:r w:rsidRPr="003B40D4">
        <w:t>At various times the permittee is required to collect and analyze samples and submit reports of the results of their analysis to TCEQ.  To ensure the quality of the samples obtained by the permittee, the permittee is required</w:t>
      </w:r>
      <w:r w:rsidR="006F3D3E" w:rsidRPr="003B40D4">
        <w:t xml:space="preserve"> to have in place a quality assurance/quality control program consistent with the TCEQ's EPA-approved "</w:t>
      </w:r>
      <w:r w:rsidRPr="003B40D4">
        <w:t xml:space="preserve">Quality Assurance Project Plan for Environmental Monitoring and Measurement Activities Relating to the Resource Conservation </w:t>
      </w:r>
      <w:r w:rsidR="003B40D4">
        <w:t xml:space="preserve">and Recovery </w:t>
      </w:r>
      <w:r w:rsidRPr="003B40D4">
        <w:t xml:space="preserve">Act and Underground Injection Control" (TCEQ </w:t>
      </w:r>
      <w:r w:rsidR="006F3D3E" w:rsidRPr="003B40D4">
        <w:t>QA</w:t>
      </w:r>
      <w:r w:rsidRPr="003B40D4">
        <w:t>PP).  Additionally, pursuant to state law, the permittee is subject to administrative, civil, and criminal penalties, for knowingly making any false statement, representation, or certification on any report, record, or document submitted or required to be maintained by the permit.</w:t>
      </w:r>
    </w:p>
    <w:p w14:paraId="7B12E49D" w14:textId="77777777" w:rsidR="000054A8" w:rsidRPr="003B40D4" w:rsidRDefault="005758F4" w:rsidP="00BA1936">
      <w:pPr>
        <w:pStyle w:val="List-LowerCaseAlpha"/>
        <w:numPr>
          <w:ilvl w:val="0"/>
          <w:numId w:val="32"/>
        </w:numPr>
        <w:rPr>
          <w:szCs w:val="22"/>
        </w:rPr>
      </w:pPr>
      <w:r w:rsidRPr="003B40D4">
        <w:rPr>
          <w:szCs w:val="22"/>
        </w:rPr>
        <w:t xml:space="preserve">Samples required by this </w:t>
      </w:r>
      <w:r w:rsidR="00C45E1F" w:rsidRPr="003B40D4">
        <w:rPr>
          <w:szCs w:val="22"/>
        </w:rPr>
        <w:t xml:space="preserve">general </w:t>
      </w:r>
      <w:r w:rsidRPr="003B40D4">
        <w:rPr>
          <w:szCs w:val="22"/>
        </w:rPr>
        <w:t xml:space="preserve">permit shall be collected and measurements shall be taken at times and in a manner </w:t>
      </w:r>
      <w:proofErr w:type="gramStart"/>
      <w:r w:rsidRPr="003B40D4">
        <w:rPr>
          <w:szCs w:val="22"/>
        </w:rPr>
        <w:t>so as to</w:t>
      </w:r>
      <w:proofErr w:type="gramEnd"/>
      <w:r w:rsidRPr="003B40D4">
        <w:rPr>
          <w:szCs w:val="22"/>
        </w:rPr>
        <w:t xml:space="preserve"> be </w:t>
      </w:r>
      <w:r w:rsidR="009C7C52" w:rsidRPr="003B40D4">
        <w:rPr>
          <w:szCs w:val="22"/>
        </w:rPr>
        <w:t xml:space="preserve">accurate and </w:t>
      </w:r>
      <w:r w:rsidR="00CA36B9" w:rsidRPr="003B40D4">
        <w:rPr>
          <w:szCs w:val="22"/>
        </w:rPr>
        <w:t>representative of the monitored</w:t>
      </w:r>
      <w:r w:rsidRPr="003B40D4">
        <w:rPr>
          <w:szCs w:val="22"/>
        </w:rPr>
        <w:t xml:space="preserve"> activity.  Samples shall be delivered to the laboratory </w:t>
      </w:r>
      <w:r w:rsidR="00807707" w:rsidRPr="003B40D4">
        <w:rPr>
          <w:szCs w:val="22"/>
        </w:rPr>
        <w:t>immediately upon</w:t>
      </w:r>
      <w:r w:rsidRPr="003B40D4">
        <w:rPr>
          <w:szCs w:val="22"/>
        </w:rPr>
        <w:t xml:space="preserve"> collection, in accordance with any applicable analytical method and required maximum holding time</w:t>
      </w:r>
      <w:r w:rsidR="008873CF" w:rsidRPr="003B40D4">
        <w:rPr>
          <w:szCs w:val="22"/>
        </w:rPr>
        <w:t xml:space="preserve">.  </w:t>
      </w:r>
      <w:r w:rsidR="00C45E1F" w:rsidRPr="003B40D4">
        <w:rPr>
          <w:szCs w:val="22"/>
        </w:rPr>
        <w:t xml:space="preserve">All waste analyses utilized for waste identification or verification and other analyses for environmental monitoring must be performed in accordance with methods specified </w:t>
      </w:r>
      <w:r w:rsidR="00C45E1F" w:rsidRPr="003B40D4">
        <w:rPr>
          <w:szCs w:val="22"/>
        </w:rPr>
        <w:lastRenderedPageBreak/>
        <w:t xml:space="preserve">in the current editions of EPA SW-846, </w:t>
      </w:r>
      <w:r w:rsidR="00765DFD" w:rsidRPr="003B40D4">
        <w:rPr>
          <w:szCs w:val="22"/>
        </w:rPr>
        <w:t xml:space="preserve">American Society for Testing and Materials (ASTM) </w:t>
      </w:r>
      <w:r w:rsidR="00C45E1F" w:rsidRPr="003B40D4">
        <w:rPr>
          <w:szCs w:val="22"/>
        </w:rPr>
        <w:t>or other methods accepted by the TCEQ.</w:t>
      </w:r>
    </w:p>
    <w:p w14:paraId="1ED956E5" w14:textId="77777777" w:rsidR="0054596B" w:rsidRPr="003B40D4" w:rsidRDefault="00580ADF" w:rsidP="003B40D4">
      <w:pPr>
        <w:pStyle w:val="List-LowerCaseAlpha"/>
        <w:rPr>
          <w:szCs w:val="22"/>
        </w:rPr>
      </w:pPr>
      <w:r w:rsidRPr="003B40D4">
        <w:rPr>
          <w:szCs w:val="22"/>
        </w:rPr>
        <w:t>The owner or operator</w:t>
      </w:r>
      <w:r w:rsidR="0054596B" w:rsidRPr="003B40D4">
        <w:rPr>
          <w:szCs w:val="22"/>
        </w:rPr>
        <w:t xml:space="preserve"> shall ensure that properly trained and authorized personnel monitor and sample the </w:t>
      </w:r>
      <w:r w:rsidR="00BE760A" w:rsidRPr="003B40D4">
        <w:rPr>
          <w:szCs w:val="22"/>
        </w:rPr>
        <w:t>wastewater</w:t>
      </w:r>
      <w:r w:rsidR="0054596B" w:rsidRPr="003B40D4">
        <w:rPr>
          <w:szCs w:val="22"/>
        </w:rPr>
        <w:t xml:space="preserve"> related to any permitted activity.</w:t>
      </w:r>
    </w:p>
    <w:p w14:paraId="12E74C69" w14:textId="77777777" w:rsidR="00B85CE1" w:rsidRPr="0097213E" w:rsidRDefault="005758F4" w:rsidP="003B40D4">
      <w:pPr>
        <w:pStyle w:val="List-LowerCaseAlpha"/>
      </w:pPr>
      <w:r w:rsidRPr="0097213E">
        <w:t>Records of monitoring</w:t>
      </w:r>
      <w:r w:rsidR="00264BE9" w:rsidRPr="0097213E">
        <w:t xml:space="preserve"> and testing</w:t>
      </w:r>
      <w:r w:rsidRPr="0097213E">
        <w:t xml:space="preserve"> activities must include:</w:t>
      </w:r>
    </w:p>
    <w:p w14:paraId="4E6B1AFB" w14:textId="77777777" w:rsidR="00CE2BB6" w:rsidRPr="003B40D4" w:rsidRDefault="005758F4" w:rsidP="00BA1936">
      <w:pPr>
        <w:pStyle w:val="List-LowerCasei"/>
        <w:numPr>
          <w:ilvl w:val="0"/>
          <w:numId w:val="33"/>
        </w:numPr>
      </w:pPr>
      <w:r w:rsidRPr="003B40D4">
        <w:t>the date, time, and place of sample or measurement;</w:t>
      </w:r>
    </w:p>
    <w:p w14:paraId="7DF6E9EB" w14:textId="77777777" w:rsidR="00134EF1" w:rsidRPr="003B40D4" w:rsidRDefault="005758F4" w:rsidP="003B40D4">
      <w:pPr>
        <w:pStyle w:val="List-LowerCasei"/>
      </w:pPr>
      <w:r w:rsidRPr="003B40D4">
        <w:t>the identity of any individual who collected the sample or made the measurement;</w:t>
      </w:r>
    </w:p>
    <w:p w14:paraId="0478DB4E" w14:textId="77777777" w:rsidR="00134EF1" w:rsidRPr="003B40D4" w:rsidRDefault="005758F4" w:rsidP="003B40D4">
      <w:pPr>
        <w:pStyle w:val="List-LowerCasei"/>
      </w:pPr>
      <w:r w:rsidRPr="003B40D4">
        <w:t>the chain-of-custo</w:t>
      </w:r>
      <w:r w:rsidR="00BC11EF" w:rsidRPr="003B40D4">
        <w:t>dy procedures used to maintain</w:t>
      </w:r>
      <w:r w:rsidRPr="003B40D4">
        <w:t xml:space="preserve"> sample integrity from sample collection to laboratory delivery;</w:t>
      </w:r>
    </w:p>
    <w:p w14:paraId="2B81E76D" w14:textId="77777777" w:rsidR="00134EF1" w:rsidRPr="003B40D4" w:rsidRDefault="005758F4" w:rsidP="003B40D4">
      <w:pPr>
        <w:pStyle w:val="List-LowerCasei"/>
      </w:pPr>
      <w:r w:rsidRPr="003B40D4">
        <w:t>the date and time of laboratory analysis;</w:t>
      </w:r>
    </w:p>
    <w:p w14:paraId="3197FAE5" w14:textId="77777777" w:rsidR="00134EF1" w:rsidRPr="003B40D4" w:rsidRDefault="005758F4" w:rsidP="003B40D4">
      <w:pPr>
        <w:pStyle w:val="List-LowerCasei"/>
      </w:pPr>
      <w:r w:rsidRPr="003B40D4">
        <w:t>the identity of the individual and laboratory who performed the analysis;</w:t>
      </w:r>
    </w:p>
    <w:p w14:paraId="2E80E2CF" w14:textId="77777777" w:rsidR="00134EF1" w:rsidRPr="003B40D4" w:rsidRDefault="005758F4" w:rsidP="003B40D4">
      <w:pPr>
        <w:pStyle w:val="List-LowerCasei"/>
      </w:pPr>
      <w:r w:rsidRPr="003B40D4">
        <w:t>the technique or method of analysis; and</w:t>
      </w:r>
    </w:p>
    <w:p w14:paraId="2189DAD8" w14:textId="77777777" w:rsidR="004F64AC" w:rsidRPr="003B40D4" w:rsidRDefault="005758F4" w:rsidP="003B40D4">
      <w:pPr>
        <w:pStyle w:val="List-LowerCasei"/>
      </w:pPr>
      <w:r w:rsidRPr="003B40D4">
        <w:t>the results of the analysis or measurement</w:t>
      </w:r>
      <w:r w:rsidR="00696C67" w:rsidRPr="003B40D4">
        <w:t>,</w:t>
      </w:r>
      <w:r w:rsidRPr="003B40D4">
        <w:t xml:space="preserve"> and for </w:t>
      </w:r>
      <w:r w:rsidR="00BE760A" w:rsidRPr="003B40D4">
        <w:t>wastewater</w:t>
      </w:r>
      <w:r w:rsidR="00696C67" w:rsidRPr="003B40D4">
        <w:t>,</w:t>
      </w:r>
      <w:r w:rsidRPr="003B40D4">
        <w:t xml:space="preserve"> the quality assurance/quality control records.</w:t>
      </w:r>
    </w:p>
    <w:p w14:paraId="409D5A6C" w14:textId="77777777" w:rsidR="00F93A18" w:rsidRPr="0097213E" w:rsidRDefault="00F93A18" w:rsidP="003B40D4">
      <w:pPr>
        <w:pStyle w:val="List-arabicnumbers"/>
      </w:pPr>
      <w:r w:rsidRPr="0097213E">
        <w:t>All analytical data produced in compliance with the monitoring and testing requirements under this general permit must be generated by a lab that the Texas Laboratory Accreditation Program (TLAP) has accredited under the National Environmental Laboratory Accreditation Conference (NELAC) standard for matrices, methods, and parameters of analysis, unless:</w:t>
      </w:r>
    </w:p>
    <w:p w14:paraId="6FA2C5C9" w14:textId="77777777" w:rsidR="00F93A18" w:rsidRPr="0097213E" w:rsidRDefault="00F93A18" w:rsidP="00BA1936">
      <w:pPr>
        <w:pStyle w:val="List-LowerCaseAlpha"/>
        <w:numPr>
          <w:ilvl w:val="0"/>
          <w:numId w:val="34"/>
        </w:numPr>
      </w:pPr>
      <w:r w:rsidRPr="0097213E">
        <w:t>the lab is an in-house lab and either the lab performs work for its owner, for another company with a unit located on the same site, or without compensation for a governmental agency or charitable organization, or the lab is in another state and is accredited or inspected by that state;</w:t>
      </w:r>
    </w:p>
    <w:p w14:paraId="528AA714" w14:textId="77777777" w:rsidR="00F93A18" w:rsidRPr="0097213E" w:rsidRDefault="00F93A18" w:rsidP="003B40D4">
      <w:pPr>
        <w:pStyle w:val="List-LowerCaseAlpha"/>
      </w:pPr>
      <w:r w:rsidRPr="0097213E">
        <w:t>the lab is accredited under federal law;</w:t>
      </w:r>
    </w:p>
    <w:p w14:paraId="2C389C3C" w14:textId="77777777" w:rsidR="00F93A18" w:rsidRPr="0097213E" w:rsidRDefault="00F93A18" w:rsidP="003B40D4">
      <w:pPr>
        <w:pStyle w:val="List-LowerCaseAlpha"/>
      </w:pPr>
      <w:r w:rsidRPr="0097213E">
        <w:t>the data are needed for emergency-response activities and no TLAP-accredited lab is available; or</w:t>
      </w:r>
    </w:p>
    <w:p w14:paraId="12CE67D7" w14:textId="77777777" w:rsidR="00F93A18" w:rsidRPr="0097213E" w:rsidRDefault="00F93A18" w:rsidP="003B40D4">
      <w:pPr>
        <w:pStyle w:val="List-LowerCaseAlpha"/>
      </w:pPr>
      <w:r w:rsidRPr="0097213E">
        <w:t xml:space="preserve">the lab </w:t>
      </w:r>
      <w:r w:rsidR="003E730A" w:rsidRPr="0097213E">
        <w:t>provides</w:t>
      </w:r>
      <w:r w:rsidR="006259B9" w:rsidRPr="0097213E">
        <w:t xml:space="preserve"> analytical</w:t>
      </w:r>
      <w:r w:rsidRPr="0097213E">
        <w:t xml:space="preserve"> data for which the TCEQ does not offer accreditation.</w:t>
      </w:r>
    </w:p>
    <w:p w14:paraId="137265DF" w14:textId="77777777" w:rsidR="00AC6ABB" w:rsidRPr="0097213E" w:rsidRDefault="005758F4" w:rsidP="003B40D4">
      <w:pPr>
        <w:pStyle w:val="List-arabicnumbers"/>
      </w:pPr>
      <w:r w:rsidRPr="0097213E">
        <w:t xml:space="preserve">Authorization under this permit may be suspended or revoked for the reasons stated in </w:t>
      </w:r>
      <w:r w:rsidR="00020FC1" w:rsidRPr="0097213E">
        <w:t>30 TAC §</w:t>
      </w:r>
      <w:r w:rsidR="00CA36B9" w:rsidRPr="0097213E">
        <w:t>331.20</w:t>
      </w:r>
      <w:r w:rsidR="006369CB" w:rsidRPr="0097213E">
        <w:t>3</w:t>
      </w:r>
      <w:r w:rsidRPr="0097213E">
        <w:t xml:space="preserve"> (relating to Authorizations and Notices of Intent).  Notifying the TCEQ of planned changes or an anticipated noncompliance does not stay any permit condition.</w:t>
      </w:r>
    </w:p>
    <w:p w14:paraId="26BAC96C" w14:textId="77777777" w:rsidR="00AC6ABB" w:rsidRPr="0097213E" w:rsidRDefault="005758F4" w:rsidP="003B40D4">
      <w:pPr>
        <w:pStyle w:val="List-arabicnumbers"/>
      </w:pPr>
      <w:r w:rsidRPr="0097213E">
        <w:lastRenderedPageBreak/>
        <w:t>This permit does not convey any property rights of any sort or any exclusive privilege.</w:t>
      </w:r>
    </w:p>
    <w:p w14:paraId="66CDEA8E" w14:textId="77777777" w:rsidR="00AC6ABB" w:rsidRPr="0097213E" w:rsidRDefault="00580ADF" w:rsidP="003B40D4">
      <w:pPr>
        <w:pStyle w:val="List-arabicnumbers"/>
      </w:pPr>
      <w:r w:rsidRPr="0097213E">
        <w:t>The owner or operator</w:t>
      </w:r>
      <w:r w:rsidR="005758F4" w:rsidRPr="0097213E">
        <w:t xml:space="preserve"> is subject to administrative, civil, and criminal penalties, as applicable, under Chapter 7 of the </w:t>
      </w:r>
      <w:r w:rsidR="005B14EA" w:rsidRPr="0097213E">
        <w:t>TWC</w:t>
      </w:r>
      <w:r w:rsidR="005758F4" w:rsidRPr="0097213E">
        <w:t xml:space="preserve"> for violations including but not limited to the following:</w:t>
      </w:r>
    </w:p>
    <w:p w14:paraId="04AC3DE1" w14:textId="77777777" w:rsidR="00AC6ABB" w:rsidRPr="0097213E" w:rsidRDefault="005758F4" w:rsidP="00BA1936">
      <w:pPr>
        <w:pStyle w:val="List-LowerCaseAlpha"/>
        <w:numPr>
          <w:ilvl w:val="0"/>
          <w:numId w:val="35"/>
        </w:numPr>
      </w:pPr>
      <w:r w:rsidRPr="0097213E">
        <w:t>violating the TWC Chapter</w:t>
      </w:r>
      <w:r w:rsidR="00F7601D" w:rsidRPr="0097213E">
        <w:t>s</w:t>
      </w:r>
      <w:r w:rsidRPr="0097213E">
        <w:t xml:space="preserve"> 26</w:t>
      </w:r>
      <w:r w:rsidR="00F7601D" w:rsidRPr="0097213E">
        <w:t xml:space="preserve"> and 27</w:t>
      </w:r>
      <w:r w:rsidRPr="0097213E">
        <w:t xml:space="preserve"> or applicable rules of the </w:t>
      </w:r>
      <w:r w:rsidR="002D7FAF" w:rsidRPr="0097213E">
        <w:t>commission</w:t>
      </w:r>
      <w:r w:rsidRPr="0097213E">
        <w:t xml:space="preserve"> or terms of this General Permit;</w:t>
      </w:r>
    </w:p>
    <w:p w14:paraId="5ECE909E" w14:textId="77777777" w:rsidR="00AC6ABB" w:rsidRPr="0097213E" w:rsidRDefault="005758F4" w:rsidP="003B40D4">
      <w:pPr>
        <w:pStyle w:val="List-LowerCaseAlpha"/>
      </w:pPr>
      <w:r w:rsidRPr="0097213E">
        <w:t xml:space="preserve">falsifying, tampering with, or knowingly rendering inaccurate any monitoring device or method required to be maintained under a permit; </w:t>
      </w:r>
      <w:r w:rsidR="009D4E47" w:rsidRPr="0097213E">
        <w:t>or</w:t>
      </w:r>
    </w:p>
    <w:p w14:paraId="358ED9DC" w14:textId="77777777" w:rsidR="00BA4800" w:rsidRPr="0097213E" w:rsidRDefault="005758F4" w:rsidP="003B40D4">
      <w:pPr>
        <w:pStyle w:val="List-LowerCaseAlpha"/>
      </w:pPr>
      <w:r w:rsidRPr="0097213E">
        <w:t>knowingly making any false statement, representation, or certification in any record or other document submitted or required to be maintained under a permit, including monitoring reports or reports of compliance or noncompliance.</w:t>
      </w:r>
    </w:p>
    <w:p w14:paraId="4448AC4E" w14:textId="77777777" w:rsidR="00BA4800" w:rsidRPr="00750EB4" w:rsidRDefault="00816C49" w:rsidP="00750EB4">
      <w:pPr>
        <w:pStyle w:val="H2TCEQ"/>
        <w:rPr>
          <w:bCs/>
        </w:rPr>
      </w:pPr>
      <w:r w:rsidRPr="00750EB4">
        <w:rPr>
          <w:bCs/>
        </w:rPr>
        <w:t>Part V.  Fees</w:t>
      </w:r>
    </w:p>
    <w:p w14:paraId="33070EF1" w14:textId="77777777" w:rsidR="007A23E0" w:rsidRPr="00750EB4" w:rsidRDefault="007A23E0" w:rsidP="00B64B10">
      <w:pPr>
        <w:pStyle w:val="H3TCEQ"/>
      </w:pPr>
      <w:r w:rsidRPr="00750EB4">
        <w:t>Secti</w:t>
      </w:r>
      <w:r w:rsidR="000E52A7" w:rsidRPr="00750EB4">
        <w:t xml:space="preserve">on A.  </w:t>
      </w:r>
      <w:r w:rsidRPr="00B64B10">
        <w:t>Application</w:t>
      </w:r>
      <w:r w:rsidRPr="00750EB4">
        <w:t xml:space="preserve"> Fees</w:t>
      </w:r>
    </w:p>
    <w:p w14:paraId="30D50EE4" w14:textId="77777777" w:rsidR="0042377E" w:rsidRPr="0097213E" w:rsidRDefault="00816C49" w:rsidP="00BA1936">
      <w:pPr>
        <w:pStyle w:val="List-arabicnumbers"/>
        <w:numPr>
          <w:ilvl w:val="0"/>
          <w:numId w:val="36"/>
        </w:numPr>
        <w:ind w:left="720"/>
      </w:pPr>
      <w:r w:rsidRPr="0097213E">
        <w:t>A person shall include with the NOI requesting coverage under the terms of a general permit a fee</w:t>
      </w:r>
      <w:r w:rsidR="002A5E34" w:rsidRPr="0097213E">
        <w:t xml:space="preserve"> of $100 for each disposal well.</w:t>
      </w:r>
    </w:p>
    <w:p w14:paraId="78A90469" w14:textId="77777777" w:rsidR="0042377E" w:rsidRPr="0097213E" w:rsidRDefault="00580ADF" w:rsidP="00C279E0">
      <w:pPr>
        <w:pStyle w:val="List-arabicnumbers"/>
      </w:pPr>
      <w:r w:rsidRPr="0097213E">
        <w:t>An owner or operator</w:t>
      </w:r>
      <w:r w:rsidR="0042377E" w:rsidRPr="0097213E">
        <w:t xml:space="preserve"> authorized under this general permit shall include with each NOC a fee of $100 for each disposal well.</w:t>
      </w:r>
    </w:p>
    <w:p w14:paraId="071B2A35" w14:textId="77777777" w:rsidR="0042377E" w:rsidRPr="0097213E" w:rsidRDefault="0042377E" w:rsidP="00C279E0">
      <w:pPr>
        <w:pStyle w:val="List-arabicnumbers"/>
      </w:pPr>
      <w:r w:rsidRPr="0097213E">
        <w:t>A fee is not required for submission of an NOT.</w:t>
      </w:r>
    </w:p>
    <w:p w14:paraId="382EE2AF" w14:textId="77777777" w:rsidR="007A23E0" w:rsidRPr="00750EB4" w:rsidRDefault="000E52A7" w:rsidP="00B64B10">
      <w:pPr>
        <w:pStyle w:val="H3TCEQ"/>
      </w:pPr>
      <w:r w:rsidRPr="00750EB4">
        <w:t xml:space="preserve">Section B.  </w:t>
      </w:r>
      <w:r w:rsidR="007A23E0" w:rsidRPr="00B64B10">
        <w:t>Annual</w:t>
      </w:r>
      <w:r w:rsidR="007A23E0" w:rsidRPr="00750EB4">
        <w:t xml:space="preserve"> Fees</w:t>
      </w:r>
    </w:p>
    <w:p w14:paraId="05DDB5D2" w14:textId="77777777" w:rsidR="00EA4768" w:rsidRDefault="002A5E34" w:rsidP="008C66C5">
      <w:pPr>
        <w:pStyle w:val="ListParagraph"/>
        <w:sectPr w:rsidR="00EA4768" w:rsidSect="004267B7">
          <w:headerReference w:type="even" r:id="rId14"/>
          <w:headerReference w:type="default" r:id="rId15"/>
          <w:footerReference w:type="default" r:id="rId16"/>
          <w:headerReference w:type="first" r:id="rId17"/>
          <w:pgSz w:w="12240" w:h="15840" w:code="1"/>
          <w:pgMar w:top="1440" w:right="1800" w:bottom="1440" w:left="1800" w:header="720" w:footer="720" w:gutter="0"/>
          <w:cols w:space="720"/>
          <w:docGrid w:linePitch="360"/>
        </w:sectPr>
      </w:pPr>
      <w:r w:rsidRPr="0097213E">
        <w:t xml:space="preserve">A person authorized by a general permit shall pay annual facility and waste management fees according to </w:t>
      </w:r>
      <w:r w:rsidR="008E4263" w:rsidRPr="0097213E">
        <w:t xml:space="preserve">30 TAC </w:t>
      </w:r>
      <w:r w:rsidRPr="0097213E">
        <w:t>Chapter 335, Subchapter J</w:t>
      </w:r>
      <w:r w:rsidR="008E4263" w:rsidRPr="0097213E">
        <w:t xml:space="preserve"> </w:t>
      </w:r>
      <w:r w:rsidRPr="0097213E">
        <w:t xml:space="preserve">(relating to </w:t>
      </w:r>
      <w:r w:rsidR="008D78EE">
        <w:t>Hazardous Waste Generation, Facility and Disposal Fee System</w:t>
      </w:r>
      <w:r w:rsidRPr="0097213E">
        <w:t>)</w:t>
      </w:r>
      <w:r w:rsidR="008873CF" w:rsidRPr="0097213E">
        <w:t>.</w:t>
      </w:r>
      <w:bookmarkEnd w:id="0"/>
    </w:p>
    <w:p w14:paraId="2F46C68D"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lastRenderedPageBreak/>
        <w:t>This Fact Sheet is for the proposed amendment and renewal of the Class I Underground Injection Control (UIC) General Permit No. WDWG010000 authorizing the use of a Class I injection well to dispose of nonhazardous brine from a desalination operation or nonhazardous drinking water treatment residuals.</w:t>
      </w:r>
    </w:p>
    <w:p w14:paraId="493BDF9F"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Issuing Office:</w:t>
      </w:r>
      <w:r w:rsidRPr="001311C1">
        <w:rPr>
          <w:rFonts w:ascii="Lucida Bright" w:hAnsi="Lucida Bright"/>
          <w:sz w:val="22"/>
          <w:szCs w:val="22"/>
        </w:rPr>
        <w:tab/>
        <w:t>Office of Waste</w:t>
      </w:r>
    </w:p>
    <w:p w14:paraId="18FEACC8"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ab/>
        <w:t>Texas Commission on Environmental Quality</w:t>
      </w:r>
    </w:p>
    <w:p w14:paraId="7D373C36"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ab/>
        <w:t>P.O. Box 13087</w:t>
      </w:r>
    </w:p>
    <w:p w14:paraId="4B0DCF5D" w14:textId="77777777" w:rsidR="00EA4768" w:rsidRPr="001311C1" w:rsidRDefault="00EA4768" w:rsidP="00EA4768">
      <w:pPr>
        <w:widowControl w:val="0"/>
        <w:tabs>
          <w:tab w:val="left" w:pos="2160"/>
        </w:tabs>
        <w:spacing w:after="240"/>
        <w:jc w:val="both"/>
        <w:rPr>
          <w:rFonts w:ascii="Lucida Bright" w:hAnsi="Lucida Bright"/>
          <w:sz w:val="22"/>
          <w:szCs w:val="22"/>
        </w:rPr>
      </w:pPr>
      <w:r w:rsidRPr="001311C1">
        <w:rPr>
          <w:rFonts w:ascii="Lucida Bright" w:hAnsi="Lucida Bright"/>
          <w:sz w:val="22"/>
          <w:szCs w:val="22"/>
        </w:rPr>
        <w:tab/>
        <w:t>Austin, TX 78711-3087</w:t>
      </w:r>
    </w:p>
    <w:p w14:paraId="6BD9046A"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Prepared by:</w:t>
      </w:r>
      <w:r w:rsidRPr="001311C1">
        <w:rPr>
          <w:rFonts w:ascii="Lucida Bright" w:hAnsi="Lucida Bright"/>
          <w:sz w:val="22"/>
          <w:szCs w:val="22"/>
        </w:rPr>
        <w:tab/>
        <w:t>Tamara Young</w:t>
      </w:r>
    </w:p>
    <w:p w14:paraId="7F8B4A58"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ab/>
        <w:t>UIC Permits Section</w:t>
      </w:r>
    </w:p>
    <w:p w14:paraId="1DB00B48" w14:textId="77777777" w:rsidR="00EA4768" w:rsidRPr="001311C1" w:rsidRDefault="00EA4768" w:rsidP="00EA4768">
      <w:pPr>
        <w:widowControl w:val="0"/>
        <w:tabs>
          <w:tab w:val="left" w:pos="2160"/>
        </w:tabs>
        <w:jc w:val="both"/>
        <w:rPr>
          <w:rFonts w:ascii="Lucida Bright" w:hAnsi="Lucida Bright"/>
          <w:sz w:val="22"/>
          <w:szCs w:val="22"/>
        </w:rPr>
      </w:pPr>
      <w:r w:rsidRPr="001311C1">
        <w:rPr>
          <w:rFonts w:ascii="Lucida Bright" w:hAnsi="Lucida Bright"/>
          <w:sz w:val="22"/>
          <w:szCs w:val="22"/>
        </w:rPr>
        <w:tab/>
        <w:t>Radioactive Materials Division</w:t>
      </w:r>
    </w:p>
    <w:p w14:paraId="05AD7FA2" w14:textId="77777777" w:rsidR="00EA4768" w:rsidRPr="001311C1" w:rsidRDefault="00EA4768" w:rsidP="00EA4768">
      <w:pPr>
        <w:widowControl w:val="0"/>
        <w:tabs>
          <w:tab w:val="left" w:pos="2160"/>
        </w:tabs>
        <w:spacing w:after="240"/>
        <w:jc w:val="both"/>
        <w:rPr>
          <w:rFonts w:ascii="Lucida Bright" w:hAnsi="Lucida Bright"/>
          <w:sz w:val="22"/>
          <w:szCs w:val="22"/>
        </w:rPr>
      </w:pPr>
      <w:r w:rsidRPr="001311C1">
        <w:rPr>
          <w:rFonts w:ascii="Lucida Bright" w:hAnsi="Lucida Bright"/>
          <w:sz w:val="22"/>
          <w:szCs w:val="22"/>
        </w:rPr>
        <w:tab/>
        <w:t>(512) 239-6582</w:t>
      </w:r>
    </w:p>
    <w:p w14:paraId="6C061F59" w14:textId="77777777" w:rsidR="00EA4768" w:rsidRPr="001311C1" w:rsidRDefault="00EA4768" w:rsidP="00EA4768">
      <w:pPr>
        <w:widowControl w:val="0"/>
        <w:tabs>
          <w:tab w:val="left" w:pos="2160"/>
        </w:tabs>
        <w:spacing w:after="240"/>
        <w:jc w:val="both"/>
        <w:rPr>
          <w:rFonts w:ascii="Lucida Bright" w:hAnsi="Lucida Bright"/>
          <w:sz w:val="22"/>
          <w:szCs w:val="22"/>
        </w:rPr>
      </w:pPr>
      <w:r w:rsidRPr="001311C1">
        <w:rPr>
          <w:rFonts w:ascii="Lucida Bright" w:hAnsi="Lucida Bright"/>
          <w:sz w:val="22"/>
          <w:szCs w:val="22"/>
        </w:rPr>
        <w:t>Date:</w:t>
      </w:r>
      <w:r w:rsidRPr="001311C1">
        <w:rPr>
          <w:rFonts w:ascii="Lucida Bright" w:hAnsi="Lucida Bright"/>
          <w:sz w:val="22"/>
          <w:szCs w:val="22"/>
        </w:rPr>
        <w:tab/>
        <w:t>April 7, 2022</w:t>
      </w:r>
    </w:p>
    <w:p w14:paraId="41ED8DB2" w14:textId="77777777" w:rsidR="00EA4768" w:rsidRPr="001311C1" w:rsidRDefault="00EA4768" w:rsidP="00EA4768">
      <w:pPr>
        <w:widowControl w:val="0"/>
        <w:tabs>
          <w:tab w:val="left" w:pos="2160"/>
        </w:tabs>
        <w:rPr>
          <w:rFonts w:ascii="Lucida Bright" w:hAnsi="Lucida Bright"/>
          <w:sz w:val="22"/>
          <w:szCs w:val="22"/>
        </w:rPr>
      </w:pPr>
      <w:r w:rsidRPr="001311C1">
        <w:rPr>
          <w:rFonts w:ascii="Lucida Bright" w:hAnsi="Lucida Bright"/>
          <w:sz w:val="22"/>
          <w:szCs w:val="22"/>
        </w:rPr>
        <w:t>Permit Action:</w:t>
      </w:r>
      <w:r w:rsidRPr="001311C1">
        <w:rPr>
          <w:rFonts w:ascii="Lucida Bright" w:hAnsi="Lucida Bright"/>
          <w:sz w:val="22"/>
          <w:szCs w:val="22"/>
        </w:rPr>
        <w:tab/>
        <w:t>Amendment and Reissuance of UIC Class I General Permit WDWG010000</w:t>
      </w:r>
    </w:p>
    <w:p w14:paraId="5161C2F3"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I.</w:t>
      </w:r>
      <w:r w:rsidRPr="001311C1">
        <w:rPr>
          <w:rFonts w:ascii="Lucida Bright" w:hAnsi="Lucida Bright"/>
          <w:b/>
          <w:bCs/>
          <w:sz w:val="22"/>
          <w:szCs w:val="22"/>
        </w:rPr>
        <w:tab/>
        <w:t>Summary</w:t>
      </w:r>
    </w:p>
    <w:p w14:paraId="2E80C396"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The Texas Commission on Environmental Quality (TCEQ) is proposing to amend and reissue the UIC Class I General Permit No. WDWG010000 authorizing the use of a Class I injection well to dispose of nonhazardous brine from a desalination operation or nonhazardous drinking water treatment residuals (DWTR).  </w:t>
      </w:r>
    </w:p>
    <w:p w14:paraId="1CDC2D22"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II.</w:t>
      </w:r>
      <w:r w:rsidRPr="001311C1">
        <w:rPr>
          <w:rFonts w:ascii="Lucida Bright" w:hAnsi="Lucida Bright"/>
          <w:b/>
          <w:bCs/>
          <w:sz w:val="22"/>
          <w:szCs w:val="22"/>
        </w:rPr>
        <w:tab/>
        <w:t>Executive</w:t>
      </w:r>
      <w:r w:rsidRPr="001311C1">
        <w:rPr>
          <w:rFonts w:ascii="Lucida Bright" w:hAnsi="Lucida Bright"/>
          <w:b/>
          <w:bCs/>
          <w:spacing w:val="-9"/>
          <w:sz w:val="22"/>
          <w:szCs w:val="22"/>
        </w:rPr>
        <w:t xml:space="preserve"> </w:t>
      </w:r>
      <w:r w:rsidRPr="001311C1">
        <w:rPr>
          <w:rFonts w:ascii="Lucida Bright" w:hAnsi="Lucida Bright"/>
          <w:b/>
          <w:bCs/>
          <w:sz w:val="22"/>
          <w:szCs w:val="22"/>
        </w:rPr>
        <w:t>D</w:t>
      </w:r>
      <w:r w:rsidRPr="001311C1">
        <w:rPr>
          <w:rFonts w:ascii="Lucida Bright" w:hAnsi="Lucida Bright"/>
          <w:b/>
          <w:bCs/>
          <w:spacing w:val="1"/>
          <w:sz w:val="22"/>
          <w:szCs w:val="22"/>
        </w:rPr>
        <w:t>i</w:t>
      </w:r>
      <w:r w:rsidRPr="001311C1">
        <w:rPr>
          <w:rFonts w:ascii="Lucida Bright" w:hAnsi="Lucida Bright"/>
          <w:b/>
          <w:bCs/>
          <w:sz w:val="22"/>
          <w:szCs w:val="22"/>
        </w:rPr>
        <w:t>rector</w:t>
      </w:r>
      <w:r w:rsidRPr="001311C1">
        <w:rPr>
          <w:rFonts w:ascii="Lucida Bright" w:hAnsi="Lucida Bright"/>
          <w:b/>
          <w:bCs/>
          <w:spacing w:val="1"/>
          <w:sz w:val="22"/>
          <w:szCs w:val="22"/>
        </w:rPr>
        <w:t>’</w:t>
      </w:r>
      <w:r w:rsidRPr="001311C1">
        <w:rPr>
          <w:rFonts w:ascii="Lucida Bright" w:hAnsi="Lucida Bright"/>
          <w:b/>
          <w:bCs/>
          <w:sz w:val="22"/>
          <w:szCs w:val="22"/>
        </w:rPr>
        <w:t>s</w:t>
      </w:r>
      <w:r w:rsidRPr="001311C1">
        <w:rPr>
          <w:rFonts w:ascii="Lucida Bright" w:hAnsi="Lucida Bright"/>
          <w:b/>
          <w:bCs/>
          <w:spacing w:val="-10"/>
          <w:sz w:val="22"/>
          <w:szCs w:val="22"/>
        </w:rPr>
        <w:t xml:space="preserve"> </w:t>
      </w:r>
      <w:r w:rsidRPr="001311C1">
        <w:rPr>
          <w:rFonts w:ascii="Lucida Bright" w:hAnsi="Lucida Bright"/>
          <w:b/>
          <w:bCs/>
          <w:sz w:val="22"/>
          <w:szCs w:val="22"/>
        </w:rPr>
        <w:t>R</w:t>
      </w:r>
      <w:r w:rsidRPr="001311C1">
        <w:rPr>
          <w:rFonts w:ascii="Lucida Bright" w:hAnsi="Lucida Bright"/>
          <w:b/>
          <w:bCs/>
          <w:spacing w:val="1"/>
          <w:sz w:val="22"/>
          <w:szCs w:val="22"/>
        </w:rPr>
        <w:t>eco</w:t>
      </w:r>
      <w:r w:rsidRPr="001311C1">
        <w:rPr>
          <w:rFonts w:ascii="Lucida Bright" w:hAnsi="Lucida Bright"/>
          <w:b/>
          <w:bCs/>
          <w:sz w:val="22"/>
          <w:szCs w:val="22"/>
        </w:rPr>
        <w:t>mmendati</w:t>
      </w:r>
      <w:r w:rsidRPr="001311C1">
        <w:rPr>
          <w:rFonts w:ascii="Lucida Bright" w:hAnsi="Lucida Bright"/>
          <w:b/>
          <w:bCs/>
          <w:spacing w:val="2"/>
          <w:sz w:val="22"/>
          <w:szCs w:val="22"/>
        </w:rPr>
        <w:t>o</w:t>
      </w:r>
      <w:r w:rsidRPr="001311C1">
        <w:rPr>
          <w:rFonts w:ascii="Lucida Bright" w:hAnsi="Lucida Bright"/>
          <w:b/>
          <w:bCs/>
          <w:sz w:val="22"/>
          <w:szCs w:val="22"/>
        </w:rPr>
        <w:t>n</w:t>
      </w:r>
    </w:p>
    <w:p w14:paraId="45BC2A72"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The Executive Director has made a preliminary determination that this general permit, if reissued, meets all statutory and regulatory requirements.  It is proposed that the renewed general permit be issued to expire ten years from date of issuance in accordance with the requirements of Texas Water Code (TWC) §27.025(h) and 30 Texas Administrative Code (TAC) §331.204(a).</w:t>
      </w:r>
    </w:p>
    <w:p w14:paraId="5EB540FD" w14:textId="77777777" w:rsidR="00EA4768" w:rsidRPr="001311C1" w:rsidRDefault="00EA4768" w:rsidP="00EA4768">
      <w:pPr>
        <w:keepNext/>
        <w:keepLines/>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III.</w:t>
      </w:r>
      <w:r w:rsidRPr="001311C1">
        <w:rPr>
          <w:rFonts w:ascii="Lucida Bright" w:hAnsi="Lucida Bright"/>
          <w:b/>
          <w:bCs/>
          <w:sz w:val="22"/>
          <w:szCs w:val="22"/>
        </w:rPr>
        <w:tab/>
        <w:t>Permit</w:t>
      </w:r>
      <w:r w:rsidRPr="001311C1">
        <w:rPr>
          <w:rFonts w:ascii="Lucida Bright" w:hAnsi="Lucida Bright"/>
          <w:b/>
          <w:bCs/>
          <w:spacing w:val="-6"/>
          <w:sz w:val="22"/>
          <w:szCs w:val="22"/>
        </w:rPr>
        <w:t xml:space="preserve"> </w:t>
      </w:r>
      <w:r w:rsidRPr="001311C1">
        <w:rPr>
          <w:rFonts w:ascii="Lucida Bright" w:hAnsi="Lucida Bright"/>
          <w:b/>
          <w:bCs/>
          <w:sz w:val="22"/>
          <w:szCs w:val="22"/>
        </w:rPr>
        <w:t>Applicability and Coverage</w:t>
      </w:r>
    </w:p>
    <w:p w14:paraId="6A8B0120" w14:textId="77777777" w:rsidR="00EA4768" w:rsidRPr="001311C1" w:rsidRDefault="00EA4768" w:rsidP="00BA1936">
      <w:pPr>
        <w:pStyle w:val="ListParagraph"/>
        <w:keepNext/>
        <w:keepLines/>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This general permit specifies certain wastes which may be authorized for disposal in a Class I injection well under the general permit, and it lists wastes that are not eligible for general permit coverage.  It also states conditions under which waste disposal must be authorized by an individual UIC Class I injection well permit.</w:t>
      </w:r>
    </w:p>
    <w:p w14:paraId="71B712F2"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The renewed UIC Class I General Permit would authorize injection of the following waste streams into a Class I well:</w:t>
      </w:r>
    </w:p>
    <w:p w14:paraId="175EC474" w14:textId="77777777" w:rsidR="00EA4768" w:rsidRPr="001311C1" w:rsidRDefault="00EA4768" w:rsidP="00BA1936">
      <w:pPr>
        <w:pStyle w:val="ListParagraph"/>
        <w:numPr>
          <w:ilvl w:val="0"/>
          <w:numId w:val="41"/>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lastRenderedPageBreak/>
        <w:t>desalination brine or desalination concentrate defined in 30 TAC §331.2(36)-(38) as "the waste stream produced by a desalination operation containing concentrated salt water, other naturally occurring impurities, and additives used in the operation and maintenance of a desalination operation;" or</w:t>
      </w:r>
    </w:p>
    <w:p w14:paraId="29A35768" w14:textId="77777777" w:rsidR="00EA4768" w:rsidRPr="001311C1" w:rsidRDefault="00EA4768" w:rsidP="00BA1936">
      <w:pPr>
        <w:pStyle w:val="ListParagraph"/>
        <w:numPr>
          <w:ilvl w:val="0"/>
          <w:numId w:val="41"/>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 xml:space="preserve">drinking water treatment residuals (DWTR) defined in 30 TAC §331.2(42) as "materials generated, concentrated or produced as a result of treating water for human consumption."  This includes disposal of nonhazardous DWTR that contain </w:t>
      </w:r>
      <w:proofErr w:type="gramStart"/>
      <w:r w:rsidRPr="001311C1">
        <w:rPr>
          <w:rFonts w:eastAsia="Calibri" w:cs="Arial"/>
          <w:szCs w:val="22"/>
        </w:rPr>
        <w:t>naturally-occurring</w:t>
      </w:r>
      <w:proofErr w:type="gramEnd"/>
      <w:r w:rsidRPr="001311C1">
        <w:rPr>
          <w:rFonts w:eastAsia="Calibri" w:cs="Arial"/>
          <w:szCs w:val="22"/>
        </w:rPr>
        <w:t xml:space="preserve"> radioactive materials (NORM) into a salt cavern in horizontally bedded or non-domal salt.</w:t>
      </w:r>
    </w:p>
    <w:p w14:paraId="7A5CEC45"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The following waste streams are not eligible for injection under the renewed UIC Class I General Permit:  1. waste streams other than nonhazardous desalination brine from a desalination operation or nonhazardous DWTR; 2. wastes prohibited from injection by federal rules in 40 CFR Part 148, Subpart B (waste-specific prohibitions such as dioxins, etc.); 3. hazardous wastes defined under federal rules 40 CFR §261.3(a) through (d); or 4. radioactive substances, as defined by THSC §401.003(19), except for DWTR containing NORM or radioactive substances that are exempt by rule from requirements as provided under THSC §401.106(a).  An applicant may seek authorization from TCEQ to inject the above-listed wastes under an individual UIC Class I injection well permit, and not under this UIC Class I General Permit.</w:t>
      </w:r>
    </w:p>
    <w:p w14:paraId="59E11BCF"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The proposed general permit does not authorize waste streams associated with the exploration, development, or production of oil, gas and geothermal resources, and other wastes regulated by the Railroad Commission (RRC) of Texas.</w:t>
      </w:r>
    </w:p>
    <w:p w14:paraId="2BF4C112"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This general permit does not authorize the use of nonhazardous brine from a desalination operation or nonhazardous DWTR as an injection fluid for enhanced recovery purposes.  That activity is regulated by the Railroad Commission of Texas.</w:t>
      </w:r>
    </w:p>
    <w:p w14:paraId="679FA674"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This proposed renewed UIC Class I General Permit would expire at midnight ten years after the date of issuance.  If before its expiration, the commission proposes to renew this general permit, the general permit remains in effect after the expiration date for those existing permittees covered by the general permit until the date on which the commission takes final action on the proposed permit renewal.</w:t>
      </w:r>
    </w:p>
    <w:p w14:paraId="72C1A4F3"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A facility cannot have Class I injection well authorization under both the general permit and an individual permit.</w:t>
      </w:r>
    </w:p>
    <w:p w14:paraId="09E2054D"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lastRenderedPageBreak/>
        <w:t>Facilities currently authorized by a UIC Class I individual permit may be authorized under this general permit if all conditions are met as specified in the general permit and in accordance with 30 TAC Chapter 331 (relating to Underground Injection Control).</w:t>
      </w:r>
    </w:p>
    <w:p w14:paraId="3EF21ABD"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Injection of waste eligible for authorization by this general permit may alternatively be authorized by an individual permit according to 30 TAC Chapter 331 (relating to Underground Injection Control).</w:t>
      </w:r>
    </w:p>
    <w:p w14:paraId="68F88E3D"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The executive director may require a person whose authorization to inject or operate an injection well is suspended under the general permit to apply for and obtain an individual permit.</w:t>
      </w:r>
    </w:p>
    <w:p w14:paraId="2275A23D" w14:textId="77777777" w:rsidR="00EA4768" w:rsidRPr="001311C1" w:rsidRDefault="00EA4768" w:rsidP="00BA1936">
      <w:pPr>
        <w:pStyle w:val="ListParagraph"/>
        <w:numPr>
          <w:ilvl w:val="0"/>
          <w:numId w:val="40"/>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rPr>
          <w:rFonts w:eastAsia="Calibri" w:cs="Arial"/>
          <w:szCs w:val="22"/>
        </w:rPr>
      </w:pPr>
      <w:r w:rsidRPr="001311C1">
        <w:rPr>
          <w:rFonts w:eastAsia="Calibri" w:cs="Arial"/>
          <w:szCs w:val="22"/>
        </w:rPr>
        <w:t>Waste injection is not eligible for authorization under this general permit, where prohibited by any other applicable rules or laws.</w:t>
      </w:r>
    </w:p>
    <w:p w14:paraId="15DDBD1A"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IV.</w:t>
      </w:r>
      <w:r w:rsidRPr="001311C1">
        <w:rPr>
          <w:rFonts w:ascii="Lucida Bright" w:hAnsi="Lucida Bright"/>
          <w:b/>
          <w:bCs/>
          <w:sz w:val="22"/>
          <w:szCs w:val="22"/>
        </w:rPr>
        <w:tab/>
        <w:t>Permit Conditions</w:t>
      </w:r>
    </w:p>
    <w:p w14:paraId="76AC5819"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The UIC Class I General Permit provides that, for all phases in the life of a Class I injection well, from construction through post-closure care, the owner or operator must attain a performance standard to prevent the movement of fluids that would result in the pollution of an underground source of drinking water (USDW).  For Class I bedded salt cavern disposal wells, the injection wells and their associated caverns are specifically designed, constructed, operated, and closed to contain the waste and prevent the lateral and vertical migration of the waste outside of the cavern.  The general permit also requires a permittee to maintain all monitoring and reporting records, including strip charts and records of calibration and maintenance, a waste analysis plan, records of all data used to complete the Notice of Intent (NOI) for authorization under the general permit, reports, maps, drawings, and other documentation required by the general permit for a minimum period of ten years from the date of the record.  The records must either be kept on-site or made readily available for review by a representative of the commission upon request.  This period may be extended at the request of the executive director.</w:t>
      </w:r>
    </w:p>
    <w:p w14:paraId="4CBCA620"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V.</w:t>
      </w:r>
      <w:r w:rsidRPr="001311C1">
        <w:rPr>
          <w:rFonts w:ascii="Lucida Bright" w:hAnsi="Lucida Bright"/>
          <w:b/>
          <w:bCs/>
          <w:sz w:val="22"/>
          <w:szCs w:val="22"/>
        </w:rPr>
        <w:tab/>
        <w:t>Changes</w:t>
      </w:r>
      <w:r w:rsidRPr="001311C1">
        <w:rPr>
          <w:rFonts w:ascii="Lucida Bright" w:hAnsi="Lucida Bright"/>
          <w:b/>
          <w:bCs/>
          <w:spacing w:val="-8"/>
          <w:sz w:val="22"/>
          <w:szCs w:val="22"/>
        </w:rPr>
        <w:t xml:space="preserve"> f</w:t>
      </w:r>
      <w:r w:rsidRPr="001311C1">
        <w:rPr>
          <w:rFonts w:ascii="Lucida Bright" w:hAnsi="Lucida Bright"/>
          <w:b/>
          <w:bCs/>
          <w:sz w:val="22"/>
          <w:szCs w:val="22"/>
        </w:rPr>
        <w:t>rom</w:t>
      </w:r>
      <w:r w:rsidRPr="001311C1">
        <w:rPr>
          <w:rFonts w:ascii="Lucida Bright" w:hAnsi="Lucida Bright"/>
          <w:b/>
          <w:bCs/>
          <w:spacing w:val="-5"/>
          <w:sz w:val="22"/>
          <w:szCs w:val="22"/>
        </w:rPr>
        <w:t xml:space="preserve"> </w:t>
      </w:r>
      <w:r w:rsidRPr="001311C1">
        <w:rPr>
          <w:rFonts w:ascii="Lucida Bright" w:hAnsi="Lucida Bright"/>
          <w:b/>
          <w:bCs/>
          <w:sz w:val="22"/>
          <w:szCs w:val="22"/>
        </w:rPr>
        <w:t>Existing</w:t>
      </w:r>
      <w:r w:rsidRPr="001311C1">
        <w:rPr>
          <w:rFonts w:ascii="Lucida Bright" w:hAnsi="Lucida Bright"/>
          <w:b/>
          <w:bCs/>
          <w:spacing w:val="-8"/>
          <w:sz w:val="22"/>
          <w:szCs w:val="22"/>
        </w:rPr>
        <w:t xml:space="preserve"> </w:t>
      </w:r>
      <w:r w:rsidRPr="001311C1">
        <w:rPr>
          <w:rFonts w:ascii="Lucida Bright" w:hAnsi="Lucida Bright"/>
          <w:b/>
          <w:bCs/>
          <w:sz w:val="22"/>
          <w:szCs w:val="22"/>
        </w:rPr>
        <w:t>General</w:t>
      </w:r>
      <w:r w:rsidRPr="001311C1">
        <w:rPr>
          <w:rFonts w:ascii="Lucida Bright" w:hAnsi="Lucida Bright"/>
          <w:b/>
          <w:bCs/>
          <w:spacing w:val="-8"/>
          <w:sz w:val="22"/>
          <w:szCs w:val="22"/>
        </w:rPr>
        <w:t xml:space="preserve"> </w:t>
      </w:r>
      <w:r w:rsidRPr="001311C1">
        <w:rPr>
          <w:rFonts w:ascii="Lucida Bright" w:hAnsi="Lucida Bright"/>
          <w:b/>
          <w:bCs/>
          <w:sz w:val="22"/>
          <w:szCs w:val="22"/>
        </w:rPr>
        <w:t>Permit</w:t>
      </w:r>
    </w:p>
    <w:p w14:paraId="7C3DFAF4"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Existing in Part I, Section A. Definitions, the definition citations for bedded salt and bedded salt cavern disposal well were corrected. </w:t>
      </w:r>
    </w:p>
    <w:p w14:paraId="70D160F8"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Existing in Part II, Section B. Limitations on Coverage, provision 2.e, removed the following “except such waste streams authorized for injection and disposal by a Class II permit issued by the Railroad Commission of Texas. </w:t>
      </w:r>
    </w:p>
    <w:p w14:paraId="2B81ED86"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Existing Part II, Section C, provision 3.n.i., removed the word “hazardous” from </w:t>
      </w:r>
      <w:r w:rsidRPr="001311C1">
        <w:rPr>
          <w:rFonts w:ascii="Lucida Bright" w:eastAsia="Calibri" w:hAnsi="Lucida Bright" w:cs="Arial"/>
          <w:sz w:val="22"/>
          <w:szCs w:val="22"/>
        </w:rPr>
        <w:lastRenderedPageBreak/>
        <w:t xml:space="preserve">the phrase “each of its hazardous waste treatment, storage, or disposal facilities.” </w:t>
      </w:r>
    </w:p>
    <w:p w14:paraId="32820905"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Existing in Part II, Section C, provision 3.n. xiii., deleted the provision in its entirety, regarding “pre-injection units, if not authorized under another TCEQ permit.” </w:t>
      </w:r>
    </w:p>
    <w:p w14:paraId="41A0C867"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Part II, Section K, in the title, replaced the words “Underground Injection Control” with the acronym “UIC.”</w:t>
      </w:r>
    </w:p>
    <w:p w14:paraId="5034EB1D"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Part III, provision 1, replaced the words “underground source of drinking water” with the acronym “USDW.”</w:t>
      </w:r>
    </w:p>
    <w:p w14:paraId="192C8D41"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Part III, provision 4, replaced the words “one quarter” with the number “1/4” for consistency.</w:t>
      </w:r>
    </w:p>
    <w:p w14:paraId="5D33C8A9"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Part III, provision 21, deleted the initial introductory paragraph and sub-provisions 21.a.and 21.b. regarding pre-injection units, renumbered provision 21.c. as simply provision 21, and renumbered provision 21.d. as new provision 22. </w:t>
      </w:r>
    </w:p>
    <w:p w14:paraId="26A5D144"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Part IV, provision 2 regarding pre-injection units, deleted this entire provision, and renumbered the remaining provisions 3 through 12, accordingly.</w:t>
      </w:r>
    </w:p>
    <w:p w14:paraId="4259D753"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VI.</w:t>
      </w:r>
      <w:r w:rsidRPr="001311C1">
        <w:rPr>
          <w:rFonts w:ascii="Lucida Bright" w:hAnsi="Lucida Bright"/>
          <w:b/>
          <w:bCs/>
          <w:sz w:val="22"/>
          <w:szCs w:val="22"/>
        </w:rPr>
        <w:tab/>
        <w:t>Addresses</w:t>
      </w:r>
    </w:p>
    <w:p w14:paraId="0BA658C8" w14:textId="77777777" w:rsidR="00EA4768" w:rsidRPr="001311C1" w:rsidRDefault="00EA4768" w:rsidP="009E4DD0">
      <w:pPr>
        <w:widowControl w:val="0"/>
        <w:spacing w:before="240" w:after="240" w:line="276" w:lineRule="auto"/>
        <w:rPr>
          <w:rFonts w:ascii="Lucida Bright" w:eastAsia="Calibri" w:hAnsi="Lucida Bright" w:cs="Arial"/>
          <w:sz w:val="22"/>
          <w:szCs w:val="22"/>
        </w:rPr>
      </w:pPr>
      <w:r w:rsidRPr="001311C1">
        <w:rPr>
          <w:rFonts w:ascii="Lucida Bright" w:eastAsia="Calibri" w:hAnsi="Lucida Bright" w:cs="Arial"/>
          <w:sz w:val="22"/>
          <w:szCs w:val="22"/>
        </w:rPr>
        <w:t>Questions concerning this proposed amended general permit should be sent to:</w:t>
      </w:r>
    </w:p>
    <w:p w14:paraId="07A8AB07"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UIC Permits Section</w:t>
      </w:r>
    </w:p>
    <w:p w14:paraId="6CB5F21F"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Radioactive Materials Division</w:t>
      </w:r>
    </w:p>
    <w:p w14:paraId="1B169383"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Mail Code 233</w:t>
      </w:r>
    </w:p>
    <w:p w14:paraId="4C25D2FE"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TCEQ</w:t>
      </w:r>
    </w:p>
    <w:p w14:paraId="621C4246"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P.O. Box 13087</w:t>
      </w:r>
    </w:p>
    <w:p w14:paraId="712755C3"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Austin, TX 78711-3087</w:t>
      </w:r>
    </w:p>
    <w:p w14:paraId="0D120DFB"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(512) 239-6466</w:t>
      </w:r>
    </w:p>
    <w:p w14:paraId="08AF1EA5" w14:textId="1599A770" w:rsidR="00EA4768" w:rsidRPr="001311C1" w:rsidRDefault="009E4DD0" w:rsidP="009E4DD0">
      <w:pPr>
        <w:widowControl w:val="0"/>
        <w:spacing w:line="276" w:lineRule="auto"/>
        <w:ind w:left="720"/>
        <w:rPr>
          <w:rFonts w:ascii="Lucida Bright" w:eastAsia="Calibri" w:hAnsi="Lucida Bright" w:cs="Arial"/>
          <w:sz w:val="22"/>
          <w:szCs w:val="22"/>
        </w:rPr>
      </w:pPr>
      <w:hyperlink r:id="rId18" w:history="1">
        <w:r w:rsidRPr="001311C1">
          <w:rPr>
            <w:rStyle w:val="Hyperlink"/>
            <w:rFonts w:ascii="Lucida Bright" w:eastAsia="Calibri" w:hAnsi="Lucida Bright" w:cs="Arial"/>
            <w:sz w:val="22"/>
            <w:szCs w:val="22"/>
          </w:rPr>
          <w:t>uic@tceq.texas.gov</w:t>
        </w:r>
      </w:hyperlink>
    </w:p>
    <w:p w14:paraId="413745DB" w14:textId="77777777" w:rsidR="00EA4768" w:rsidRPr="001311C1" w:rsidRDefault="00EA4768" w:rsidP="009E4DD0">
      <w:pPr>
        <w:widowControl w:val="0"/>
        <w:spacing w:before="240" w:after="240" w:line="276" w:lineRule="auto"/>
        <w:rPr>
          <w:rFonts w:ascii="Lucida Bright" w:eastAsia="Calibri" w:hAnsi="Lucida Bright" w:cs="Arial"/>
          <w:sz w:val="22"/>
          <w:szCs w:val="22"/>
        </w:rPr>
      </w:pPr>
      <w:r w:rsidRPr="001311C1">
        <w:rPr>
          <w:rFonts w:ascii="Lucida Bright" w:eastAsia="Calibri" w:hAnsi="Lucida Bright" w:cs="Arial"/>
          <w:sz w:val="22"/>
          <w:szCs w:val="22"/>
        </w:rPr>
        <w:t>Supplementary information on this Fact Sheet is organized as follows:</w:t>
      </w:r>
    </w:p>
    <w:p w14:paraId="007FB8F5"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VII.</w:t>
      </w:r>
      <w:r w:rsidRPr="001311C1">
        <w:rPr>
          <w:rFonts w:ascii="Lucida Bright" w:eastAsia="Calibri" w:hAnsi="Lucida Bright" w:cs="Arial"/>
          <w:sz w:val="22"/>
          <w:szCs w:val="22"/>
        </w:rPr>
        <w:tab/>
        <w:t>Legal Basis</w:t>
      </w:r>
    </w:p>
    <w:p w14:paraId="3EE72CAD"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VIII.</w:t>
      </w:r>
      <w:r w:rsidRPr="001311C1">
        <w:rPr>
          <w:rFonts w:ascii="Lucida Bright" w:eastAsia="Calibri" w:hAnsi="Lucida Bright" w:cs="Arial"/>
          <w:sz w:val="22"/>
          <w:szCs w:val="22"/>
        </w:rPr>
        <w:tab/>
        <w:t>Regulatory Background</w:t>
      </w:r>
    </w:p>
    <w:p w14:paraId="45A9BFFE"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IX.</w:t>
      </w:r>
      <w:r w:rsidRPr="001311C1">
        <w:rPr>
          <w:rFonts w:ascii="Lucida Bright" w:eastAsia="Calibri" w:hAnsi="Lucida Bright" w:cs="Arial"/>
          <w:sz w:val="22"/>
          <w:szCs w:val="22"/>
        </w:rPr>
        <w:tab/>
        <w:t>Permit Coverage</w:t>
      </w:r>
    </w:p>
    <w:p w14:paraId="1C373BBB"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X.</w:t>
      </w:r>
      <w:r w:rsidRPr="001311C1">
        <w:rPr>
          <w:rFonts w:ascii="Lucida Bright" w:eastAsia="Calibri" w:hAnsi="Lucida Bright" w:cs="Arial"/>
          <w:sz w:val="22"/>
          <w:szCs w:val="22"/>
        </w:rPr>
        <w:tab/>
        <w:t>General Requirements</w:t>
      </w:r>
    </w:p>
    <w:p w14:paraId="0DFB4137"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XI.</w:t>
      </w:r>
      <w:r w:rsidRPr="001311C1">
        <w:rPr>
          <w:rFonts w:ascii="Lucida Bright" w:eastAsia="Calibri" w:hAnsi="Lucida Bright" w:cs="Arial"/>
          <w:sz w:val="22"/>
          <w:szCs w:val="22"/>
        </w:rPr>
        <w:tab/>
        <w:t>Procedures for Final Decision</w:t>
      </w:r>
    </w:p>
    <w:p w14:paraId="7B018B02" w14:textId="77777777" w:rsidR="00EA4768" w:rsidRPr="001311C1" w:rsidRDefault="00EA4768" w:rsidP="009E4DD0">
      <w:pPr>
        <w:widowControl w:val="0"/>
        <w:spacing w:line="276" w:lineRule="auto"/>
        <w:ind w:left="720"/>
        <w:rPr>
          <w:rFonts w:ascii="Lucida Bright" w:eastAsia="Calibri" w:hAnsi="Lucida Bright" w:cs="Arial"/>
          <w:sz w:val="22"/>
          <w:szCs w:val="22"/>
        </w:rPr>
      </w:pPr>
      <w:r w:rsidRPr="001311C1">
        <w:rPr>
          <w:rFonts w:ascii="Lucida Bright" w:eastAsia="Calibri" w:hAnsi="Lucida Bright" w:cs="Arial"/>
          <w:sz w:val="22"/>
          <w:szCs w:val="22"/>
        </w:rPr>
        <w:t>XII.</w:t>
      </w:r>
      <w:r w:rsidRPr="001311C1">
        <w:rPr>
          <w:rFonts w:ascii="Lucida Bright" w:eastAsia="Calibri" w:hAnsi="Lucida Bright" w:cs="Arial"/>
          <w:sz w:val="22"/>
          <w:szCs w:val="22"/>
        </w:rPr>
        <w:tab/>
        <w:t>Administrative Record</w:t>
      </w:r>
    </w:p>
    <w:p w14:paraId="053EB621"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 xml:space="preserve">VII. </w:t>
      </w:r>
      <w:r w:rsidRPr="001311C1">
        <w:rPr>
          <w:rFonts w:ascii="Lucida Bright" w:hAnsi="Lucida Bright"/>
          <w:b/>
          <w:bCs/>
          <w:spacing w:val="42"/>
          <w:sz w:val="22"/>
          <w:szCs w:val="22"/>
        </w:rPr>
        <w:t xml:space="preserve"> </w:t>
      </w:r>
      <w:r w:rsidRPr="001311C1">
        <w:rPr>
          <w:rFonts w:ascii="Lucida Bright" w:hAnsi="Lucida Bright"/>
          <w:b/>
          <w:bCs/>
          <w:sz w:val="22"/>
          <w:szCs w:val="22"/>
        </w:rPr>
        <w:t>Legal</w:t>
      </w:r>
      <w:r w:rsidRPr="001311C1">
        <w:rPr>
          <w:rFonts w:ascii="Lucida Bright" w:hAnsi="Lucida Bright"/>
          <w:b/>
          <w:bCs/>
          <w:spacing w:val="-5"/>
          <w:sz w:val="22"/>
          <w:szCs w:val="22"/>
        </w:rPr>
        <w:t xml:space="preserve"> </w:t>
      </w:r>
      <w:r w:rsidRPr="001311C1">
        <w:rPr>
          <w:rFonts w:ascii="Lucida Bright" w:hAnsi="Lucida Bright"/>
          <w:b/>
          <w:bCs/>
          <w:sz w:val="22"/>
          <w:szCs w:val="22"/>
        </w:rPr>
        <w:t>Basis</w:t>
      </w:r>
    </w:p>
    <w:p w14:paraId="51DDC0C4"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lastRenderedPageBreak/>
        <w:t xml:space="preserve">Unless the activity is subject to the jurisdiction of the Railroad Commission or authorized by a rule of the commission, TWC §27.011 makes it unlawful to continue utilizing an injection well or begin drilling an injection well or converting an existing well into an injection well to dispose of industrial and municipal waste, to extract minerals, or to inject a fluid without first obtaining a permit from the commission.  TWC §27.025 allows the commission to issue, </w:t>
      </w:r>
      <w:proofErr w:type="gramStart"/>
      <w:r w:rsidRPr="001311C1">
        <w:rPr>
          <w:rFonts w:ascii="Lucida Bright" w:eastAsia="Calibri" w:hAnsi="Lucida Bright" w:cs="Arial"/>
          <w:sz w:val="22"/>
          <w:szCs w:val="22"/>
        </w:rPr>
        <w:t>amend</w:t>
      </w:r>
      <w:proofErr w:type="gramEnd"/>
      <w:r w:rsidRPr="001311C1">
        <w:rPr>
          <w:rFonts w:ascii="Lucida Bright" w:eastAsia="Calibri" w:hAnsi="Lucida Bright" w:cs="Arial"/>
          <w:sz w:val="22"/>
          <w:szCs w:val="22"/>
        </w:rPr>
        <w:t xml:space="preserve"> and renew a general permit to authorize the use of a Class I injection well to dispose of nonhazardous brine from a desalination operation or nonhazardous DWTR.  As provided in THSC §361.086, a separate permit is not required for activities authorized by a general permit issued under TWC §27.025.  This proposed renewed UIC Class I General Permit requires safeguards to protect groundwater and surface water.</w:t>
      </w:r>
    </w:p>
    <w:p w14:paraId="4339028F"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VIII. Regulatory Background</w:t>
      </w:r>
    </w:p>
    <w:p w14:paraId="7D23FC3D" w14:textId="77777777" w:rsidR="00EA4768" w:rsidRPr="001311C1" w:rsidRDefault="00EA4768" w:rsidP="00BA1936">
      <w:pPr>
        <w:pStyle w:val="OutlineLevel2"/>
        <w:widowControl w:val="0"/>
        <w:numPr>
          <w:ilvl w:val="0"/>
          <w:numId w:val="42"/>
        </w:numPr>
        <w:spacing w:after="120"/>
        <w:jc w:val="left"/>
        <w:rPr>
          <w:rFonts w:cs="Arial"/>
        </w:rPr>
      </w:pPr>
      <w:r w:rsidRPr="001311C1">
        <w:rPr>
          <w:rFonts w:cs="Arial"/>
        </w:rPr>
        <w:t xml:space="preserve">The TCEQ issued </w:t>
      </w:r>
      <w:bookmarkStart w:id="3" w:name="_Hlk100153340"/>
      <w:r w:rsidRPr="001311C1">
        <w:rPr>
          <w:rFonts w:cs="Arial"/>
        </w:rPr>
        <w:t xml:space="preserve">UIC Class I </w:t>
      </w:r>
      <w:bookmarkEnd w:id="3"/>
      <w:r w:rsidRPr="001311C1">
        <w:rPr>
          <w:rFonts w:cs="Arial"/>
        </w:rPr>
        <w:t xml:space="preserve">General permit WDWG010000 on December 15, </w:t>
      </w:r>
      <w:proofErr w:type="gramStart"/>
      <w:r w:rsidRPr="001311C1">
        <w:rPr>
          <w:rFonts w:cs="Arial"/>
        </w:rPr>
        <w:t>2009</w:t>
      </w:r>
      <w:proofErr w:type="gramEnd"/>
      <w:r w:rsidRPr="001311C1">
        <w:rPr>
          <w:rFonts w:cs="Arial"/>
        </w:rPr>
        <w:t xml:space="preserve"> to implement rules adopted as a result of House Bill (HB) 2654, 80th Legislature, 2007 (TWC §27.025).  UIC rules in 30 TAC Chapter 331, Subchapter L allow the commission to issue, </w:t>
      </w:r>
      <w:proofErr w:type="gramStart"/>
      <w:r w:rsidRPr="001311C1">
        <w:rPr>
          <w:rFonts w:cs="Arial"/>
        </w:rPr>
        <w:t>amend</w:t>
      </w:r>
      <w:proofErr w:type="gramEnd"/>
      <w:r w:rsidRPr="001311C1">
        <w:rPr>
          <w:rFonts w:cs="Arial"/>
        </w:rPr>
        <w:t xml:space="preserve"> and renew a general permit to authorize the use of a Class I injection well to dispose of nonhazardous brine from a desalination operation or nonhazardous DWTR.  Currently, five Class I injection wells are authorized under the existing UIC Class I General Permit to be constructed and operated by the San Antonio Water System for disposal of nonhazardous brine from a desalination operation or nonhazardous DWTR.  </w:t>
      </w:r>
    </w:p>
    <w:p w14:paraId="6890BD9F"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Amendment and renewal of this general permit are proposed because there is a continuing need for an expedited, safe, in-state disposal option for nonhazardous brine from a desalination operation or nonhazardous DWTR. </w:t>
      </w:r>
    </w:p>
    <w:p w14:paraId="13C77A92"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IX.    Permit Coverage</w:t>
      </w:r>
    </w:p>
    <w:p w14:paraId="66B5E58A"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The purpose of the UIC Class I General Permit is to provide an option for expedited processing of applications for use of a Class I well for disposal of nonhazardous brine from a desalination operation or nonhazardous DWTR, including DWTR containing NORM.  To obtain authorization for waste disposal under the UIC Class I General Permit, an applicant will need to use the following guidelines.</w:t>
      </w:r>
    </w:p>
    <w:p w14:paraId="6B33C94E" w14:textId="77777777" w:rsidR="00EA4768" w:rsidRPr="001311C1" w:rsidRDefault="00EA4768" w:rsidP="00BA1936">
      <w:pPr>
        <w:pStyle w:val="OutlineLevel2"/>
        <w:widowControl w:val="0"/>
        <w:numPr>
          <w:ilvl w:val="0"/>
          <w:numId w:val="43"/>
        </w:numPr>
        <w:spacing w:after="120"/>
        <w:jc w:val="left"/>
        <w:rPr>
          <w:rFonts w:cs="Arial"/>
        </w:rPr>
      </w:pPr>
      <w:r w:rsidRPr="001311C1">
        <w:rPr>
          <w:rFonts w:cs="Arial"/>
        </w:rPr>
        <w:t xml:space="preserve">All applicants seeking authorization to operate one or more Class I injection wells under this UIC Class I General Permit must submit a completed NOI for each well on a form approved by the executive director. </w:t>
      </w:r>
    </w:p>
    <w:p w14:paraId="3CBE9DF0"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Currently, five wells are authorized under the UIC Class I General Permit.  Upon issuance of an amended or renewed general permit, these owners or operators must submit an NOI in accordance with the requirements of the amended or </w:t>
      </w:r>
      <w:r w:rsidRPr="001311C1">
        <w:rPr>
          <w:rFonts w:ascii="Lucida Bright" w:eastAsia="Calibri" w:hAnsi="Lucida Bright" w:cs="Arial"/>
          <w:sz w:val="22"/>
          <w:szCs w:val="22"/>
        </w:rPr>
        <w:lastRenderedPageBreak/>
        <w:t>renewed general permit.</w:t>
      </w:r>
    </w:p>
    <w:p w14:paraId="77BDC98A"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Submission of an NOI is an acknowledgment that the conditions of the general permit are applicable to the proposed Class I well operation, and that the applicant agrees to comply with the conditions of the general permit.  Following review of the NOI, the executive director either confirms coverage by providing a notification and an identification number to the applicant or notifies the applicant that coverage under this general permit is denied.</w:t>
      </w:r>
    </w:p>
    <w:p w14:paraId="46E9ACAB"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Authorization under the UIC Class I General Permit is not transferable.  If the owner or operator of the regulated entity changes, the present owner and operator must submit a Notice of Termination (NOT), and the new owner and operator must submit an NOI.  The NOT and NOI must be submitted not later than 30 days prior to the change in owner or operator status.  If the NOT and NOI are submitted as required, there will be no lapse in authorization for the facility.</w:t>
      </w:r>
    </w:p>
    <w:p w14:paraId="0D91E794"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 xml:space="preserve">If the permittee becomes aware that it failed to submit any relevant facts, or submitted incorrect information in an NOI, the correct information must be provided to the executive director in a Notice of Change (NOC) letter within 14 days after discovery.  If relevant information provided in the NOI changes (for example, a phone number, </w:t>
      </w:r>
      <w:proofErr w:type="gramStart"/>
      <w:r w:rsidRPr="001311C1">
        <w:rPr>
          <w:rFonts w:ascii="Lucida Bright" w:eastAsia="Calibri" w:hAnsi="Lucida Bright" w:cs="Arial"/>
          <w:sz w:val="22"/>
          <w:szCs w:val="22"/>
        </w:rPr>
        <w:t>map</w:t>
      </w:r>
      <w:proofErr w:type="gramEnd"/>
      <w:r w:rsidRPr="001311C1">
        <w:rPr>
          <w:rFonts w:ascii="Lucida Bright" w:eastAsia="Calibri" w:hAnsi="Lucida Bright" w:cs="Arial"/>
          <w:sz w:val="22"/>
          <w:szCs w:val="22"/>
        </w:rPr>
        <w:t xml:space="preserve"> or drawing) an NOC letter must be submitted within 14 days of the change.</w:t>
      </w:r>
    </w:p>
    <w:p w14:paraId="316DC8DF"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A permittee may terminate coverage under the UIC Class I General Permit by providing an NOT on a form approved by the executive director.  Authorization to inject waste terminates at midnight on the day that an NOT is postmarked for delivery to the TCEQ. An NOT must be submitted within 14 days after the owner or operator of the facility changes, the waste injection becomes authorized under an individual permit, the use of the property changes and is no longer subject to regulation under this general permit, or the waste injection becomes unnecessary, is delayed, or is completed.</w:t>
      </w:r>
    </w:p>
    <w:p w14:paraId="5BBFDE03" w14:textId="77777777" w:rsidR="00EA4768" w:rsidRPr="001311C1" w:rsidRDefault="00EA4768" w:rsidP="00BA1936">
      <w:pPr>
        <w:widowControl w:val="0"/>
        <w:numPr>
          <w:ilvl w:val="0"/>
          <w:numId w:val="3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The executive director may cancel, revoke, or suspend authorization for waste disposal under the UIC Class I General Permit based on a finding of historical and significant noncompliance with the provisions of this general permit.  Denial of authorization to dispose of waste in a Class I well under the UIC Class I General Permit or suspension of a permittee’s authorization under the UIC Class I General Permit must be done according to commission rules in 30 TAC Chapter 331, Subchapter L (relating to General Permit Authorizing Use of a Class I Injection Well to Inject Nonhazardous Desalination Concentrate or Nonhazardous Drinking Water Treatment Residuals).  The executive director must provide written notice to a facility if the executive director denies the facility's NOI or authorization to inject waste under the UIC Class I General Permit, including, at a minimum, a brief statement of the basis for this decision.</w:t>
      </w:r>
    </w:p>
    <w:p w14:paraId="6AB51279" w14:textId="77777777" w:rsidR="00EA4768" w:rsidRPr="001311C1" w:rsidRDefault="00EA4768" w:rsidP="009E4DD0">
      <w:pPr>
        <w:widowControl w:val="0"/>
        <w:tabs>
          <w:tab w:val="left" w:pos="720"/>
          <w:tab w:val="left" w:pos="2160"/>
        </w:tabs>
        <w:spacing w:before="480" w:after="240"/>
        <w:rPr>
          <w:rFonts w:ascii="Lucida Bright" w:hAnsi="Lucida Bright"/>
          <w:b/>
          <w:bCs/>
          <w:sz w:val="22"/>
          <w:szCs w:val="22"/>
        </w:rPr>
      </w:pPr>
      <w:r w:rsidRPr="001311C1">
        <w:rPr>
          <w:rFonts w:ascii="Lucida Bright" w:hAnsi="Lucida Bright"/>
          <w:b/>
          <w:bCs/>
          <w:sz w:val="22"/>
          <w:szCs w:val="22"/>
        </w:rPr>
        <w:lastRenderedPageBreak/>
        <w:t>X.     General Requirements</w:t>
      </w:r>
    </w:p>
    <w:p w14:paraId="3F928FB0" w14:textId="77777777" w:rsidR="00EA4768" w:rsidRPr="001311C1" w:rsidRDefault="00EA4768" w:rsidP="00BA1936">
      <w:pPr>
        <w:pStyle w:val="OutlineLevel2"/>
        <w:widowControl w:val="0"/>
        <w:numPr>
          <w:ilvl w:val="0"/>
          <w:numId w:val="44"/>
        </w:numPr>
        <w:spacing w:after="120"/>
        <w:jc w:val="left"/>
        <w:rPr>
          <w:rFonts w:cs="Arial"/>
        </w:rPr>
      </w:pPr>
      <w:r w:rsidRPr="001311C1">
        <w:rPr>
          <w:rFonts w:cs="Arial"/>
        </w:rPr>
        <w:t xml:space="preserve">All applicants seeking authorization to operate a Class I injection well under the UIC Class I General Permit must submit a completed NOI on a form approved by the executive director.  Information to be included in the NOI, including required technical information, is specified in the UIC Class I General </w:t>
      </w:r>
      <w:proofErr w:type="gramStart"/>
      <w:r w:rsidRPr="001311C1">
        <w:rPr>
          <w:rFonts w:cs="Arial"/>
        </w:rPr>
        <w:t>Permit</w:t>
      </w:r>
      <w:proofErr w:type="gramEnd"/>
      <w:r w:rsidRPr="001311C1">
        <w:rPr>
          <w:rFonts w:cs="Arial"/>
        </w:rPr>
        <w:t xml:space="preserve"> and is stated in the associated NOI form and instructions.</w:t>
      </w:r>
    </w:p>
    <w:p w14:paraId="749F23B5" w14:textId="77777777" w:rsidR="00EA4768" w:rsidRPr="001311C1" w:rsidRDefault="00EA4768" w:rsidP="001311C1">
      <w:pPr>
        <w:pStyle w:val="OutlineLevel2"/>
        <w:spacing w:after="120"/>
        <w:jc w:val="left"/>
      </w:pPr>
      <w:r w:rsidRPr="001311C1">
        <w:t xml:space="preserve">The technical information submitted in the NOI must demonstrate that the project will prevent the movement of fluids that could result in the pollution of a USDW and must establish that the applicant's plans and specifications meet all applicable standards, </w:t>
      </w:r>
      <w:proofErr w:type="gramStart"/>
      <w:r w:rsidRPr="001311C1">
        <w:t>rules</w:t>
      </w:r>
      <w:proofErr w:type="gramEnd"/>
      <w:r w:rsidRPr="001311C1">
        <w:t xml:space="preserve"> and the requirements of the UIC Class I General Permit.</w:t>
      </w:r>
    </w:p>
    <w:p w14:paraId="1829CF9E" w14:textId="77777777" w:rsidR="00EA4768" w:rsidRPr="001311C1" w:rsidRDefault="00EA4768" w:rsidP="001311C1">
      <w:pPr>
        <w:pStyle w:val="OutlineLevel2"/>
        <w:spacing w:after="120"/>
        <w:jc w:val="left"/>
      </w:pPr>
      <w:r w:rsidRPr="001311C1">
        <w:t>The UIC Class I General Permit specifies standards substantially equivalent to federal standards for UIC Class I nonhazardous waste wells.  Additional standards are specified for UIC Class I bedded salt cavern disposal wells and their associated caverns.</w:t>
      </w:r>
    </w:p>
    <w:p w14:paraId="170E936D" w14:textId="77777777" w:rsidR="00EA4768" w:rsidRPr="001311C1" w:rsidRDefault="00EA4768" w:rsidP="001311C1">
      <w:pPr>
        <w:pStyle w:val="OutlineLevel2"/>
        <w:spacing w:after="120"/>
        <w:jc w:val="left"/>
      </w:pPr>
      <w:r w:rsidRPr="001311C1">
        <w:t>A certification statement will be required to certify that the design, construction, operation, maintenance, testing and closure of the well will be conducted in accordance with applicable rules and the terms of the UIC Class I General Permit.</w:t>
      </w:r>
    </w:p>
    <w:p w14:paraId="253A8AD3" w14:textId="77777777" w:rsidR="00EA4768" w:rsidRPr="001311C1" w:rsidRDefault="00EA4768" w:rsidP="001311C1">
      <w:pPr>
        <w:pStyle w:val="OutlineLevel2"/>
        <w:spacing w:after="120"/>
        <w:jc w:val="left"/>
      </w:pPr>
      <w:r w:rsidRPr="001311C1">
        <w:t>The permittee has a duty to comply with all conditions in this UIC Class I General Permit and 30 TAC Chapters 305 and 331.  Failure to comply with any condition is a violation of the UIC Class I General Permit and the statutes under which the UIC Class I General Permit was issued.  Any violation may be grounds for enforcement action, for terminating coverage under the UIC Class I General Permit, or for requiring a permittee to apply for and obtain an individual UIC Class I injection well permit.</w:t>
      </w:r>
    </w:p>
    <w:p w14:paraId="51EC8C67" w14:textId="77777777" w:rsidR="00EA4768" w:rsidRPr="001311C1" w:rsidRDefault="00EA4768" w:rsidP="001311C1">
      <w:pPr>
        <w:pStyle w:val="OutlineLevel2"/>
        <w:spacing w:after="120"/>
        <w:jc w:val="left"/>
      </w:pPr>
      <w:r w:rsidRPr="001311C1">
        <w:t>NOIs, NOTs, and NOCs must be signed in accordance with the requirements of 30 TAC §305.44(a) (relating to Signatories to Applications).  Plans, reports, and other information requested or required by the executive director must be signed in accordance with the requirements of 30 TAC §305.128 (relating to Signatories to Reports).</w:t>
      </w:r>
    </w:p>
    <w:p w14:paraId="7AD33DC1" w14:textId="77777777" w:rsidR="00EA4768" w:rsidRPr="001311C1" w:rsidRDefault="00EA4768" w:rsidP="009E4DD0">
      <w:pPr>
        <w:pStyle w:val="OutlineLevel2"/>
        <w:jc w:val="left"/>
      </w:pPr>
      <w:r w:rsidRPr="001311C1">
        <w:t xml:space="preserve">The permittee </w:t>
      </w:r>
      <w:proofErr w:type="gramStart"/>
      <w:r w:rsidRPr="001311C1">
        <w:t>must at all times</w:t>
      </w:r>
      <w:proofErr w:type="gramEnd"/>
      <w:r w:rsidRPr="001311C1">
        <w:t xml:space="preserve"> properly operate and maintain all facilities and systems of treatment and control (and related appurtenances) installed or used by the permittee to achieve compliance with the UIC Class I General Permit provisions.  Proper operation and maintenance also </w:t>
      </w:r>
      <w:proofErr w:type="gramStart"/>
      <w:r w:rsidRPr="001311C1">
        <w:t>includes</w:t>
      </w:r>
      <w:proofErr w:type="gramEnd"/>
      <w:r w:rsidRPr="001311C1">
        <w:t xml:space="preserve"> establishing and implementing adequate laboratory and process controls, and appropriate quality assurance procedures.  This provision requires the operation of back-up or auxiliary facilities or similar systems only when necessary to achieve compliance with the UIC Class I General Permit provisions.</w:t>
      </w:r>
    </w:p>
    <w:p w14:paraId="14F51C5D" w14:textId="77777777" w:rsidR="00EA4768" w:rsidRPr="001311C1" w:rsidRDefault="00EA4768" w:rsidP="001311C1">
      <w:pPr>
        <w:pStyle w:val="OutlineLevel2"/>
        <w:spacing w:after="120"/>
        <w:jc w:val="left"/>
      </w:pPr>
      <w:r w:rsidRPr="001311C1">
        <w:lastRenderedPageBreak/>
        <w:t>All monitoring and reporting records, including strip charts and records of calibration and maintenance, records of all data used to complete the NOI for authorization under the UIC Class I General Permit, reports, maps, drawings, and other documentation required by the general permit must be maintained for a minimum period of ten years from the date of the record and either be kept on-site or made readily available for review by an authorized representative of the commission upon request.  This period may be extended at the request of the executive director.</w:t>
      </w:r>
    </w:p>
    <w:p w14:paraId="1A4DCA05" w14:textId="77777777" w:rsidR="00EA4768" w:rsidRPr="001311C1" w:rsidRDefault="00EA4768" w:rsidP="001311C1">
      <w:pPr>
        <w:pStyle w:val="OutlineLevel2"/>
        <w:spacing w:after="120"/>
        <w:jc w:val="left"/>
      </w:pPr>
      <w:r w:rsidRPr="001311C1">
        <w:t>At the request of the executive director, the permittee must furnish any information necessary to determine whether cause exists for revoking, suspending, or terminating authorization under the UIC Class I General Permit.  The requested information must be provided within a reasonable time frame and in no case later than 30 days from the date of the request.  Any noncompliance or any required information not submitted or submitted incorrectly must be reported to the executive director as promptly as possible.</w:t>
      </w:r>
    </w:p>
    <w:p w14:paraId="354BD811" w14:textId="77777777" w:rsidR="00EA4768" w:rsidRPr="001311C1" w:rsidRDefault="00EA4768" w:rsidP="001311C1">
      <w:pPr>
        <w:pStyle w:val="OutlineLevel2"/>
        <w:spacing w:after="120"/>
        <w:jc w:val="left"/>
      </w:pPr>
      <w:r w:rsidRPr="001311C1">
        <w:t>At various times the permittee is required to collect and analyze samples and submit reports of the results of their analysis to TCEQ.  To ensure the quality of the samples obtained by the permittee, the permittee is required to have in place a quality assurance/quality control program consistent with the TCEQ's EPA-approved "Quality Assurance Project Plan for Environmental Monitoring and Measurement Activities Relating to the Resource Conservation and Recovery Act (RCRA) &amp; Underground Injection Control (UIC)" (TCEQ QAPP).  Additionally, pursuant to state law, the permittee is subject to administrative, civil, and criminal penalties, for knowingly making any false statement, representation, or certification on any report, record, or document submitted or required to be maintained by the UIC Class I General Permit.</w:t>
      </w:r>
    </w:p>
    <w:p w14:paraId="39ACCB22" w14:textId="77777777" w:rsidR="00EA4768" w:rsidRPr="001311C1" w:rsidRDefault="00EA4768" w:rsidP="00BA1936">
      <w:pPr>
        <w:widowControl w:val="0"/>
        <w:numPr>
          <w:ilvl w:val="0"/>
          <w:numId w:val="39"/>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ind w:left="1440"/>
        <w:rPr>
          <w:rFonts w:ascii="Lucida Bright" w:eastAsia="Calibri" w:hAnsi="Lucida Bright" w:cs="Arial"/>
          <w:sz w:val="22"/>
          <w:szCs w:val="22"/>
        </w:rPr>
      </w:pPr>
      <w:r w:rsidRPr="001311C1">
        <w:rPr>
          <w:rFonts w:ascii="Lucida Bright" w:eastAsia="Calibri" w:hAnsi="Lucida Bright" w:cs="Arial"/>
          <w:sz w:val="22"/>
          <w:szCs w:val="22"/>
        </w:rPr>
        <w:t xml:space="preserve">Samples required by the UIC Class I General Permit must be collected and measurements must be taken at times and in a manner </w:t>
      </w:r>
      <w:proofErr w:type="gramStart"/>
      <w:r w:rsidRPr="001311C1">
        <w:rPr>
          <w:rFonts w:ascii="Lucida Bright" w:eastAsia="Calibri" w:hAnsi="Lucida Bright" w:cs="Arial"/>
          <w:sz w:val="22"/>
          <w:szCs w:val="22"/>
        </w:rPr>
        <w:t>so as to</w:t>
      </w:r>
      <w:proofErr w:type="gramEnd"/>
      <w:r w:rsidRPr="001311C1">
        <w:rPr>
          <w:rFonts w:ascii="Lucida Bright" w:eastAsia="Calibri" w:hAnsi="Lucida Bright" w:cs="Arial"/>
          <w:sz w:val="22"/>
          <w:szCs w:val="22"/>
        </w:rPr>
        <w:t xml:space="preserve"> be accurate and representative of the monitored activity.  All waste analyses utilized for waste identification or verification and other analyses for environmental monitoring must be performed in accordance with methods specified in the current editions of EPA SW-846, ASTM standards, or other methods accepted by the TCEQ.</w:t>
      </w:r>
    </w:p>
    <w:p w14:paraId="34F9B1B7" w14:textId="77777777" w:rsidR="00EA4768" w:rsidRPr="001311C1" w:rsidRDefault="00EA4768" w:rsidP="009E4DD0">
      <w:pPr>
        <w:pStyle w:val="OutlineLevel3"/>
        <w:ind w:left="1440"/>
        <w:rPr>
          <w:rFonts w:ascii="Lucida Bright" w:hAnsi="Lucida Bright"/>
          <w:sz w:val="22"/>
        </w:rPr>
      </w:pPr>
      <w:r w:rsidRPr="001311C1">
        <w:rPr>
          <w:rFonts w:ascii="Lucida Bright" w:hAnsi="Lucida Bright"/>
          <w:sz w:val="22"/>
        </w:rPr>
        <w:t>The permittee must ensure that properly trained and authorized personnel monitor and sample the wastewater related to any permitted activity.</w:t>
      </w:r>
    </w:p>
    <w:p w14:paraId="6A239591" w14:textId="77777777" w:rsidR="00EA4768" w:rsidRPr="001311C1" w:rsidRDefault="00EA4768" w:rsidP="009E4DD0">
      <w:pPr>
        <w:pStyle w:val="OutlineLevel3"/>
        <w:ind w:left="1440"/>
        <w:rPr>
          <w:rFonts w:ascii="Lucida Bright" w:hAnsi="Lucida Bright"/>
          <w:sz w:val="22"/>
        </w:rPr>
      </w:pPr>
      <w:r w:rsidRPr="001311C1">
        <w:rPr>
          <w:rFonts w:ascii="Lucida Bright" w:hAnsi="Lucida Bright"/>
          <w:sz w:val="22"/>
        </w:rPr>
        <w:t xml:space="preserve">All analytical data produced in compliance with the monitoring and testing requirements under the UIC Class I General Permit must be generated by a laboratory that the Texas Laboratory Accreditation Program (TLAP) has accredited under the National Environmental Laboratory Accreditation </w:t>
      </w:r>
      <w:r w:rsidRPr="001311C1">
        <w:rPr>
          <w:rFonts w:ascii="Lucida Bright" w:hAnsi="Lucida Bright"/>
          <w:sz w:val="22"/>
        </w:rPr>
        <w:lastRenderedPageBreak/>
        <w:t>Conference (NELAC) standard for matrices, methods, and parameters of analysis unless there is a TCEQ-approved exception.</w:t>
      </w:r>
    </w:p>
    <w:p w14:paraId="722DBE94" w14:textId="77777777" w:rsidR="00EA4768" w:rsidRPr="001311C1" w:rsidRDefault="00EA4768" w:rsidP="00690F82">
      <w:pPr>
        <w:pStyle w:val="OutlineLevel2"/>
        <w:spacing w:after="120"/>
        <w:jc w:val="left"/>
      </w:pPr>
      <w:r w:rsidRPr="001311C1">
        <w:t>A person must include with the NOI requesting coverage under the terms of the UIC Class I General Permit and with each NOC a fee of $100 for each disposal well.  A fee is not required for submission of an NOT.</w:t>
      </w:r>
    </w:p>
    <w:p w14:paraId="5FF52AFA" w14:textId="77777777" w:rsidR="00EA4768" w:rsidRPr="001311C1" w:rsidRDefault="00EA4768" w:rsidP="00690F82">
      <w:pPr>
        <w:pStyle w:val="OutlineLevel2"/>
        <w:spacing w:after="120"/>
        <w:jc w:val="left"/>
      </w:pPr>
      <w:r w:rsidRPr="001311C1">
        <w:t>A permittee authorized by the UIC Class I General Permit must pay annual facility and waste management fees according to Chapter 335, Subchapter J of this title (relating to Hazardous Waste Generation, Facility and Disposal Fee System).  These fees are consistent with fees charged for Class I wells authorized by an individual permit.</w:t>
      </w:r>
    </w:p>
    <w:p w14:paraId="5B7E925C" w14:textId="77777777" w:rsidR="00EA4768" w:rsidRPr="001311C1" w:rsidRDefault="00EA4768" w:rsidP="00690F82">
      <w:pPr>
        <w:pStyle w:val="OutlineLevel2"/>
        <w:spacing w:after="120"/>
        <w:jc w:val="left"/>
      </w:pPr>
      <w:r w:rsidRPr="001311C1">
        <w:t xml:space="preserve">The applicant will assure, in accordance with 30 TAC Chapter 37, Subchapter Q (relating to Financial Assurance for Underground Injection Control Wells), the resources necessary to close, plug and abandon the well(s) proposed to be authorized under the UIC Class I General Permit.  The amount for financial assurance and </w:t>
      </w:r>
      <w:proofErr w:type="gramStart"/>
      <w:r w:rsidRPr="001311C1">
        <w:t>the means by which</w:t>
      </w:r>
      <w:proofErr w:type="gramEnd"/>
      <w:r w:rsidRPr="001311C1">
        <w:t xml:space="preserve"> financial assurance will be secured must be provided in the NOI.</w:t>
      </w:r>
    </w:p>
    <w:p w14:paraId="21C1AF96" w14:textId="77777777" w:rsidR="00EA4768" w:rsidRPr="001311C1" w:rsidRDefault="00EA4768" w:rsidP="00690F82">
      <w:pPr>
        <w:pStyle w:val="OutlineLevel2"/>
        <w:spacing w:after="120"/>
        <w:jc w:val="left"/>
      </w:pPr>
      <w:r w:rsidRPr="001311C1">
        <w:t xml:space="preserve">The executive director, or duly authorized representative, may notify the permittee at any time that the written operating record, waste analysis plan, engineering plan, or closure plan does not meet one or more of the minimum requirements of the UIC Class I General Permit. Such notification must identify those provisions of the general permit that are not being met and must identify which provisions require modifications </w:t>
      </w:r>
      <w:proofErr w:type="gramStart"/>
      <w:r w:rsidRPr="001311C1">
        <w:t>in order to</w:t>
      </w:r>
      <w:proofErr w:type="gramEnd"/>
      <w:r w:rsidRPr="001311C1">
        <w:t xml:space="preserve"> meet the minimum requirements of the UIC Class I General Permit.  Within thirty (30) days of such notification, the permittee must make the required changes and must submit to the TCEQ a written certification that the requested changes have been made.</w:t>
      </w:r>
    </w:p>
    <w:p w14:paraId="1E79D101" w14:textId="77777777" w:rsidR="00EA4768" w:rsidRPr="001311C1" w:rsidRDefault="00EA4768" w:rsidP="00690F82">
      <w:pPr>
        <w:pStyle w:val="OutlineLevel2"/>
        <w:spacing w:after="120"/>
        <w:jc w:val="left"/>
      </w:pPr>
      <w:r w:rsidRPr="001311C1">
        <w:t>The UIC Class I General Permit also requires that the permittee amend the NOI by submitting an NOC whenever there is a change in the information submitted in the NOI; if the design, construction, completion, operation, testing or closure of the well are not effective in preventing the movement of fluids that could result in the pollution of a USDW; or following written notification from the executive director that the technical report does not meet one or more of the minimum requirements of the UIC Class I General Permit.</w:t>
      </w:r>
    </w:p>
    <w:p w14:paraId="4253E017" w14:textId="77777777" w:rsidR="00EA4768" w:rsidRPr="001311C1" w:rsidRDefault="00EA4768" w:rsidP="009E4DD0">
      <w:pPr>
        <w:pStyle w:val="OutlineLevel2"/>
        <w:jc w:val="left"/>
      </w:pPr>
      <w:r w:rsidRPr="001311C1">
        <w:t>The permittee is subject to administrative, civil, and criminal penalties, as applicable, under Chapter 7 of the TWC.</w:t>
      </w:r>
    </w:p>
    <w:p w14:paraId="26C8AC32"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XI.    Procedures for Final Decision</w:t>
      </w:r>
    </w:p>
    <w:p w14:paraId="7B82CBD5" w14:textId="77777777" w:rsidR="00EA4768" w:rsidRPr="001311C1" w:rsidRDefault="00EA4768" w:rsidP="00BA1936">
      <w:pPr>
        <w:pStyle w:val="OutlineLevel2"/>
        <w:widowControl w:val="0"/>
        <w:numPr>
          <w:ilvl w:val="0"/>
          <w:numId w:val="46"/>
        </w:numPr>
        <w:spacing w:after="120"/>
        <w:jc w:val="left"/>
        <w:rPr>
          <w:rFonts w:cs="Arial"/>
        </w:rPr>
      </w:pPr>
      <w:r w:rsidRPr="001311C1">
        <w:rPr>
          <w:rFonts w:cs="Arial"/>
        </w:rPr>
        <w:t xml:space="preserve">According to 30 TAC §331.202, when the renewed and/or amended UIC Class I General Permit is proposed, notice must be published in the </w:t>
      </w:r>
      <w:r w:rsidRPr="001311C1">
        <w:rPr>
          <w:rFonts w:cs="Arial"/>
          <w:i/>
          <w:iCs/>
        </w:rPr>
        <w:t xml:space="preserve">Texas Register </w:t>
      </w:r>
      <w:r w:rsidRPr="001311C1">
        <w:rPr>
          <w:rFonts w:cs="Arial"/>
        </w:rPr>
        <w:t xml:space="preserve">and in </w:t>
      </w:r>
      <w:r w:rsidRPr="001311C1">
        <w:rPr>
          <w:rFonts w:cs="Arial"/>
        </w:rPr>
        <w:lastRenderedPageBreak/>
        <w:t xml:space="preserve">at least one newspaper of statewide or regional circulation.  The commission may publish notice in additional newspapers of statewide or regional circulation.  After notice of the UIC Class I General Permit is published in the </w:t>
      </w:r>
      <w:r w:rsidRPr="001311C1">
        <w:rPr>
          <w:rFonts w:cs="Arial"/>
          <w:i/>
        </w:rPr>
        <w:t>Texas Register</w:t>
      </w:r>
      <w:r w:rsidRPr="001311C1">
        <w:rPr>
          <w:rFonts w:cs="Arial"/>
        </w:rPr>
        <w:t xml:space="preserve"> and the newspaper(s), the public will have 30 days to provide public comment on the proposed renewed and amended UIC Class I General Permit.</w:t>
      </w:r>
    </w:p>
    <w:p w14:paraId="63D2AA21" w14:textId="77777777" w:rsidR="00EA4768" w:rsidRPr="001311C1" w:rsidRDefault="00EA4768" w:rsidP="001311C1">
      <w:pPr>
        <w:pStyle w:val="OutlineLevel2"/>
        <w:jc w:val="left"/>
      </w:pPr>
      <w:r w:rsidRPr="001311C1">
        <w:t xml:space="preserve">Any person, agency, or association may make a request for a public meeting on the proposed renewed and amended UIC Class I General Permit to the executive director of the TCEQ before the end of the public comment period.  A public meeting will be granted when the executive director or commission determines, </w:t>
      </w:r>
      <w:proofErr w:type="gramStart"/>
      <w:r w:rsidRPr="001311C1">
        <w:t>on the basis of</w:t>
      </w:r>
      <w:proofErr w:type="gramEnd"/>
      <w:r w:rsidRPr="001311C1">
        <w:t xml:space="preserve"> requests, that a significant degree of public interest in the proposed renewed and amended UIC Class I General Permit exists.  A public meeting is intended for the taking of public comment and is not a contested case proceeding under the Administrative Procedure Act.  The executive director may call and conduct public meetings in response to public comment.</w:t>
      </w:r>
    </w:p>
    <w:p w14:paraId="23D5A8A7" w14:textId="77777777" w:rsidR="00EA4768" w:rsidRPr="001311C1" w:rsidRDefault="00EA4768" w:rsidP="00BA1936">
      <w:pPr>
        <w:pStyle w:val="ListParagraph"/>
        <w:numPr>
          <w:ilvl w:val="0"/>
          <w:numId w:val="47"/>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1080"/>
        <w:rPr>
          <w:rFonts w:eastAsia="Calibri" w:cs="Arial"/>
          <w:szCs w:val="22"/>
        </w:rPr>
      </w:pPr>
      <w:r w:rsidRPr="001311C1">
        <w:rPr>
          <w:rFonts w:eastAsia="Calibri" w:cs="Arial"/>
          <w:szCs w:val="22"/>
        </w:rPr>
        <w:t>If the executive director calls a public meeting, the commission will give notice of the date, time, and place of the meeting, as required by 30 TAC §§39.11(7) and 331.202(d).  The executive director must prepare a response to all significant public comments on the proposed renewed and amended UIC Class I General Permit raised during the public comment period.  The executive director must make the response available to the public.  The proposed renewed and amended UIC Class I General Permit will then be filed with the commission to consider final authorization of the permit.  The executive director’s response to public comment must be made available to the public and filed with the Chief Clerk at least ten days before the commission acts on the proposed renewed and amended UIC Class I General Permit.</w:t>
      </w:r>
    </w:p>
    <w:p w14:paraId="56B3E163" w14:textId="77777777" w:rsidR="00EA4768" w:rsidRPr="001311C1" w:rsidRDefault="00EA4768" w:rsidP="00BA1936">
      <w:pPr>
        <w:pStyle w:val="ListParagraph"/>
        <w:numPr>
          <w:ilvl w:val="0"/>
          <w:numId w:val="48"/>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1080"/>
        <w:rPr>
          <w:rFonts w:eastAsia="Calibri" w:cs="Arial"/>
          <w:szCs w:val="22"/>
        </w:rPr>
      </w:pPr>
      <w:r w:rsidRPr="001311C1">
        <w:rPr>
          <w:rFonts w:eastAsia="Calibri" w:cs="Arial"/>
          <w:szCs w:val="22"/>
        </w:rPr>
        <w:t xml:space="preserve">The UIC Class I General Permit, and injection wells authorized under the UIC Class I General Permit, are not subject to the opportunity for a contested case hearing, </w:t>
      </w:r>
      <w:proofErr w:type="gramStart"/>
      <w:r w:rsidRPr="001311C1">
        <w:rPr>
          <w:rFonts w:eastAsia="Calibri" w:cs="Arial"/>
          <w:szCs w:val="22"/>
        </w:rPr>
        <w:t>as long as</w:t>
      </w:r>
      <w:proofErr w:type="gramEnd"/>
      <w:r w:rsidRPr="001311C1">
        <w:rPr>
          <w:rFonts w:eastAsia="Calibri" w:cs="Arial"/>
          <w:szCs w:val="22"/>
        </w:rPr>
        <w:t xml:space="preserve"> all requirements for a Class I injection well permit are met according to 30 TAC §§50.113(d), 55.101(f) and 55.201(i).  Public notice of, and the opportunity to comment on, the UIC Class I General Permit is not affected.</w:t>
      </w:r>
    </w:p>
    <w:p w14:paraId="4DDA812F" w14:textId="77777777" w:rsidR="00EA4768" w:rsidRPr="001311C1" w:rsidRDefault="00EA4768" w:rsidP="00EA4768">
      <w:pPr>
        <w:widowControl w:val="0"/>
        <w:tabs>
          <w:tab w:val="left" w:pos="720"/>
          <w:tab w:val="left" w:pos="2160"/>
        </w:tabs>
        <w:spacing w:before="480" w:after="240"/>
        <w:jc w:val="both"/>
        <w:rPr>
          <w:rFonts w:ascii="Lucida Bright" w:hAnsi="Lucida Bright"/>
          <w:b/>
          <w:bCs/>
          <w:sz w:val="22"/>
          <w:szCs w:val="22"/>
        </w:rPr>
      </w:pPr>
      <w:r w:rsidRPr="001311C1">
        <w:rPr>
          <w:rFonts w:ascii="Lucida Bright" w:hAnsi="Lucida Bright"/>
          <w:b/>
          <w:bCs/>
          <w:sz w:val="22"/>
          <w:szCs w:val="22"/>
        </w:rPr>
        <w:t>XII. Administrative Record</w:t>
      </w:r>
    </w:p>
    <w:p w14:paraId="529AC955" w14:textId="77777777" w:rsidR="00EA4768" w:rsidRPr="001311C1" w:rsidRDefault="00EA4768" w:rsidP="00EA4768">
      <w:pPr>
        <w:widowControl w:val="0"/>
        <w:spacing w:after="120" w:line="276" w:lineRule="auto"/>
        <w:rPr>
          <w:rFonts w:ascii="Lucida Bright" w:eastAsia="Calibri" w:hAnsi="Lucida Bright" w:cs="Arial"/>
          <w:sz w:val="22"/>
          <w:szCs w:val="22"/>
        </w:rPr>
      </w:pPr>
      <w:r w:rsidRPr="001311C1">
        <w:rPr>
          <w:rFonts w:ascii="Lucida Bright" w:eastAsia="Calibri" w:hAnsi="Lucida Bright" w:cs="Arial"/>
          <w:sz w:val="22"/>
          <w:szCs w:val="22"/>
        </w:rPr>
        <w:t>The following is a list of the fact sheet citations to applicable statutory or regulatory provisions and appropriate supporting references.</w:t>
      </w:r>
    </w:p>
    <w:p w14:paraId="2A72AF4D" w14:textId="77777777" w:rsidR="001311C1" w:rsidRPr="001311C1" w:rsidRDefault="00EA4768" w:rsidP="00BA1936">
      <w:pPr>
        <w:pStyle w:val="ListParagraph"/>
        <w:numPr>
          <w:ilvl w:val="0"/>
          <w:numId w:val="49"/>
        </w:numPr>
        <w:tabs>
          <w:tab w:val="num" w:pos="108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0"/>
        <w:jc w:val="both"/>
        <w:rPr>
          <w:rFonts w:eastAsia="Calibri" w:cs="Arial"/>
          <w:szCs w:val="22"/>
        </w:rPr>
      </w:pPr>
      <w:r w:rsidRPr="001311C1">
        <w:rPr>
          <w:rFonts w:eastAsia="Calibri" w:cs="Arial"/>
          <w:szCs w:val="22"/>
        </w:rPr>
        <w:t>Texas Water Code</w:t>
      </w:r>
    </w:p>
    <w:p w14:paraId="575182C6" w14:textId="0E7B4780" w:rsidR="00EA4768" w:rsidRPr="001311C1" w:rsidRDefault="00EA4768" w:rsidP="001311C1">
      <w:pPr>
        <w:pStyle w:val="ListParagraph"/>
        <w:tabs>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0"/>
        <w:ind w:left="1440"/>
        <w:jc w:val="both"/>
        <w:rPr>
          <w:rFonts w:eastAsia="Calibri" w:cs="Arial"/>
          <w:szCs w:val="22"/>
        </w:rPr>
      </w:pPr>
      <w:r w:rsidRPr="001311C1">
        <w:rPr>
          <w:rFonts w:eastAsia="Calibri" w:cs="Arial"/>
          <w:szCs w:val="22"/>
        </w:rPr>
        <w:t>Sections 27.011 and 27.025</w:t>
      </w:r>
    </w:p>
    <w:p w14:paraId="6D12D93E" w14:textId="77777777" w:rsidR="00EA4768" w:rsidRPr="001311C1" w:rsidRDefault="00EA4768" w:rsidP="00BA1936">
      <w:pPr>
        <w:pStyle w:val="ListParagraph"/>
        <w:numPr>
          <w:ilvl w:val="0"/>
          <w:numId w:val="49"/>
        </w:numPr>
        <w:tabs>
          <w:tab w:val="num" w:pos="108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120"/>
        <w:jc w:val="both"/>
        <w:rPr>
          <w:rFonts w:eastAsia="Calibri" w:cs="Arial"/>
          <w:szCs w:val="22"/>
        </w:rPr>
      </w:pPr>
      <w:r w:rsidRPr="001311C1">
        <w:rPr>
          <w:rFonts w:eastAsia="Calibri" w:cs="Arial"/>
          <w:szCs w:val="22"/>
        </w:rPr>
        <w:t>Texas Health and Safety Code</w:t>
      </w:r>
    </w:p>
    <w:p w14:paraId="07250E45" w14:textId="77777777" w:rsidR="00EA4768" w:rsidRPr="001311C1" w:rsidRDefault="00EA4768" w:rsidP="00690F82">
      <w:pPr>
        <w:widowControl w:val="0"/>
        <w:tabs>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ind w:left="1440"/>
        <w:jc w:val="both"/>
        <w:rPr>
          <w:rFonts w:ascii="Lucida Bright" w:eastAsia="Calibri" w:hAnsi="Lucida Bright" w:cs="Arial"/>
          <w:sz w:val="22"/>
          <w:szCs w:val="22"/>
        </w:rPr>
      </w:pPr>
      <w:r w:rsidRPr="001311C1">
        <w:rPr>
          <w:rFonts w:ascii="Lucida Bright" w:eastAsia="Calibri" w:hAnsi="Lucida Bright" w:cs="Arial"/>
          <w:sz w:val="22"/>
          <w:szCs w:val="22"/>
        </w:rPr>
        <w:t>Sections 361.086, 401.003 and 401.106</w:t>
      </w:r>
    </w:p>
    <w:p w14:paraId="7CF13794" w14:textId="77777777" w:rsidR="001311C1" w:rsidRPr="001311C1" w:rsidRDefault="00EA4768" w:rsidP="00BA1936">
      <w:pPr>
        <w:pStyle w:val="ListParagraph"/>
        <w:numPr>
          <w:ilvl w:val="0"/>
          <w:numId w:val="49"/>
        </w:numPr>
        <w:tabs>
          <w:tab w:val="num" w:pos="108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0"/>
        <w:jc w:val="both"/>
        <w:rPr>
          <w:rFonts w:eastAsia="Calibri" w:cs="Arial"/>
          <w:szCs w:val="22"/>
        </w:rPr>
      </w:pPr>
      <w:r w:rsidRPr="001311C1">
        <w:rPr>
          <w:rFonts w:eastAsia="Calibri" w:cs="Arial"/>
          <w:szCs w:val="22"/>
        </w:rPr>
        <w:lastRenderedPageBreak/>
        <w:t>TCEQ Rules</w:t>
      </w:r>
    </w:p>
    <w:p w14:paraId="4A1C2721" w14:textId="11A83475" w:rsidR="00EA4768" w:rsidRPr="001311C1" w:rsidRDefault="00EA4768" w:rsidP="001311C1">
      <w:pPr>
        <w:pStyle w:val="ListParagraph"/>
        <w:tabs>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0"/>
        <w:ind w:left="1440"/>
        <w:jc w:val="both"/>
        <w:rPr>
          <w:rFonts w:eastAsia="Calibri" w:cs="Arial"/>
          <w:szCs w:val="22"/>
        </w:rPr>
      </w:pPr>
      <w:r w:rsidRPr="001311C1">
        <w:rPr>
          <w:rFonts w:eastAsia="Calibri" w:cs="Arial"/>
          <w:szCs w:val="22"/>
        </w:rPr>
        <w:t>30 TAC Chapters 37, 39, 50, 55, 305 and 331</w:t>
      </w:r>
    </w:p>
    <w:p w14:paraId="3515FEC5" w14:textId="77777777" w:rsidR="00EA4768" w:rsidRPr="001311C1" w:rsidRDefault="00EA4768" w:rsidP="00BA1936">
      <w:pPr>
        <w:pStyle w:val="ListParagraph"/>
        <w:numPr>
          <w:ilvl w:val="0"/>
          <w:numId w:val="49"/>
        </w:numPr>
        <w:tabs>
          <w:tab w:val="num" w:pos="108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120"/>
        <w:jc w:val="both"/>
        <w:rPr>
          <w:rFonts w:eastAsia="Calibri" w:cs="Arial"/>
          <w:szCs w:val="22"/>
        </w:rPr>
      </w:pPr>
      <w:r w:rsidRPr="001311C1">
        <w:rPr>
          <w:rFonts w:eastAsia="Calibri" w:cs="Arial"/>
          <w:szCs w:val="22"/>
        </w:rPr>
        <w:t>40 Code of Federal Regulations</w:t>
      </w:r>
    </w:p>
    <w:p w14:paraId="27DBA6FB" w14:textId="77777777" w:rsidR="00EA4768" w:rsidRPr="001311C1" w:rsidRDefault="00EA4768" w:rsidP="001311C1">
      <w:pPr>
        <w:widowControl w:val="0"/>
        <w:tabs>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line="276" w:lineRule="auto"/>
        <w:ind w:left="1440"/>
        <w:jc w:val="both"/>
        <w:rPr>
          <w:rFonts w:ascii="Lucida Bright" w:eastAsia="Calibri" w:hAnsi="Lucida Bright" w:cs="Arial"/>
          <w:sz w:val="22"/>
          <w:szCs w:val="22"/>
        </w:rPr>
      </w:pPr>
      <w:r w:rsidRPr="001311C1">
        <w:rPr>
          <w:rFonts w:ascii="Lucida Bright" w:eastAsia="Calibri" w:hAnsi="Lucida Bright" w:cs="Arial"/>
          <w:sz w:val="22"/>
          <w:szCs w:val="22"/>
        </w:rPr>
        <w:t>Chapter 148</w:t>
      </w:r>
    </w:p>
    <w:p w14:paraId="79BB2C96" w14:textId="6C3D471B" w:rsidR="00FB63AA" w:rsidRPr="001311C1" w:rsidRDefault="00FB63AA" w:rsidP="008C66C5">
      <w:pPr>
        <w:pStyle w:val="ListParagraph"/>
        <w:rPr>
          <w:szCs w:val="22"/>
        </w:rPr>
      </w:pPr>
    </w:p>
    <w:sectPr w:rsidR="00FB63AA" w:rsidRPr="001311C1" w:rsidSect="00C6797D">
      <w:headerReference w:type="default" r:id="rId19"/>
      <w:footerReference w:type="default" r:id="rId20"/>
      <w:headerReference w:type="first" r:id="rId21"/>
      <w:pgSz w:w="12240" w:h="15840"/>
      <w:pgMar w:top="1152" w:right="1152" w:bottom="1152" w:left="1152" w:header="749" w:footer="7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FA50" w14:textId="77777777" w:rsidR="00BA1936" w:rsidRDefault="00BA1936">
      <w:r>
        <w:separator/>
      </w:r>
    </w:p>
    <w:p w14:paraId="2E4184A3" w14:textId="77777777" w:rsidR="00BA1936" w:rsidRDefault="00BA1936"/>
  </w:endnote>
  <w:endnote w:type="continuationSeparator" w:id="0">
    <w:p w14:paraId="2B4D822A" w14:textId="77777777" w:rsidR="00BA1936" w:rsidRDefault="00BA1936">
      <w:r>
        <w:continuationSeparator/>
      </w:r>
    </w:p>
    <w:p w14:paraId="57875DF9" w14:textId="77777777" w:rsidR="00BA1936" w:rsidRDefault="00BA1936"/>
  </w:endnote>
  <w:endnote w:type="continuationNotice" w:id="1">
    <w:p w14:paraId="7ADA7824" w14:textId="77777777" w:rsidR="00BA1936" w:rsidRDefault="00BA1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D137" w14:textId="77777777" w:rsidR="003B1349" w:rsidRPr="00813D62" w:rsidRDefault="003B1349" w:rsidP="004267B7">
    <w:pPr>
      <w:pStyle w:val="Footer"/>
      <w:jc w:val="right"/>
    </w:pPr>
    <w:r w:rsidRPr="00813D62">
      <w:t xml:space="preserve">Page </w:t>
    </w:r>
    <w:r w:rsidRPr="00813D62">
      <w:fldChar w:fldCharType="begin"/>
    </w:r>
    <w:r w:rsidRPr="00813D62">
      <w:instrText xml:space="preserve"> PAGE </w:instrText>
    </w:r>
    <w:r w:rsidRPr="00813D62">
      <w:fldChar w:fldCharType="separate"/>
    </w:r>
    <w:r w:rsidR="005372E7">
      <w:rPr>
        <w:noProof/>
      </w:rPr>
      <w:t>2</w:t>
    </w:r>
    <w:r w:rsidRPr="00813D62">
      <w:fldChar w:fldCharType="end"/>
    </w:r>
    <w:r w:rsidRPr="00813D62">
      <w:t xml:space="preserve"> of </w:t>
    </w:r>
    <w:r w:rsidR="003F72AF">
      <w:fldChar w:fldCharType="begin"/>
    </w:r>
    <w:r w:rsidR="003F72AF">
      <w:instrText xml:space="preserve"> NUMPAGES </w:instrText>
    </w:r>
    <w:r w:rsidR="003F72AF">
      <w:fldChar w:fldCharType="separate"/>
    </w:r>
    <w:r w:rsidR="005372E7">
      <w:rPr>
        <w:noProof/>
      </w:rPr>
      <w:t>23</w:t>
    </w:r>
    <w:r w:rsidR="003F72AF">
      <w:rPr>
        <w:noProof/>
      </w:rPr>
      <w:fldChar w:fldCharType="end"/>
    </w:r>
  </w:p>
  <w:p w14:paraId="1AC9ECD8" w14:textId="77777777" w:rsidR="003B1349" w:rsidRPr="004267B7" w:rsidRDefault="003B1349" w:rsidP="00426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5902" w14:textId="18021588" w:rsidR="003B1349" w:rsidRPr="00813D62" w:rsidRDefault="003B1349" w:rsidP="008C66C5">
    <w:pPr>
      <w:pStyle w:val="Footer"/>
      <w:tabs>
        <w:tab w:val="clear" w:pos="4320"/>
      </w:tabs>
      <w:jc w:val="right"/>
    </w:pPr>
    <w:r w:rsidRPr="00813D62">
      <w:tab/>
      <w:t xml:space="preserve">Page </w:t>
    </w:r>
    <w:r w:rsidRPr="00813D62">
      <w:fldChar w:fldCharType="begin"/>
    </w:r>
    <w:r w:rsidRPr="00813D62">
      <w:instrText xml:space="preserve"> PAGE </w:instrText>
    </w:r>
    <w:r w:rsidRPr="00813D62">
      <w:fldChar w:fldCharType="separate"/>
    </w:r>
    <w:r w:rsidR="005372E7">
      <w:rPr>
        <w:noProof/>
      </w:rPr>
      <w:t>23</w:t>
    </w:r>
    <w:r w:rsidRPr="00813D62">
      <w:fldChar w:fldCharType="end"/>
    </w:r>
    <w:r w:rsidRPr="00813D62">
      <w:t xml:space="preserve"> of </w:t>
    </w:r>
    <w:r w:rsidR="003F72AF">
      <w:fldChar w:fldCharType="begin"/>
    </w:r>
    <w:r w:rsidR="003F72AF">
      <w:instrText xml:space="preserve"> NUMPAGES </w:instrText>
    </w:r>
    <w:r w:rsidR="003F72AF">
      <w:fldChar w:fldCharType="separate"/>
    </w:r>
    <w:r w:rsidR="005372E7">
      <w:rPr>
        <w:noProof/>
      </w:rPr>
      <w:t>23</w:t>
    </w:r>
    <w:r w:rsidR="003F72AF">
      <w:rPr>
        <w:noProof/>
      </w:rPr>
      <w:fldChar w:fldCharType="end"/>
    </w:r>
  </w:p>
  <w:p w14:paraId="2DCA5641" w14:textId="77777777" w:rsidR="003B1349" w:rsidRDefault="003B13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6751"/>
      <w:docPartObj>
        <w:docPartGallery w:val="Page Numbers (Bottom of Page)"/>
        <w:docPartUnique/>
      </w:docPartObj>
    </w:sdtPr>
    <w:sdtEndPr/>
    <w:sdtContent>
      <w:sdt>
        <w:sdtPr>
          <w:id w:val="98381352"/>
          <w:docPartObj>
            <w:docPartGallery w:val="Page Numbers (Top of Page)"/>
            <w:docPartUnique/>
          </w:docPartObj>
        </w:sdtPr>
        <w:sdtEndPr/>
        <w:sdtContent>
          <w:p w14:paraId="6E6672A5" w14:textId="77777777" w:rsidR="00F6437A" w:rsidRPr="00152F2F" w:rsidRDefault="00643EEE" w:rsidP="000B6900">
            <w:pPr>
              <w:pStyle w:val="PageXofY"/>
            </w:pPr>
            <w:r w:rsidRPr="00152F2F">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11</w:t>
            </w:r>
            <w:r>
              <w:rPr>
                <w:noProof/>
                <w:color w:val="2B579A"/>
                <w:shd w:val="clear" w:color="auto" w:fill="E6E6E6"/>
              </w:rPr>
              <w:fldChar w:fldCharType="end"/>
            </w:r>
            <w:r w:rsidRPr="00152F2F">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11</w:t>
            </w:r>
            <w:r>
              <w:rPr>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D4AD" w14:textId="77777777" w:rsidR="00BA1936" w:rsidRDefault="00BA1936">
      <w:r>
        <w:separator/>
      </w:r>
    </w:p>
    <w:p w14:paraId="487AD421" w14:textId="77777777" w:rsidR="00BA1936" w:rsidRDefault="00BA1936"/>
  </w:footnote>
  <w:footnote w:type="continuationSeparator" w:id="0">
    <w:p w14:paraId="55DC9F28" w14:textId="77777777" w:rsidR="00BA1936" w:rsidRDefault="00BA1936">
      <w:r>
        <w:continuationSeparator/>
      </w:r>
    </w:p>
    <w:p w14:paraId="0BD2947B" w14:textId="77777777" w:rsidR="00BA1936" w:rsidRDefault="00BA1936"/>
  </w:footnote>
  <w:footnote w:type="continuationNotice" w:id="1">
    <w:p w14:paraId="40789F86" w14:textId="77777777" w:rsidR="00BA1936" w:rsidRDefault="00BA1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2A03" w14:textId="77777777" w:rsidR="00C85A35" w:rsidRPr="0049238B" w:rsidRDefault="00C85A35" w:rsidP="00C85A35">
    <w:pPr>
      <w:pStyle w:val="Header"/>
    </w:pPr>
    <w:r w:rsidRPr="0049238B">
      <w:t>Class I Underground Injection Control General Permit No. WDWG010000</w:t>
    </w:r>
  </w:p>
  <w:p w14:paraId="4CF02349" w14:textId="77777777" w:rsidR="00C73B2E" w:rsidRDefault="00C73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8611" w14:textId="77777777" w:rsidR="003B1349" w:rsidRDefault="003B1349">
    <w:pPr>
      <w:pStyle w:val="Header"/>
    </w:pPr>
  </w:p>
  <w:p w14:paraId="1ED5015C" w14:textId="77777777" w:rsidR="003B1349" w:rsidRDefault="003B13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393E" w14:textId="77777777" w:rsidR="003B1349" w:rsidRPr="0049238B" w:rsidRDefault="003B1349" w:rsidP="0049238B">
    <w:pPr>
      <w:pStyle w:val="Header"/>
    </w:pPr>
    <w:r w:rsidRPr="0049238B">
      <w:t>Class I Underground Injection Control General Permit No. WDWG010000</w:t>
    </w:r>
  </w:p>
  <w:p w14:paraId="620BBD30" w14:textId="77777777" w:rsidR="003B1349" w:rsidRDefault="003B13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A12C" w14:textId="77777777" w:rsidR="003B1349" w:rsidRDefault="003B13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B5BD" w14:textId="77777777" w:rsidR="00F6437A" w:rsidRDefault="00643EEE" w:rsidP="006B6B69">
    <w:pPr>
      <w:pStyle w:val="Header"/>
      <w:rPr>
        <w:szCs w:val="20"/>
      </w:rPr>
    </w:pPr>
    <w:r>
      <w:rPr>
        <w:szCs w:val="20"/>
      </w:rPr>
      <w:t>Fact Sheet and Executive Director's Preliminary Decision</w:t>
    </w:r>
  </w:p>
  <w:p w14:paraId="46C5E33C" w14:textId="77777777" w:rsidR="00F6437A" w:rsidRDefault="00643EEE" w:rsidP="006B6B69">
    <w:pPr>
      <w:pStyle w:val="Header"/>
      <w:rPr>
        <w:szCs w:val="20"/>
      </w:rPr>
    </w:pPr>
    <w:r>
      <w:rPr>
        <w:szCs w:val="20"/>
      </w:rPr>
      <w:t>Reissuance of UIC Class I General Permit No. WDWG010000</w:t>
    </w:r>
  </w:p>
  <w:p w14:paraId="30AB4AE4" w14:textId="77777777" w:rsidR="00F6437A" w:rsidRDefault="00BA1936" w:rsidP="006B6B69">
    <w:pPr>
      <w:pStyle w:val="Header"/>
      <w:rPr>
        <w:szCs w:val="20"/>
      </w:rPr>
    </w:pPr>
  </w:p>
  <w:p w14:paraId="3664DB5B" w14:textId="77777777" w:rsidR="00F6437A" w:rsidRPr="006B6B69" w:rsidRDefault="00BA1936" w:rsidP="006B6B69">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4A8" w14:textId="77777777" w:rsidR="00F6437A" w:rsidRPr="001311C1" w:rsidRDefault="00643EEE" w:rsidP="002A1E26">
    <w:pPr>
      <w:pStyle w:val="Header-FirstPage"/>
      <w:rPr>
        <w:rFonts w:ascii="Lucida Bright" w:hAnsi="Lucida Bright"/>
        <w:sz w:val="22"/>
        <w:szCs w:val="22"/>
      </w:rPr>
    </w:pPr>
    <w:r w:rsidRPr="001311C1">
      <w:rPr>
        <w:rFonts w:ascii="Lucida Bright" w:hAnsi="Lucida Bright"/>
        <w:sz w:val="22"/>
        <w:szCs w:val="22"/>
      </w:rPr>
      <w:t>FACT SHEET AND EXECUTIVE DIRECTOR'S PRELIMINARY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16274CA"/>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89A1DFB"/>
    <w:multiLevelType w:val="hybridMultilevel"/>
    <w:tmpl w:val="BB5ADB9A"/>
    <w:lvl w:ilvl="0" w:tplc="1ECE20A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65E0"/>
    <w:multiLevelType w:val="hybridMultilevel"/>
    <w:tmpl w:val="1C52FE38"/>
    <w:lvl w:ilvl="0" w:tplc="5930075A">
      <w:start w:val="1"/>
      <w:numFmt w:val="decimal"/>
      <w:pStyle w:val="OutlineLevel3"/>
      <w:lvlText w:val="%1."/>
      <w:lvlJc w:val="left"/>
      <w:pPr>
        <w:ind w:left="1800" w:hanging="360"/>
      </w:pPr>
      <w:rPr>
        <w:rFonts w:ascii="Georgia" w:hAnsi="Georgia"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BD3EB3"/>
    <w:multiLevelType w:val="hybridMultilevel"/>
    <w:tmpl w:val="840A11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3218D"/>
    <w:multiLevelType w:val="hybridMultilevel"/>
    <w:tmpl w:val="183E4F1C"/>
    <w:lvl w:ilvl="0" w:tplc="BF36F8DE">
      <w:start w:val="1"/>
      <w:numFmt w:val="lowerLetter"/>
      <w:pStyle w:val="List-LowerCaseAlpha"/>
      <w:lvlText w:val="%1."/>
      <w:lvlJc w:val="left"/>
      <w:pPr>
        <w:ind w:left="108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D078AD"/>
    <w:multiLevelType w:val="hybridMultilevel"/>
    <w:tmpl w:val="613A78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E13CD4"/>
    <w:multiLevelType w:val="hybridMultilevel"/>
    <w:tmpl w:val="B7E445E2"/>
    <w:lvl w:ilvl="0" w:tplc="6CE613F8">
      <w:start w:val="1"/>
      <w:numFmt w:val="upperLetter"/>
      <w:pStyle w:val="OutlineLevel2-1stlineofmultiplelines"/>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C5559"/>
    <w:multiLevelType w:val="hybridMultilevel"/>
    <w:tmpl w:val="C0703A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605FDB"/>
    <w:multiLevelType w:val="hybridMultilevel"/>
    <w:tmpl w:val="2BEA1ED4"/>
    <w:lvl w:ilvl="0" w:tplc="087E460A">
      <w:start w:val="1"/>
      <w:numFmt w:val="decimal"/>
      <w:pStyle w:val="List-arabicnumbers"/>
      <w:lvlText w:val="%1."/>
      <w:lvlJc w:val="left"/>
      <w:pPr>
        <w:ind w:left="1080" w:hanging="360"/>
      </w:pPr>
      <w:rPr>
        <w:rFonts w:ascii="Georgia" w:hAnsi="Georgia"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B6BE7"/>
    <w:multiLevelType w:val="hybridMultilevel"/>
    <w:tmpl w:val="762033FC"/>
    <w:lvl w:ilvl="0" w:tplc="217C09A4">
      <w:start w:val="1"/>
      <w:numFmt w:val="decimal"/>
      <w:pStyle w:val="Level1"/>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pStyle w:val="Level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AF315A"/>
    <w:multiLevelType w:val="hybridMultilevel"/>
    <w:tmpl w:val="D8BE9E46"/>
    <w:lvl w:ilvl="0" w:tplc="217C09A4">
      <w:start w:val="1"/>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rPr>
        <w:rFonts w:hint="default"/>
        <w:b w:val="0"/>
        <w:i w:val="0"/>
        <w:sz w:val="24"/>
      </w:rPr>
    </w:lvl>
    <w:lvl w:ilvl="2" w:tplc="217C09A4">
      <w:start w:val="1"/>
      <w:numFmt w:val="decimal"/>
      <w:lvlText w:val="%3."/>
      <w:lvlJc w:val="left"/>
      <w:pPr>
        <w:tabs>
          <w:tab w:val="num" w:pos="2340"/>
        </w:tabs>
        <w:ind w:left="2340" w:hanging="360"/>
      </w:pPr>
      <w:rPr>
        <w:rFonts w:ascii="Times New Roman" w:hAnsi="Times New Roman" w:hint="default"/>
        <w:b w:val="0"/>
        <w:i w:val="0"/>
        <w:sz w:val="24"/>
      </w:rPr>
    </w:lvl>
    <w:lvl w:ilvl="3" w:tplc="0409000F" w:tentative="1">
      <w:start w:val="1"/>
      <w:numFmt w:val="decimal"/>
      <w:pStyle w:val="Level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5B40CF"/>
    <w:multiLevelType w:val="hybridMultilevel"/>
    <w:tmpl w:val="D61C9FD2"/>
    <w:lvl w:ilvl="0" w:tplc="FE4EB25E">
      <w:start w:val="1"/>
      <w:numFmt w:val="upperLetter"/>
      <w:pStyle w:val="OutlineLevel2"/>
      <w:lvlText w:val="%1."/>
      <w:lvlJc w:val="left"/>
      <w:pPr>
        <w:ind w:left="1080" w:hanging="360"/>
      </w:pPr>
      <w:rPr>
        <w:rFonts w:ascii="Georgia" w:hAnsi="Georgia" w:hint="default"/>
        <w:b w:val="0"/>
        <w:i w:val="0"/>
        <w:sz w:val="24"/>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63C30649"/>
    <w:multiLevelType w:val="hybridMultilevel"/>
    <w:tmpl w:val="8D36F18A"/>
    <w:lvl w:ilvl="0" w:tplc="217C09A4">
      <w:start w:val="1"/>
      <w:numFmt w:val="decimal"/>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Level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EF7610"/>
    <w:multiLevelType w:val="hybridMultilevel"/>
    <w:tmpl w:val="0BB45F5E"/>
    <w:lvl w:ilvl="0" w:tplc="C5222DB4">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E4F78"/>
    <w:multiLevelType w:val="hybridMultilevel"/>
    <w:tmpl w:val="ECAC2082"/>
    <w:lvl w:ilvl="0" w:tplc="6964A4B6">
      <w:start w:val="1"/>
      <w:numFmt w:val="lowerRoman"/>
      <w:pStyle w:val="List-LowerCasei"/>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0"/>
  </w:num>
  <w:num w:numId="3">
    <w:abstractNumId w:val="9"/>
  </w:num>
  <w:num w:numId="4">
    <w:abstractNumId w:val="8"/>
  </w:num>
  <w:num w:numId="5">
    <w:abstractNumId w:val="4"/>
  </w:num>
  <w:num w:numId="6">
    <w:abstractNumId w:val="8"/>
    <w:lvlOverride w:ilvl="0">
      <w:startOverride w:val="1"/>
    </w:lvlOverride>
  </w:num>
  <w:num w:numId="7">
    <w:abstractNumId w:val="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4"/>
    <w:lvlOverride w:ilvl="0">
      <w:startOverride w:val="1"/>
    </w:lvlOverride>
  </w:num>
  <w:num w:numId="11">
    <w:abstractNumId w:val="8"/>
    <w:lvlOverride w:ilvl="0">
      <w:startOverride w:val="1"/>
    </w:lvlOverride>
  </w:num>
  <w:num w:numId="12">
    <w:abstractNumId w:val="4"/>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4"/>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14"/>
    <w:lvlOverride w:ilvl="0">
      <w:startOverride w:val="1"/>
    </w:lvlOverride>
  </w:num>
  <w:num w:numId="25">
    <w:abstractNumId w:val="4"/>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4"/>
    <w:lvlOverride w:ilvl="0">
      <w:startOverride w:val="1"/>
    </w:lvlOverride>
  </w:num>
  <w:num w:numId="31">
    <w:abstractNumId w:val="8"/>
    <w:lvlOverride w:ilvl="0">
      <w:startOverride w:val="1"/>
    </w:lvlOverride>
  </w:num>
  <w:num w:numId="32">
    <w:abstractNumId w:val="4"/>
    <w:lvlOverride w:ilvl="0">
      <w:startOverride w:val="1"/>
    </w:lvlOverride>
  </w:num>
  <w:num w:numId="33">
    <w:abstractNumId w:val="1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8"/>
    <w:lvlOverride w:ilvl="0">
      <w:startOverride w:val="1"/>
    </w:lvlOverride>
  </w:num>
  <w:num w:numId="37">
    <w:abstractNumId w:val="11"/>
    <w:lvlOverride w:ilvl="0">
      <w:startOverride w:val="1"/>
    </w:lvlOverride>
  </w:num>
  <w:num w:numId="38">
    <w:abstractNumId w:val="6"/>
  </w:num>
  <w:num w:numId="39">
    <w:abstractNumId w:val="2"/>
  </w:num>
  <w:num w:numId="40">
    <w:abstractNumId w:val="3"/>
  </w:num>
  <w:num w:numId="41">
    <w:abstractNumId w:val="7"/>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num>
  <w:num w:numId="46">
    <w:abstractNumId w:val="11"/>
    <w:lvlOverride w:ilvl="0">
      <w:startOverride w:val="1"/>
    </w:lvlOverride>
  </w:num>
  <w:num w:numId="47">
    <w:abstractNumId w:val="1"/>
  </w:num>
  <w:num w:numId="48">
    <w:abstractNumId w:val="13"/>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sDAytTQ0tzA3NzFR0lEKTi0uzszPAykwqgUAakJokCwAAAA="/>
  </w:docVars>
  <w:rsids>
    <w:rsidRoot w:val="004B3B56"/>
    <w:rsid w:val="0000028C"/>
    <w:rsid w:val="00000425"/>
    <w:rsid w:val="00000FBA"/>
    <w:rsid w:val="00002B74"/>
    <w:rsid w:val="00004609"/>
    <w:rsid w:val="000054A8"/>
    <w:rsid w:val="000060BB"/>
    <w:rsid w:val="00007C24"/>
    <w:rsid w:val="00010406"/>
    <w:rsid w:val="00011AFE"/>
    <w:rsid w:val="00015F8B"/>
    <w:rsid w:val="00016A69"/>
    <w:rsid w:val="0001778B"/>
    <w:rsid w:val="00020183"/>
    <w:rsid w:val="00020FC1"/>
    <w:rsid w:val="0002181D"/>
    <w:rsid w:val="00021984"/>
    <w:rsid w:val="00021D30"/>
    <w:rsid w:val="0002499F"/>
    <w:rsid w:val="0002540F"/>
    <w:rsid w:val="00025F5B"/>
    <w:rsid w:val="000263E9"/>
    <w:rsid w:val="000263EA"/>
    <w:rsid w:val="00030DB6"/>
    <w:rsid w:val="00031402"/>
    <w:rsid w:val="00031474"/>
    <w:rsid w:val="000318B7"/>
    <w:rsid w:val="000327FD"/>
    <w:rsid w:val="00032DD8"/>
    <w:rsid w:val="000355DF"/>
    <w:rsid w:val="00036BFA"/>
    <w:rsid w:val="00036F8A"/>
    <w:rsid w:val="00040CC1"/>
    <w:rsid w:val="00041BB6"/>
    <w:rsid w:val="00042495"/>
    <w:rsid w:val="00043BB3"/>
    <w:rsid w:val="00045107"/>
    <w:rsid w:val="0004668F"/>
    <w:rsid w:val="0004754D"/>
    <w:rsid w:val="00047C90"/>
    <w:rsid w:val="00050144"/>
    <w:rsid w:val="00050554"/>
    <w:rsid w:val="000505FE"/>
    <w:rsid w:val="0005119F"/>
    <w:rsid w:val="00051845"/>
    <w:rsid w:val="00054357"/>
    <w:rsid w:val="00054B65"/>
    <w:rsid w:val="00054FFC"/>
    <w:rsid w:val="00055D91"/>
    <w:rsid w:val="00056A71"/>
    <w:rsid w:val="00057981"/>
    <w:rsid w:val="00057E73"/>
    <w:rsid w:val="00060140"/>
    <w:rsid w:val="000603B7"/>
    <w:rsid w:val="000608A2"/>
    <w:rsid w:val="000609E0"/>
    <w:rsid w:val="000610B9"/>
    <w:rsid w:val="000611E8"/>
    <w:rsid w:val="00061DAA"/>
    <w:rsid w:val="000644C3"/>
    <w:rsid w:val="000654FC"/>
    <w:rsid w:val="00066635"/>
    <w:rsid w:val="00066E40"/>
    <w:rsid w:val="00066F55"/>
    <w:rsid w:val="00070211"/>
    <w:rsid w:val="00071452"/>
    <w:rsid w:val="00071CEC"/>
    <w:rsid w:val="0007290F"/>
    <w:rsid w:val="00073660"/>
    <w:rsid w:val="00073862"/>
    <w:rsid w:val="00074AE7"/>
    <w:rsid w:val="0007531F"/>
    <w:rsid w:val="000763D0"/>
    <w:rsid w:val="000816AC"/>
    <w:rsid w:val="0008216A"/>
    <w:rsid w:val="00082DC2"/>
    <w:rsid w:val="0008341D"/>
    <w:rsid w:val="00084F96"/>
    <w:rsid w:val="000850D3"/>
    <w:rsid w:val="00086D00"/>
    <w:rsid w:val="00086ED3"/>
    <w:rsid w:val="00090659"/>
    <w:rsid w:val="000915B0"/>
    <w:rsid w:val="0009276B"/>
    <w:rsid w:val="00093160"/>
    <w:rsid w:val="0009354D"/>
    <w:rsid w:val="0009544F"/>
    <w:rsid w:val="000960B1"/>
    <w:rsid w:val="0009645B"/>
    <w:rsid w:val="000A0008"/>
    <w:rsid w:val="000A08C8"/>
    <w:rsid w:val="000A1928"/>
    <w:rsid w:val="000A3C12"/>
    <w:rsid w:val="000A41A8"/>
    <w:rsid w:val="000A42A8"/>
    <w:rsid w:val="000A5ADF"/>
    <w:rsid w:val="000A6CD4"/>
    <w:rsid w:val="000A7B08"/>
    <w:rsid w:val="000B0A3A"/>
    <w:rsid w:val="000B0D5B"/>
    <w:rsid w:val="000B1F26"/>
    <w:rsid w:val="000B2180"/>
    <w:rsid w:val="000B28B4"/>
    <w:rsid w:val="000B2CE0"/>
    <w:rsid w:val="000B35CC"/>
    <w:rsid w:val="000B4A4E"/>
    <w:rsid w:val="000B59D2"/>
    <w:rsid w:val="000B621D"/>
    <w:rsid w:val="000B636A"/>
    <w:rsid w:val="000B68F8"/>
    <w:rsid w:val="000B75BD"/>
    <w:rsid w:val="000C09BB"/>
    <w:rsid w:val="000C11CF"/>
    <w:rsid w:val="000C16FC"/>
    <w:rsid w:val="000C1749"/>
    <w:rsid w:val="000C174A"/>
    <w:rsid w:val="000C21E0"/>
    <w:rsid w:val="000C2675"/>
    <w:rsid w:val="000C36F6"/>
    <w:rsid w:val="000C4EC6"/>
    <w:rsid w:val="000C594E"/>
    <w:rsid w:val="000C5E81"/>
    <w:rsid w:val="000C6926"/>
    <w:rsid w:val="000C6FD4"/>
    <w:rsid w:val="000C7653"/>
    <w:rsid w:val="000D0394"/>
    <w:rsid w:val="000D30C1"/>
    <w:rsid w:val="000D327D"/>
    <w:rsid w:val="000D3DAF"/>
    <w:rsid w:val="000D4FA5"/>
    <w:rsid w:val="000D5997"/>
    <w:rsid w:val="000D5CC5"/>
    <w:rsid w:val="000D7F9E"/>
    <w:rsid w:val="000E1F82"/>
    <w:rsid w:val="000E4A66"/>
    <w:rsid w:val="000E4F37"/>
    <w:rsid w:val="000E52A7"/>
    <w:rsid w:val="000E7262"/>
    <w:rsid w:val="000F0431"/>
    <w:rsid w:val="000F1318"/>
    <w:rsid w:val="000F1978"/>
    <w:rsid w:val="000F4948"/>
    <w:rsid w:val="000F5B4E"/>
    <w:rsid w:val="000F6ECE"/>
    <w:rsid w:val="001002C5"/>
    <w:rsid w:val="00101502"/>
    <w:rsid w:val="00102463"/>
    <w:rsid w:val="0010260A"/>
    <w:rsid w:val="001028F8"/>
    <w:rsid w:val="00102F13"/>
    <w:rsid w:val="00103B06"/>
    <w:rsid w:val="00104350"/>
    <w:rsid w:val="00105AA1"/>
    <w:rsid w:val="00106EF4"/>
    <w:rsid w:val="001078A2"/>
    <w:rsid w:val="0011168E"/>
    <w:rsid w:val="00111721"/>
    <w:rsid w:val="001166FE"/>
    <w:rsid w:val="00116D37"/>
    <w:rsid w:val="00121D83"/>
    <w:rsid w:val="00121E7A"/>
    <w:rsid w:val="0012204E"/>
    <w:rsid w:val="00122960"/>
    <w:rsid w:val="001233B3"/>
    <w:rsid w:val="00123702"/>
    <w:rsid w:val="001238DE"/>
    <w:rsid w:val="0012401A"/>
    <w:rsid w:val="0012540F"/>
    <w:rsid w:val="00126260"/>
    <w:rsid w:val="001264F1"/>
    <w:rsid w:val="00127327"/>
    <w:rsid w:val="001311C1"/>
    <w:rsid w:val="00131490"/>
    <w:rsid w:val="00131697"/>
    <w:rsid w:val="0013223B"/>
    <w:rsid w:val="00132501"/>
    <w:rsid w:val="001329E8"/>
    <w:rsid w:val="001331AD"/>
    <w:rsid w:val="00133224"/>
    <w:rsid w:val="0013411F"/>
    <w:rsid w:val="00134ECD"/>
    <w:rsid w:val="00134EF1"/>
    <w:rsid w:val="001353D9"/>
    <w:rsid w:val="00135741"/>
    <w:rsid w:val="00135871"/>
    <w:rsid w:val="0013592D"/>
    <w:rsid w:val="00135BDA"/>
    <w:rsid w:val="001361D9"/>
    <w:rsid w:val="00136A32"/>
    <w:rsid w:val="00140FF3"/>
    <w:rsid w:val="001416E6"/>
    <w:rsid w:val="00143E83"/>
    <w:rsid w:val="00144104"/>
    <w:rsid w:val="00146AF9"/>
    <w:rsid w:val="00146D1B"/>
    <w:rsid w:val="00146D34"/>
    <w:rsid w:val="0015005A"/>
    <w:rsid w:val="0015178D"/>
    <w:rsid w:val="00151ECF"/>
    <w:rsid w:val="001531B1"/>
    <w:rsid w:val="001547F0"/>
    <w:rsid w:val="00154C8B"/>
    <w:rsid w:val="00155894"/>
    <w:rsid w:val="001577CB"/>
    <w:rsid w:val="0016049E"/>
    <w:rsid w:val="0016345D"/>
    <w:rsid w:val="001639DF"/>
    <w:rsid w:val="001642D5"/>
    <w:rsid w:val="001643C6"/>
    <w:rsid w:val="00166C56"/>
    <w:rsid w:val="00166CA6"/>
    <w:rsid w:val="0016760F"/>
    <w:rsid w:val="001713D4"/>
    <w:rsid w:val="00171A4E"/>
    <w:rsid w:val="0017296F"/>
    <w:rsid w:val="00174800"/>
    <w:rsid w:val="00174933"/>
    <w:rsid w:val="001760A7"/>
    <w:rsid w:val="0018141A"/>
    <w:rsid w:val="00181CAE"/>
    <w:rsid w:val="001828D1"/>
    <w:rsid w:val="00183929"/>
    <w:rsid w:val="00183946"/>
    <w:rsid w:val="00183AA8"/>
    <w:rsid w:val="0018456B"/>
    <w:rsid w:val="00184E80"/>
    <w:rsid w:val="001860CD"/>
    <w:rsid w:val="00186100"/>
    <w:rsid w:val="00186650"/>
    <w:rsid w:val="00190271"/>
    <w:rsid w:val="0019057E"/>
    <w:rsid w:val="00191DB2"/>
    <w:rsid w:val="00193319"/>
    <w:rsid w:val="001939B6"/>
    <w:rsid w:val="00193DD8"/>
    <w:rsid w:val="00195789"/>
    <w:rsid w:val="001964AF"/>
    <w:rsid w:val="00197364"/>
    <w:rsid w:val="00197A0A"/>
    <w:rsid w:val="00197D5C"/>
    <w:rsid w:val="00197DD3"/>
    <w:rsid w:val="001A049E"/>
    <w:rsid w:val="001A1D10"/>
    <w:rsid w:val="001A2641"/>
    <w:rsid w:val="001A5771"/>
    <w:rsid w:val="001A5D52"/>
    <w:rsid w:val="001A7121"/>
    <w:rsid w:val="001A776B"/>
    <w:rsid w:val="001A7C7D"/>
    <w:rsid w:val="001B0CB5"/>
    <w:rsid w:val="001B1274"/>
    <w:rsid w:val="001B1533"/>
    <w:rsid w:val="001B1DE1"/>
    <w:rsid w:val="001B29D5"/>
    <w:rsid w:val="001B3643"/>
    <w:rsid w:val="001B4106"/>
    <w:rsid w:val="001B65CA"/>
    <w:rsid w:val="001B70E4"/>
    <w:rsid w:val="001B774D"/>
    <w:rsid w:val="001C17AE"/>
    <w:rsid w:val="001C1937"/>
    <w:rsid w:val="001C1C1F"/>
    <w:rsid w:val="001C24BB"/>
    <w:rsid w:val="001C3364"/>
    <w:rsid w:val="001C3765"/>
    <w:rsid w:val="001C3A66"/>
    <w:rsid w:val="001C4657"/>
    <w:rsid w:val="001C56ED"/>
    <w:rsid w:val="001C5CF2"/>
    <w:rsid w:val="001C6A2B"/>
    <w:rsid w:val="001C6EF7"/>
    <w:rsid w:val="001D0412"/>
    <w:rsid w:val="001D105D"/>
    <w:rsid w:val="001D153C"/>
    <w:rsid w:val="001D1C13"/>
    <w:rsid w:val="001D208A"/>
    <w:rsid w:val="001D434C"/>
    <w:rsid w:val="001D464F"/>
    <w:rsid w:val="001D4697"/>
    <w:rsid w:val="001D4D07"/>
    <w:rsid w:val="001D575A"/>
    <w:rsid w:val="001D5C59"/>
    <w:rsid w:val="001D6A3E"/>
    <w:rsid w:val="001D7532"/>
    <w:rsid w:val="001E0A0E"/>
    <w:rsid w:val="001E12C7"/>
    <w:rsid w:val="001E2297"/>
    <w:rsid w:val="001E5B57"/>
    <w:rsid w:val="001E605C"/>
    <w:rsid w:val="001E6F11"/>
    <w:rsid w:val="001E7128"/>
    <w:rsid w:val="001E7431"/>
    <w:rsid w:val="001F0071"/>
    <w:rsid w:val="001F13BC"/>
    <w:rsid w:val="001F226F"/>
    <w:rsid w:val="001F23B3"/>
    <w:rsid w:val="001F56AA"/>
    <w:rsid w:val="001F78E9"/>
    <w:rsid w:val="001F7E77"/>
    <w:rsid w:val="00201AAE"/>
    <w:rsid w:val="00201D9A"/>
    <w:rsid w:val="002020C5"/>
    <w:rsid w:val="002033D5"/>
    <w:rsid w:val="0020577D"/>
    <w:rsid w:val="002078AA"/>
    <w:rsid w:val="002105B7"/>
    <w:rsid w:val="0021065D"/>
    <w:rsid w:val="0021150C"/>
    <w:rsid w:val="002115B8"/>
    <w:rsid w:val="00211737"/>
    <w:rsid w:val="002130C3"/>
    <w:rsid w:val="00213599"/>
    <w:rsid w:val="00213E66"/>
    <w:rsid w:val="00214CF3"/>
    <w:rsid w:val="002153F5"/>
    <w:rsid w:val="00216F24"/>
    <w:rsid w:val="00217864"/>
    <w:rsid w:val="00220A0B"/>
    <w:rsid w:val="00221F55"/>
    <w:rsid w:val="00222030"/>
    <w:rsid w:val="00223BA3"/>
    <w:rsid w:val="00225765"/>
    <w:rsid w:val="002258CD"/>
    <w:rsid w:val="0022669D"/>
    <w:rsid w:val="0022708A"/>
    <w:rsid w:val="002273B5"/>
    <w:rsid w:val="00230B25"/>
    <w:rsid w:val="00232BAC"/>
    <w:rsid w:val="00233858"/>
    <w:rsid w:val="0023392E"/>
    <w:rsid w:val="00233E6F"/>
    <w:rsid w:val="00234819"/>
    <w:rsid w:val="00235694"/>
    <w:rsid w:val="00237AA4"/>
    <w:rsid w:val="00237DD8"/>
    <w:rsid w:val="00240879"/>
    <w:rsid w:val="00240AEF"/>
    <w:rsid w:val="002418CA"/>
    <w:rsid w:val="00242E15"/>
    <w:rsid w:val="0024488D"/>
    <w:rsid w:val="00244BE9"/>
    <w:rsid w:val="002454F2"/>
    <w:rsid w:val="00245B95"/>
    <w:rsid w:val="00247062"/>
    <w:rsid w:val="002470DA"/>
    <w:rsid w:val="00250700"/>
    <w:rsid w:val="00250AD1"/>
    <w:rsid w:val="0025141E"/>
    <w:rsid w:val="00256030"/>
    <w:rsid w:val="002564EF"/>
    <w:rsid w:val="00256522"/>
    <w:rsid w:val="0025670D"/>
    <w:rsid w:val="0025693E"/>
    <w:rsid w:val="0026195C"/>
    <w:rsid w:val="00261BDE"/>
    <w:rsid w:val="00261DAC"/>
    <w:rsid w:val="00261F55"/>
    <w:rsid w:val="00262484"/>
    <w:rsid w:val="00263A5C"/>
    <w:rsid w:val="002648C3"/>
    <w:rsid w:val="002648FC"/>
    <w:rsid w:val="00264BE9"/>
    <w:rsid w:val="00265D00"/>
    <w:rsid w:val="002664CD"/>
    <w:rsid w:val="00266EC0"/>
    <w:rsid w:val="00267C44"/>
    <w:rsid w:val="002701AE"/>
    <w:rsid w:val="00270551"/>
    <w:rsid w:val="00270B35"/>
    <w:rsid w:val="002715A6"/>
    <w:rsid w:val="0027218E"/>
    <w:rsid w:val="00272412"/>
    <w:rsid w:val="002728A5"/>
    <w:rsid w:val="002733CF"/>
    <w:rsid w:val="00274096"/>
    <w:rsid w:val="002754EE"/>
    <w:rsid w:val="002755C5"/>
    <w:rsid w:val="00275877"/>
    <w:rsid w:val="00276148"/>
    <w:rsid w:val="0027681B"/>
    <w:rsid w:val="00276CF3"/>
    <w:rsid w:val="002805A0"/>
    <w:rsid w:val="00281B0E"/>
    <w:rsid w:val="00281F1B"/>
    <w:rsid w:val="002839B2"/>
    <w:rsid w:val="00284945"/>
    <w:rsid w:val="00284D26"/>
    <w:rsid w:val="0028541A"/>
    <w:rsid w:val="00285772"/>
    <w:rsid w:val="00287362"/>
    <w:rsid w:val="00287815"/>
    <w:rsid w:val="002901DB"/>
    <w:rsid w:val="00291127"/>
    <w:rsid w:val="00291E1E"/>
    <w:rsid w:val="0029285E"/>
    <w:rsid w:val="0029415B"/>
    <w:rsid w:val="00294215"/>
    <w:rsid w:val="00294282"/>
    <w:rsid w:val="00294893"/>
    <w:rsid w:val="002957F0"/>
    <w:rsid w:val="0029731D"/>
    <w:rsid w:val="002A02FD"/>
    <w:rsid w:val="002A4D2C"/>
    <w:rsid w:val="002A5866"/>
    <w:rsid w:val="002A5E34"/>
    <w:rsid w:val="002A633A"/>
    <w:rsid w:val="002A6B99"/>
    <w:rsid w:val="002B0063"/>
    <w:rsid w:val="002B1742"/>
    <w:rsid w:val="002B1B87"/>
    <w:rsid w:val="002B475E"/>
    <w:rsid w:val="002B542D"/>
    <w:rsid w:val="002B6DAC"/>
    <w:rsid w:val="002C01A1"/>
    <w:rsid w:val="002C0CA1"/>
    <w:rsid w:val="002C17F0"/>
    <w:rsid w:val="002C2E33"/>
    <w:rsid w:val="002C410C"/>
    <w:rsid w:val="002C54EE"/>
    <w:rsid w:val="002C65A5"/>
    <w:rsid w:val="002C6FAF"/>
    <w:rsid w:val="002C70CB"/>
    <w:rsid w:val="002C7214"/>
    <w:rsid w:val="002C764C"/>
    <w:rsid w:val="002C77C0"/>
    <w:rsid w:val="002C7926"/>
    <w:rsid w:val="002D044F"/>
    <w:rsid w:val="002D0485"/>
    <w:rsid w:val="002D16DC"/>
    <w:rsid w:val="002D3240"/>
    <w:rsid w:val="002D4809"/>
    <w:rsid w:val="002D5040"/>
    <w:rsid w:val="002D5087"/>
    <w:rsid w:val="002D528C"/>
    <w:rsid w:val="002D6277"/>
    <w:rsid w:val="002D638A"/>
    <w:rsid w:val="002D687A"/>
    <w:rsid w:val="002D77F3"/>
    <w:rsid w:val="002D7C6B"/>
    <w:rsid w:val="002D7FAF"/>
    <w:rsid w:val="002E02A4"/>
    <w:rsid w:val="002E03D9"/>
    <w:rsid w:val="002E0DB4"/>
    <w:rsid w:val="002E0FA6"/>
    <w:rsid w:val="002E23E6"/>
    <w:rsid w:val="002E2AF7"/>
    <w:rsid w:val="002E455D"/>
    <w:rsid w:val="002E4D8B"/>
    <w:rsid w:val="002E4E5E"/>
    <w:rsid w:val="002E58EA"/>
    <w:rsid w:val="002E6841"/>
    <w:rsid w:val="002E6B3F"/>
    <w:rsid w:val="002E72C0"/>
    <w:rsid w:val="002E7CBD"/>
    <w:rsid w:val="002F0062"/>
    <w:rsid w:val="002F0E60"/>
    <w:rsid w:val="002F1336"/>
    <w:rsid w:val="002F1524"/>
    <w:rsid w:val="002F18DB"/>
    <w:rsid w:val="002F1DC4"/>
    <w:rsid w:val="002F3257"/>
    <w:rsid w:val="002F384D"/>
    <w:rsid w:val="002F3A47"/>
    <w:rsid w:val="002F40D2"/>
    <w:rsid w:val="002F4682"/>
    <w:rsid w:val="002F49BE"/>
    <w:rsid w:val="002F688B"/>
    <w:rsid w:val="002F7B9E"/>
    <w:rsid w:val="00300877"/>
    <w:rsid w:val="003012FB"/>
    <w:rsid w:val="00301500"/>
    <w:rsid w:val="003017CB"/>
    <w:rsid w:val="0030255A"/>
    <w:rsid w:val="003030C0"/>
    <w:rsid w:val="003049E8"/>
    <w:rsid w:val="0030538F"/>
    <w:rsid w:val="00305585"/>
    <w:rsid w:val="0030636D"/>
    <w:rsid w:val="003125E8"/>
    <w:rsid w:val="00313A28"/>
    <w:rsid w:val="00313E72"/>
    <w:rsid w:val="003146A6"/>
    <w:rsid w:val="00314DE7"/>
    <w:rsid w:val="00315F9E"/>
    <w:rsid w:val="00316138"/>
    <w:rsid w:val="00316866"/>
    <w:rsid w:val="00316C0B"/>
    <w:rsid w:val="00317F8F"/>
    <w:rsid w:val="00321BBF"/>
    <w:rsid w:val="00322A03"/>
    <w:rsid w:val="00322EB4"/>
    <w:rsid w:val="00323348"/>
    <w:rsid w:val="00324C53"/>
    <w:rsid w:val="00325B04"/>
    <w:rsid w:val="00325F93"/>
    <w:rsid w:val="003263C2"/>
    <w:rsid w:val="00327340"/>
    <w:rsid w:val="0033068C"/>
    <w:rsid w:val="00330D34"/>
    <w:rsid w:val="00331273"/>
    <w:rsid w:val="00331774"/>
    <w:rsid w:val="003336F7"/>
    <w:rsid w:val="00333966"/>
    <w:rsid w:val="003342E5"/>
    <w:rsid w:val="00334467"/>
    <w:rsid w:val="00334615"/>
    <w:rsid w:val="00334811"/>
    <w:rsid w:val="003360F0"/>
    <w:rsid w:val="00341991"/>
    <w:rsid w:val="00342FE6"/>
    <w:rsid w:val="00343582"/>
    <w:rsid w:val="00343E88"/>
    <w:rsid w:val="00344188"/>
    <w:rsid w:val="003451C7"/>
    <w:rsid w:val="00346564"/>
    <w:rsid w:val="00347561"/>
    <w:rsid w:val="0035000C"/>
    <w:rsid w:val="0035226A"/>
    <w:rsid w:val="00353741"/>
    <w:rsid w:val="00355D89"/>
    <w:rsid w:val="00356696"/>
    <w:rsid w:val="00357848"/>
    <w:rsid w:val="00357DBC"/>
    <w:rsid w:val="003601C4"/>
    <w:rsid w:val="003602B8"/>
    <w:rsid w:val="00361CE2"/>
    <w:rsid w:val="00361DC3"/>
    <w:rsid w:val="00361EAC"/>
    <w:rsid w:val="00363806"/>
    <w:rsid w:val="00363988"/>
    <w:rsid w:val="00364B04"/>
    <w:rsid w:val="00366211"/>
    <w:rsid w:val="0036764F"/>
    <w:rsid w:val="0037205C"/>
    <w:rsid w:val="00372C00"/>
    <w:rsid w:val="00374575"/>
    <w:rsid w:val="00374A2F"/>
    <w:rsid w:val="00374D93"/>
    <w:rsid w:val="003751C9"/>
    <w:rsid w:val="00375780"/>
    <w:rsid w:val="00375B30"/>
    <w:rsid w:val="0038019A"/>
    <w:rsid w:val="003802BA"/>
    <w:rsid w:val="0038034D"/>
    <w:rsid w:val="00380E0D"/>
    <w:rsid w:val="00381B0A"/>
    <w:rsid w:val="00382060"/>
    <w:rsid w:val="003826B7"/>
    <w:rsid w:val="00385808"/>
    <w:rsid w:val="00385F19"/>
    <w:rsid w:val="00386C0C"/>
    <w:rsid w:val="003879D9"/>
    <w:rsid w:val="003910F1"/>
    <w:rsid w:val="00391B78"/>
    <w:rsid w:val="00391FD3"/>
    <w:rsid w:val="0039274F"/>
    <w:rsid w:val="003927C7"/>
    <w:rsid w:val="00392FAE"/>
    <w:rsid w:val="00393616"/>
    <w:rsid w:val="00395CA6"/>
    <w:rsid w:val="00396F1D"/>
    <w:rsid w:val="00397540"/>
    <w:rsid w:val="00397B8D"/>
    <w:rsid w:val="00397E8D"/>
    <w:rsid w:val="003A009B"/>
    <w:rsid w:val="003A01FB"/>
    <w:rsid w:val="003A063D"/>
    <w:rsid w:val="003A0D31"/>
    <w:rsid w:val="003A0FA9"/>
    <w:rsid w:val="003A10E5"/>
    <w:rsid w:val="003A16A4"/>
    <w:rsid w:val="003A3B78"/>
    <w:rsid w:val="003A404A"/>
    <w:rsid w:val="003A4F54"/>
    <w:rsid w:val="003A604B"/>
    <w:rsid w:val="003A65BC"/>
    <w:rsid w:val="003A6E0C"/>
    <w:rsid w:val="003A6E76"/>
    <w:rsid w:val="003A7088"/>
    <w:rsid w:val="003B0C38"/>
    <w:rsid w:val="003B131B"/>
    <w:rsid w:val="003B1349"/>
    <w:rsid w:val="003B1850"/>
    <w:rsid w:val="003B1991"/>
    <w:rsid w:val="003B23DE"/>
    <w:rsid w:val="003B2531"/>
    <w:rsid w:val="003B2B0F"/>
    <w:rsid w:val="003B40D4"/>
    <w:rsid w:val="003B414D"/>
    <w:rsid w:val="003B7773"/>
    <w:rsid w:val="003B7F73"/>
    <w:rsid w:val="003C0347"/>
    <w:rsid w:val="003C11D4"/>
    <w:rsid w:val="003C26EE"/>
    <w:rsid w:val="003C284E"/>
    <w:rsid w:val="003C300E"/>
    <w:rsid w:val="003C34D8"/>
    <w:rsid w:val="003C387F"/>
    <w:rsid w:val="003C499B"/>
    <w:rsid w:val="003C4FB5"/>
    <w:rsid w:val="003C5D1C"/>
    <w:rsid w:val="003C7560"/>
    <w:rsid w:val="003C7631"/>
    <w:rsid w:val="003D0D0B"/>
    <w:rsid w:val="003D20DA"/>
    <w:rsid w:val="003D455C"/>
    <w:rsid w:val="003D48FB"/>
    <w:rsid w:val="003D546B"/>
    <w:rsid w:val="003D58E7"/>
    <w:rsid w:val="003D6081"/>
    <w:rsid w:val="003D651F"/>
    <w:rsid w:val="003D778A"/>
    <w:rsid w:val="003E191C"/>
    <w:rsid w:val="003E2A2E"/>
    <w:rsid w:val="003E2FBC"/>
    <w:rsid w:val="003E31BB"/>
    <w:rsid w:val="003E36C8"/>
    <w:rsid w:val="003E38B3"/>
    <w:rsid w:val="003E3D94"/>
    <w:rsid w:val="003E4FA0"/>
    <w:rsid w:val="003E54F9"/>
    <w:rsid w:val="003E6639"/>
    <w:rsid w:val="003E6B52"/>
    <w:rsid w:val="003E6D75"/>
    <w:rsid w:val="003E6F14"/>
    <w:rsid w:val="003E730A"/>
    <w:rsid w:val="003E7585"/>
    <w:rsid w:val="003F022F"/>
    <w:rsid w:val="003F0E95"/>
    <w:rsid w:val="003F1C10"/>
    <w:rsid w:val="003F20EB"/>
    <w:rsid w:val="003F2653"/>
    <w:rsid w:val="003F3951"/>
    <w:rsid w:val="003F4758"/>
    <w:rsid w:val="003F497D"/>
    <w:rsid w:val="003F53DA"/>
    <w:rsid w:val="003F54C3"/>
    <w:rsid w:val="003F6BB1"/>
    <w:rsid w:val="003F6FA1"/>
    <w:rsid w:val="003F72AF"/>
    <w:rsid w:val="003F7A2D"/>
    <w:rsid w:val="0040088F"/>
    <w:rsid w:val="004012A6"/>
    <w:rsid w:val="00401BCF"/>
    <w:rsid w:val="00401DF8"/>
    <w:rsid w:val="00401E35"/>
    <w:rsid w:val="00403959"/>
    <w:rsid w:val="00404716"/>
    <w:rsid w:val="00405019"/>
    <w:rsid w:val="00405E4F"/>
    <w:rsid w:val="00406D74"/>
    <w:rsid w:val="00407604"/>
    <w:rsid w:val="00410FDA"/>
    <w:rsid w:val="00411089"/>
    <w:rsid w:val="00411DFA"/>
    <w:rsid w:val="004124A2"/>
    <w:rsid w:val="004135FB"/>
    <w:rsid w:val="00415352"/>
    <w:rsid w:val="004158B4"/>
    <w:rsid w:val="0041622B"/>
    <w:rsid w:val="004165AA"/>
    <w:rsid w:val="0041758E"/>
    <w:rsid w:val="004210A8"/>
    <w:rsid w:val="00422029"/>
    <w:rsid w:val="0042377E"/>
    <w:rsid w:val="00423B26"/>
    <w:rsid w:val="0042433E"/>
    <w:rsid w:val="00425086"/>
    <w:rsid w:val="004267B7"/>
    <w:rsid w:val="004279DE"/>
    <w:rsid w:val="00427BC4"/>
    <w:rsid w:val="00430324"/>
    <w:rsid w:val="00432353"/>
    <w:rsid w:val="004332A2"/>
    <w:rsid w:val="00433FB5"/>
    <w:rsid w:val="00434AFE"/>
    <w:rsid w:val="00434C74"/>
    <w:rsid w:val="00435C7A"/>
    <w:rsid w:val="00435F66"/>
    <w:rsid w:val="00436662"/>
    <w:rsid w:val="004370F0"/>
    <w:rsid w:val="00437322"/>
    <w:rsid w:val="00441FFD"/>
    <w:rsid w:val="00442E6D"/>
    <w:rsid w:val="00442EFA"/>
    <w:rsid w:val="00443391"/>
    <w:rsid w:val="004434B9"/>
    <w:rsid w:val="004444BE"/>
    <w:rsid w:val="00445D00"/>
    <w:rsid w:val="00447837"/>
    <w:rsid w:val="00447C6E"/>
    <w:rsid w:val="004507E7"/>
    <w:rsid w:val="0045168B"/>
    <w:rsid w:val="00451B23"/>
    <w:rsid w:val="00452F52"/>
    <w:rsid w:val="0045335C"/>
    <w:rsid w:val="00456164"/>
    <w:rsid w:val="004561D5"/>
    <w:rsid w:val="00457808"/>
    <w:rsid w:val="0046269B"/>
    <w:rsid w:val="00462D27"/>
    <w:rsid w:val="0046333E"/>
    <w:rsid w:val="00463702"/>
    <w:rsid w:val="00464490"/>
    <w:rsid w:val="0046461E"/>
    <w:rsid w:val="00465A08"/>
    <w:rsid w:val="00466FFE"/>
    <w:rsid w:val="00467539"/>
    <w:rsid w:val="00467E89"/>
    <w:rsid w:val="00470C69"/>
    <w:rsid w:val="0047113D"/>
    <w:rsid w:val="004729B6"/>
    <w:rsid w:val="00474AEB"/>
    <w:rsid w:val="00474CEA"/>
    <w:rsid w:val="0047709C"/>
    <w:rsid w:val="004774B1"/>
    <w:rsid w:val="004775CC"/>
    <w:rsid w:val="004777A6"/>
    <w:rsid w:val="00480D53"/>
    <w:rsid w:val="00481150"/>
    <w:rsid w:val="00483C12"/>
    <w:rsid w:val="00484223"/>
    <w:rsid w:val="00485516"/>
    <w:rsid w:val="00486EA7"/>
    <w:rsid w:val="004907B3"/>
    <w:rsid w:val="00490A9A"/>
    <w:rsid w:val="00490D8A"/>
    <w:rsid w:val="00490FC8"/>
    <w:rsid w:val="00491E1E"/>
    <w:rsid w:val="0049238B"/>
    <w:rsid w:val="0049317B"/>
    <w:rsid w:val="00493300"/>
    <w:rsid w:val="00493662"/>
    <w:rsid w:val="004938F9"/>
    <w:rsid w:val="004943F9"/>
    <w:rsid w:val="0049462E"/>
    <w:rsid w:val="00494C43"/>
    <w:rsid w:val="00494E52"/>
    <w:rsid w:val="004950CB"/>
    <w:rsid w:val="00495AAA"/>
    <w:rsid w:val="00495B16"/>
    <w:rsid w:val="00496079"/>
    <w:rsid w:val="004979AB"/>
    <w:rsid w:val="00497CB5"/>
    <w:rsid w:val="004A06E6"/>
    <w:rsid w:val="004A0A8F"/>
    <w:rsid w:val="004A1C5A"/>
    <w:rsid w:val="004A293E"/>
    <w:rsid w:val="004A3E22"/>
    <w:rsid w:val="004A40CB"/>
    <w:rsid w:val="004A6AE0"/>
    <w:rsid w:val="004A6FF5"/>
    <w:rsid w:val="004A7256"/>
    <w:rsid w:val="004B0AE5"/>
    <w:rsid w:val="004B0C18"/>
    <w:rsid w:val="004B16A3"/>
    <w:rsid w:val="004B1F12"/>
    <w:rsid w:val="004B32A6"/>
    <w:rsid w:val="004B3B56"/>
    <w:rsid w:val="004B3D2E"/>
    <w:rsid w:val="004B4682"/>
    <w:rsid w:val="004B46C7"/>
    <w:rsid w:val="004B556E"/>
    <w:rsid w:val="004B6704"/>
    <w:rsid w:val="004B6F64"/>
    <w:rsid w:val="004B7A38"/>
    <w:rsid w:val="004C0AA6"/>
    <w:rsid w:val="004C2605"/>
    <w:rsid w:val="004C3789"/>
    <w:rsid w:val="004C455E"/>
    <w:rsid w:val="004C4628"/>
    <w:rsid w:val="004C4F1F"/>
    <w:rsid w:val="004C5C22"/>
    <w:rsid w:val="004C5C35"/>
    <w:rsid w:val="004C5DAB"/>
    <w:rsid w:val="004C65C5"/>
    <w:rsid w:val="004C7C1D"/>
    <w:rsid w:val="004C7C1F"/>
    <w:rsid w:val="004D04A2"/>
    <w:rsid w:val="004D1EC2"/>
    <w:rsid w:val="004D3F42"/>
    <w:rsid w:val="004D4522"/>
    <w:rsid w:val="004D4E85"/>
    <w:rsid w:val="004D4F2D"/>
    <w:rsid w:val="004D6FBF"/>
    <w:rsid w:val="004E0055"/>
    <w:rsid w:val="004E04FE"/>
    <w:rsid w:val="004E076C"/>
    <w:rsid w:val="004E0B12"/>
    <w:rsid w:val="004E1B40"/>
    <w:rsid w:val="004E27FD"/>
    <w:rsid w:val="004E2A8F"/>
    <w:rsid w:val="004E6D47"/>
    <w:rsid w:val="004E72D6"/>
    <w:rsid w:val="004F4D74"/>
    <w:rsid w:val="004F5E05"/>
    <w:rsid w:val="004F64AC"/>
    <w:rsid w:val="004F7D17"/>
    <w:rsid w:val="0050006D"/>
    <w:rsid w:val="00500096"/>
    <w:rsid w:val="00501541"/>
    <w:rsid w:val="0050202E"/>
    <w:rsid w:val="00502135"/>
    <w:rsid w:val="00502882"/>
    <w:rsid w:val="005029F9"/>
    <w:rsid w:val="00503B1D"/>
    <w:rsid w:val="00505020"/>
    <w:rsid w:val="00505C74"/>
    <w:rsid w:val="00506D1A"/>
    <w:rsid w:val="00507895"/>
    <w:rsid w:val="00512576"/>
    <w:rsid w:val="005142D3"/>
    <w:rsid w:val="00514E9D"/>
    <w:rsid w:val="00517C6D"/>
    <w:rsid w:val="00517EEE"/>
    <w:rsid w:val="00520565"/>
    <w:rsid w:val="00520C99"/>
    <w:rsid w:val="005215D2"/>
    <w:rsid w:val="00524302"/>
    <w:rsid w:val="0052523D"/>
    <w:rsid w:val="00525D53"/>
    <w:rsid w:val="0052697F"/>
    <w:rsid w:val="00527598"/>
    <w:rsid w:val="0052762C"/>
    <w:rsid w:val="00527B97"/>
    <w:rsid w:val="0053066B"/>
    <w:rsid w:val="00531603"/>
    <w:rsid w:val="00531ACF"/>
    <w:rsid w:val="00531E1C"/>
    <w:rsid w:val="00532371"/>
    <w:rsid w:val="00532516"/>
    <w:rsid w:val="00534305"/>
    <w:rsid w:val="00534FB6"/>
    <w:rsid w:val="00535670"/>
    <w:rsid w:val="0053586A"/>
    <w:rsid w:val="00535FD6"/>
    <w:rsid w:val="00536295"/>
    <w:rsid w:val="0053663D"/>
    <w:rsid w:val="005372E7"/>
    <w:rsid w:val="00537407"/>
    <w:rsid w:val="00542E7C"/>
    <w:rsid w:val="005436A6"/>
    <w:rsid w:val="00543F3F"/>
    <w:rsid w:val="0054596B"/>
    <w:rsid w:val="00545D12"/>
    <w:rsid w:val="00546E39"/>
    <w:rsid w:val="005479EA"/>
    <w:rsid w:val="00550573"/>
    <w:rsid w:val="00550E24"/>
    <w:rsid w:val="005537B2"/>
    <w:rsid w:val="005552D5"/>
    <w:rsid w:val="005610DB"/>
    <w:rsid w:val="00561959"/>
    <w:rsid w:val="00561A6A"/>
    <w:rsid w:val="005629FD"/>
    <w:rsid w:val="00562A44"/>
    <w:rsid w:val="00562AC9"/>
    <w:rsid w:val="00564467"/>
    <w:rsid w:val="00565789"/>
    <w:rsid w:val="00565B6B"/>
    <w:rsid w:val="0056642D"/>
    <w:rsid w:val="00566707"/>
    <w:rsid w:val="00567252"/>
    <w:rsid w:val="005706CE"/>
    <w:rsid w:val="0057133A"/>
    <w:rsid w:val="0057143A"/>
    <w:rsid w:val="00571525"/>
    <w:rsid w:val="0057180F"/>
    <w:rsid w:val="00574715"/>
    <w:rsid w:val="005758F4"/>
    <w:rsid w:val="0057618D"/>
    <w:rsid w:val="00580ADF"/>
    <w:rsid w:val="0058291B"/>
    <w:rsid w:val="00583B4E"/>
    <w:rsid w:val="00584BE2"/>
    <w:rsid w:val="00585BD7"/>
    <w:rsid w:val="00586540"/>
    <w:rsid w:val="00587549"/>
    <w:rsid w:val="00587EA7"/>
    <w:rsid w:val="00591B02"/>
    <w:rsid w:val="00594B62"/>
    <w:rsid w:val="00595D60"/>
    <w:rsid w:val="005A04FC"/>
    <w:rsid w:val="005A2023"/>
    <w:rsid w:val="005A34BD"/>
    <w:rsid w:val="005A48FF"/>
    <w:rsid w:val="005A512D"/>
    <w:rsid w:val="005A5978"/>
    <w:rsid w:val="005A6404"/>
    <w:rsid w:val="005A6D24"/>
    <w:rsid w:val="005B076E"/>
    <w:rsid w:val="005B07F3"/>
    <w:rsid w:val="005B14EA"/>
    <w:rsid w:val="005B1507"/>
    <w:rsid w:val="005B1577"/>
    <w:rsid w:val="005B3144"/>
    <w:rsid w:val="005B54A6"/>
    <w:rsid w:val="005B568C"/>
    <w:rsid w:val="005B5802"/>
    <w:rsid w:val="005B70A5"/>
    <w:rsid w:val="005C29D3"/>
    <w:rsid w:val="005C6AF2"/>
    <w:rsid w:val="005C6DA8"/>
    <w:rsid w:val="005D163B"/>
    <w:rsid w:val="005D182B"/>
    <w:rsid w:val="005D20BD"/>
    <w:rsid w:val="005D2ADC"/>
    <w:rsid w:val="005D407B"/>
    <w:rsid w:val="005D5483"/>
    <w:rsid w:val="005E0517"/>
    <w:rsid w:val="005E0725"/>
    <w:rsid w:val="005E239B"/>
    <w:rsid w:val="005E275C"/>
    <w:rsid w:val="005E3538"/>
    <w:rsid w:val="005E62AA"/>
    <w:rsid w:val="005E6902"/>
    <w:rsid w:val="005E6C9F"/>
    <w:rsid w:val="005F1F5B"/>
    <w:rsid w:val="005F413C"/>
    <w:rsid w:val="005F434A"/>
    <w:rsid w:val="005F4477"/>
    <w:rsid w:val="005F6DCE"/>
    <w:rsid w:val="0060072C"/>
    <w:rsid w:val="00601806"/>
    <w:rsid w:val="00601D9C"/>
    <w:rsid w:val="00601FB7"/>
    <w:rsid w:val="00602167"/>
    <w:rsid w:val="00602906"/>
    <w:rsid w:val="00603E0F"/>
    <w:rsid w:val="00603EE0"/>
    <w:rsid w:val="006052E9"/>
    <w:rsid w:val="00605BC6"/>
    <w:rsid w:val="006073A4"/>
    <w:rsid w:val="00607804"/>
    <w:rsid w:val="006100A4"/>
    <w:rsid w:val="0061117B"/>
    <w:rsid w:val="006140BD"/>
    <w:rsid w:val="00614C11"/>
    <w:rsid w:val="00615D21"/>
    <w:rsid w:val="00616AC6"/>
    <w:rsid w:val="00616F23"/>
    <w:rsid w:val="006174AC"/>
    <w:rsid w:val="0061768C"/>
    <w:rsid w:val="006176F1"/>
    <w:rsid w:val="00620884"/>
    <w:rsid w:val="0062103B"/>
    <w:rsid w:val="0062227E"/>
    <w:rsid w:val="00622297"/>
    <w:rsid w:val="0062276B"/>
    <w:rsid w:val="006228D3"/>
    <w:rsid w:val="00622A68"/>
    <w:rsid w:val="006239BD"/>
    <w:rsid w:val="006244ED"/>
    <w:rsid w:val="006251C2"/>
    <w:rsid w:val="006259B9"/>
    <w:rsid w:val="00625D7A"/>
    <w:rsid w:val="00625EB6"/>
    <w:rsid w:val="00626D0B"/>
    <w:rsid w:val="00630065"/>
    <w:rsid w:val="00632473"/>
    <w:rsid w:val="00633E30"/>
    <w:rsid w:val="00633FDA"/>
    <w:rsid w:val="006369CB"/>
    <w:rsid w:val="0063731E"/>
    <w:rsid w:val="0063784D"/>
    <w:rsid w:val="00637CAD"/>
    <w:rsid w:val="006409A0"/>
    <w:rsid w:val="00643EEE"/>
    <w:rsid w:val="00644DF7"/>
    <w:rsid w:val="00646A11"/>
    <w:rsid w:val="00647E26"/>
    <w:rsid w:val="00651252"/>
    <w:rsid w:val="00651ADF"/>
    <w:rsid w:val="006520F2"/>
    <w:rsid w:val="0065305D"/>
    <w:rsid w:val="00653615"/>
    <w:rsid w:val="006565A3"/>
    <w:rsid w:val="0065742E"/>
    <w:rsid w:val="00661D13"/>
    <w:rsid w:val="00661E34"/>
    <w:rsid w:val="00662C2B"/>
    <w:rsid w:val="0066309E"/>
    <w:rsid w:val="00663905"/>
    <w:rsid w:val="00663B11"/>
    <w:rsid w:val="00664332"/>
    <w:rsid w:val="006645B7"/>
    <w:rsid w:val="006672D1"/>
    <w:rsid w:val="006673B7"/>
    <w:rsid w:val="00670292"/>
    <w:rsid w:val="006707D3"/>
    <w:rsid w:val="00672FCB"/>
    <w:rsid w:val="00673812"/>
    <w:rsid w:val="00674E33"/>
    <w:rsid w:val="00675470"/>
    <w:rsid w:val="00675F22"/>
    <w:rsid w:val="00681343"/>
    <w:rsid w:val="00683394"/>
    <w:rsid w:val="00683E34"/>
    <w:rsid w:val="00685637"/>
    <w:rsid w:val="00685735"/>
    <w:rsid w:val="00686921"/>
    <w:rsid w:val="00690D6C"/>
    <w:rsid w:val="00690F82"/>
    <w:rsid w:val="0069148B"/>
    <w:rsid w:val="00691926"/>
    <w:rsid w:val="00692274"/>
    <w:rsid w:val="006927DE"/>
    <w:rsid w:val="00692C39"/>
    <w:rsid w:val="0069499E"/>
    <w:rsid w:val="00696BCB"/>
    <w:rsid w:val="00696C67"/>
    <w:rsid w:val="00697726"/>
    <w:rsid w:val="00697FFE"/>
    <w:rsid w:val="006A0BA3"/>
    <w:rsid w:val="006A13C2"/>
    <w:rsid w:val="006A23CC"/>
    <w:rsid w:val="006A4428"/>
    <w:rsid w:val="006A4B3E"/>
    <w:rsid w:val="006A562F"/>
    <w:rsid w:val="006B2063"/>
    <w:rsid w:val="006B26C9"/>
    <w:rsid w:val="006B2E98"/>
    <w:rsid w:val="006B3107"/>
    <w:rsid w:val="006B318A"/>
    <w:rsid w:val="006B3558"/>
    <w:rsid w:val="006B48B8"/>
    <w:rsid w:val="006B7069"/>
    <w:rsid w:val="006B7B08"/>
    <w:rsid w:val="006C141D"/>
    <w:rsid w:val="006C2567"/>
    <w:rsid w:val="006C25A9"/>
    <w:rsid w:val="006C41B4"/>
    <w:rsid w:val="006C4E88"/>
    <w:rsid w:val="006C619F"/>
    <w:rsid w:val="006C6C36"/>
    <w:rsid w:val="006C6F2E"/>
    <w:rsid w:val="006D099D"/>
    <w:rsid w:val="006D0C1B"/>
    <w:rsid w:val="006D0D24"/>
    <w:rsid w:val="006E0140"/>
    <w:rsid w:val="006E038E"/>
    <w:rsid w:val="006E0B21"/>
    <w:rsid w:val="006E0D71"/>
    <w:rsid w:val="006E2C70"/>
    <w:rsid w:val="006E2F31"/>
    <w:rsid w:val="006E3AE9"/>
    <w:rsid w:val="006E43C4"/>
    <w:rsid w:val="006E4D5C"/>
    <w:rsid w:val="006E5D28"/>
    <w:rsid w:val="006E7455"/>
    <w:rsid w:val="006E74C3"/>
    <w:rsid w:val="006E7990"/>
    <w:rsid w:val="006F055D"/>
    <w:rsid w:val="006F0CB3"/>
    <w:rsid w:val="006F157C"/>
    <w:rsid w:val="006F2163"/>
    <w:rsid w:val="006F24E3"/>
    <w:rsid w:val="006F3338"/>
    <w:rsid w:val="006F38BB"/>
    <w:rsid w:val="006F3D3E"/>
    <w:rsid w:val="006F3ED7"/>
    <w:rsid w:val="006F4E0A"/>
    <w:rsid w:val="006F545D"/>
    <w:rsid w:val="006F674B"/>
    <w:rsid w:val="006F79CD"/>
    <w:rsid w:val="006F7D78"/>
    <w:rsid w:val="0070119E"/>
    <w:rsid w:val="0070163D"/>
    <w:rsid w:val="0070194F"/>
    <w:rsid w:val="00701DD0"/>
    <w:rsid w:val="007037C6"/>
    <w:rsid w:val="00703BEA"/>
    <w:rsid w:val="0070562E"/>
    <w:rsid w:val="00706B88"/>
    <w:rsid w:val="00706DAC"/>
    <w:rsid w:val="00707A14"/>
    <w:rsid w:val="007116BB"/>
    <w:rsid w:val="00712E17"/>
    <w:rsid w:val="00712F88"/>
    <w:rsid w:val="007132EF"/>
    <w:rsid w:val="007135FA"/>
    <w:rsid w:val="00714F56"/>
    <w:rsid w:val="007152B0"/>
    <w:rsid w:val="00715651"/>
    <w:rsid w:val="00715A8E"/>
    <w:rsid w:val="00720347"/>
    <w:rsid w:val="007227F1"/>
    <w:rsid w:val="0072295C"/>
    <w:rsid w:val="00723469"/>
    <w:rsid w:val="00725AC1"/>
    <w:rsid w:val="00730635"/>
    <w:rsid w:val="00730B82"/>
    <w:rsid w:val="00730FE9"/>
    <w:rsid w:val="00731027"/>
    <w:rsid w:val="007316FB"/>
    <w:rsid w:val="0073189A"/>
    <w:rsid w:val="00731A2E"/>
    <w:rsid w:val="007349A2"/>
    <w:rsid w:val="00735C4B"/>
    <w:rsid w:val="007366D9"/>
    <w:rsid w:val="00736993"/>
    <w:rsid w:val="0074141C"/>
    <w:rsid w:val="0074202F"/>
    <w:rsid w:val="00742468"/>
    <w:rsid w:val="00742EC5"/>
    <w:rsid w:val="00743292"/>
    <w:rsid w:val="00743771"/>
    <w:rsid w:val="0074519D"/>
    <w:rsid w:val="00745D18"/>
    <w:rsid w:val="00746921"/>
    <w:rsid w:val="00747281"/>
    <w:rsid w:val="0075036F"/>
    <w:rsid w:val="00750474"/>
    <w:rsid w:val="00750EB4"/>
    <w:rsid w:val="007510E9"/>
    <w:rsid w:val="00752203"/>
    <w:rsid w:val="00752515"/>
    <w:rsid w:val="0075366A"/>
    <w:rsid w:val="00753743"/>
    <w:rsid w:val="0075394E"/>
    <w:rsid w:val="0075439D"/>
    <w:rsid w:val="00754B28"/>
    <w:rsid w:val="00756568"/>
    <w:rsid w:val="0075660D"/>
    <w:rsid w:val="007573F4"/>
    <w:rsid w:val="00757433"/>
    <w:rsid w:val="007575C5"/>
    <w:rsid w:val="0076014F"/>
    <w:rsid w:val="00760682"/>
    <w:rsid w:val="00760EE9"/>
    <w:rsid w:val="00760F0C"/>
    <w:rsid w:val="00760F78"/>
    <w:rsid w:val="00761F1F"/>
    <w:rsid w:val="0076364C"/>
    <w:rsid w:val="007636E4"/>
    <w:rsid w:val="00764214"/>
    <w:rsid w:val="00765550"/>
    <w:rsid w:val="00765B8B"/>
    <w:rsid w:val="00765DFD"/>
    <w:rsid w:val="00766330"/>
    <w:rsid w:val="00766997"/>
    <w:rsid w:val="0076742D"/>
    <w:rsid w:val="00767E27"/>
    <w:rsid w:val="00767ED1"/>
    <w:rsid w:val="00770793"/>
    <w:rsid w:val="00770A96"/>
    <w:rsid w:val="00771B33"/>
    <w:rsid w:val="00772F14"/>
    <w:rsid w:val="007732DE"/>
    <w:rsid w:val="00773761"/>
    <w:rsid w:val="00773898"/>
    <w:rsid w:val="007739B3"/>
    <w:rsid w:val="0078071B"/>
    <w:rsid w:val="007811A7"/>
    <w:rsid w:val="007822F6"/>
    <w:rsid w:val="0078241A"/>
    <w:rsid w:val="00783E58"/>
    <w:rsid w:val="007849BD"/>
    <w:rsid w:val="00785821"/>
    <w:rsid w:val="007867FD"/>
    <w:rsid w:val="00787C4F"/>
    <w:rsid w:val="00790BD0"/>
    <w:rsid w:val="00791318"/>
    <w:rsid w:val="00791A44"/>
    <w:rsid w:val="00792935"/>
    <w:rsid w:val="00794E28"/>
    <w:rsid w:val="0079512C"/>
    <w:rsid w:val="00795840"/>
    <w:rsid w:val="0079670D"/>
    <w:rsid w:val="00796EC7"/>
    <w:rsid w:val="007970E6"/>
    <w:rsid w:val="007A0769"/>
    <w:rsid w:val="007A0CB2"/>
    <w:rsid w:val="007A1FC7"/>
    <w:rsid w:val="007A235C"/>
    <w:rsid w:val="007A23E0"/>
    <w:rsid w:val="007A287C"/>
    <w:rsid w:val="007A28F4"/>
    <w:rsid w:val="007A2CEB"/>
    <w:rsid w:val="007A6157"/>
    <w:rsid w:val="007A7C63"/>
    <w:rsid w:val="007B0C8E"/>
    <w:rsid w:val="007B1146"/>
    <w:rsid w:val="007B175C"/>
    <w:rsid w:val="007B2C23"/>
    <w:rsid w:val="007B4B51"/>
    <w:rsid w:val="007B7446"/>
    <w:rsid w:val="007C2445"/>
    <w:rsid w:val="007C2A7C"/>
    <w:rsid w:val="007C30CA"/>
    <w:rsid w:val="007C462E"/>
    <w:rsid w:val="007C5AA0"/>
    <w:rsid w:val="007C5EF3"/>
    <w:rsid w:val="007C66E0"/>
    <w:rsid w:val="007C693E"/>
    <w:rsid w:val="007D0843"/>
    <w:rsid w:val="007D09AA"/>
    <w:rsid w:val="007D0B23"/>
    <w:rsid w:val="007D0B35"/>
    <w:rsid w:val="007D18CD"/>
    <w:rsid w:val="007D2E1F"/>
    <w:rsid w:val="007D3BB0"/>
    <w:rsid w:val="007D44A2"/>
    <w:rsid w:val="007D5DC9"/>
    <w:rsid w:val="007D6438"/>
    <w:rsid w:val="007D6714"/>
    <w:rsid w:val="007E0302"/>
    <w:rsid w:val="007E092D"/>
    <w:rsid w:val="007E18C6"/>
    <w:rsid w:val="007E2462"/>
    <w:rsid w:val="007E2915"/>
    <w:rsid w:val="007E2ADC"/>
    <w:rsid w:val="007E305E"/>
    <w:rsid w:val="007E39C8"/>
    <w:rsid w:val="007E47B3"/>
    <w:rsid w:val="007E52BA"/>
    <w:rsid w:val="007E55DA"/>
    <w:rsid w:val="007E60A8"/>
    <w:rsid w:val="007E74E6"/>
    <w:rsid w:val="007F1262"/>
    <w:rsid w:val="007F35B6"/>
    <w:rsid w:val="007F37BA"/>
    <w:rsid w:val="007F3F21"/>
    <w:rsid w:val="007F5419"/>
    <w:rsid w:val="007F60EB"/>
    <w:rsid w:val="00801FB4"/>
    <w:rsid w:val="0080267D"/>
    <w:rsid w:val="00803302"/>
    <w:rsid w:val="00803C64"/>
    <w:rsid w:val="008042D9"/>
    <w:rsid w:val="00804544"/>
    <w:rsid w:val="0080460F"/>
    <w:rsid w:val="008056E0"/>
    <w:rsid w:val="00806035"/>
    <w:rsid w:val="008071BF"/>
    <w:rsid w:val="00807707"/>
    <w:rsid w:val="00813D62"/>
    <w:rsid w:val="0081494B"/>
    <w:rsid w:val="00814C09"/>
    <w:rsid w:val="008159B4"/>
    <w:rsid w:val="00816812"/>
    <w:rsid w:val="00816C49"/>
    <w:rsid w:val="008175C5"/>
    <w:rsid w:val="00823260"/>
    <w:rsid w:val="00824927"/>
    <w:rsid w:val="00825281"/>
    <w:rsid w:val="00825661"/>
    <w:rsid w:val="008271C4"/>
    <w:rsid w:val="008279DF"/>
    <w:rsid w:val="00830B48"/>
    <w:rsid w:val="0083192C"/>
    <w:rsid w:val="00834C25"/>
    <w:rsid w:val="00835D03"/>
    <w:rsid w:val="00835DA2"/>
    <w:rsid w:val="00836475"/>
    <w:rsid w:val="0083730F"/>
    <w:rsid w:val="00840AD5"/>
    <w:rsid w:val="00840D6D"/>
    <w:rsid w:val="00842EE1"/>
    <w:rsid w:val="008443AC"/>
    <w:rsid w:val="008451DE"/>
    <w:rsid w:val="00846544"/>
    <w:rsid w:val="008504F2"/>
    <w:rsid w:val="008513D4"/>
    <w:rsid w:val="0085175E"/>
    <w:rsid w:val="0085306B"/>
    <w:rsid w:val="00853332"/>
    <w:rsid w:val="00854424"/>
    <w:rsid w:val="008579AC"/>
    <w:rsid w:val="00860873"/>
    <w:rsid w:val="00860B2A"/>
    <w:rsid w:val="008612E0"/>
    <w:rsid w:val="00861894"/>
    <w:rsid w:val="00862ADB"/>
    <w:rsid w:val="00862E03"/>
    <w:rsid w:val="00864A2B"/>
    <w:rsid w:val="008669B4"/>
    <w:rsid w:val="008672C3"/>
    <w:rsid w:val="008678B8"/>
    <w:rsid w:val="00871032"/>
    <w:rsid w:val="0087140E"/>
    <w:rsid w:val="008716E3"/>
    <w:rsid w:val="008727F7"/>
    <w:rsid w:val="00873E73"/>
    <w:rsid w:val="00874B7B"/>
    <w:rsid w:val="00875C16"/>
    <w:rsid w:val="008771DA"/>
    <w:rsid w:val="00880184"/>
    <w:rsid w:val="00881739"/>
    <w:rsid w:val="00881C74"/>
    <w:rsid w:val="00881E5E"/>
    <w:rsid w:val="00882054"/>
    <w:rsid w:val="00883935"/>
    <w:rsid w:val="008844A6"/>
    <w:rsid w:val="00885324"/>
    <w:rsid w:val="0088578D"/>
    <w:rsid w:val="008867E4"/>
    <w:rsid w:val="00886892"/>
    <w:rsid w:val="008873CF"/>
    <w:rsid w:val="008876F6"/>
    <w:rsid w:val="0089173B"/>
    <w:rsid w:val="00892DE1"/>
    <w:rsid w:val="00894589"/>
    <w:rsid w:val="00895C8C"/>
    <w:rsid w:val="00897180"/>
    <w:rsid w:val="008A12E2"/>
    <w:rsid w:val="008A163F"/>
    <w:rsid w:val="008A1E7C"/>
    <w:rsid w:val="008A1FAA"/>
    <w:rsid w:val="008A207B"/>
    <w:rsid w:val="008A2638"/>
    <w:rsid w:val="008A2EDF"/>
    <w:rsid w:val="008A3DDC"/>
    <w:rsid w:val="008A51E5"/>
    <w:rsid w:val="008A5BB9"/>
    <w:rsid w:val="008A6412"/>
    <w:rsid w:val="008A6860"/>
    <w:rsid w:val="008A6EF2"/>
    <w:rsid w:val="008A752B"/>
    <w:rsid w:val="008B00A0"/>
    <w:rsid w:val="008B0171"/>
    <w:rsid w:val="008B2127"/>
    <w:rsid w:val="008B522A"/>
    <w:rsid w:val="008B66AE"/>
    <w:rsid w:val="008B6918"/>
    <w:rsid w:val="008B6C68"/>
    <w:rsid w:val="008C0533"/>
    <w:rsid w:val="008C05BA"/>
    <w:rsid w:val="008C0668"/>
    <w:rsid w:val="008C0C24"/>
    <w:rsid w:val="008C1742"/>
    <w:rsid w:val="008C31E8"/>
    <w:rsid w:val="008C3D59"/>
    <w:rsid w:val="008C49CD"/>
    <w:rsid w:val="008C51DB"/>
    <w:rsid w:val="008C5222"/>
    <w:rsid w:val="008C66C5"/>
    <w:rsid w:val="008C6DC8"/>
    <w:rsid w:val="008D03C2"/>
    <w:rsid w:val="008D0CF8"/>
    <w:rsid w:val="008D344C"/>
    <w:rsid w:val="008D4082"/>
    <w:rsid w:val="008D46D2"/>
    <w:rsid w:val="008D5BFD"/>
    <w:rsid w:val="008D6568"/>
    <w:rsid w:val="008D6FCE"/>
    <w:rsid w:val="008D72B0"/>
    <w:rsid w:val="008D78EE"/>
    <w:rsid w:val="008D7ECF"/>
    <w:rsid w:val="008E0251"/>
    <w:rsid w:val="008E0460"/>
    <w:rsid w:val="008E144D"/>
    <w:rsid w:val="008E1F23"/>
    <w:rsid w:val="008E3296"/>
    <w:rsid w:val="008E4263"/>
    <w:rsid w:val="008E42B0"/>
    <w:rsid w:val="008E4973"/>
    <w:rsid w:val="008E4DE9"/>
    <w:rsid w:val="008E538C"/>
    <w:rsid w:val="008E6636"/>
    <w:rsid w:val="008E664A"/>
    <w:rsid w:val="008E793B"/>
    <w:rsid w:val="008F24FC"/>
    <w:rsid w:val="008F2913"/>
    <w:rsid w:val="008F30D5"/>
    <w:rsid w:val="008F5DB5"/>
    <w:rsid w:val="008F6085"/>
    <w:rsid w:val="008F6BEC"/>
    <w:rsid w:val="008F7B0C"/>
    <w:rsid w:val="00900E2B"/>
    <w:rsid w:val="00901B50"/>
    <w:rsid w:val="009031C4"/>
    <w:rsid w:val="00907659"/>
    <w:rsid w:val="00910546"/>
    <w:rsid w:val="009105A6"/>
    <w:rsid w:val="00911FF0"/>
    <w:rsid w:val="009129BC"/>
    <w:rsid w:val="009131B5"/>
    <w:rsid w:val="00916815"/>
    <w:rsid w:val="00916AB9"/>
    <w:rsid w:val="00920779"/>
    <w:rsid w:val="00920B99"/>
    <w:rsid w:val="00922145"/>
    <w:rsid w:val="00922281"/>
    <w:rsid w:val="00923E5D"/>
    <w:rsid w:val="00924BEB"/>
    <w:rsid w:val="009256C3"/>
    <w:rsid w:val="009260DF"/>
    <w:rsid w:val="009262DE"/>
    <w:rsid w:val="00927788"/>
    <w:rsid w:val="009277F2"/>
    <w:rsid w:val="00927921"/>
    <w:rsid w:val="0093053C"/>
    <w:rsid w:val="009306E8"/>
    <w:rsid w:val="00931373"/>
    <w:rsid w:val="009330DD"/>
    <w:rsid w:val="00933289"/>
    <w:rsid w:val="009341E7"/>
    <w:rsid w:val="009354E0"/>
    <w:rsid w:val="009357AB"/>
    <w:rsid w:val="00936BF1"/>
    <w:rsid w:val="00937A81"/>
    <w:rsid w:val="00937D69"/>
    <w:rsid w:val="009406E6"/>
    <w:rsid w:val="00942E78"/>
    <w:rsid w:val="009440E9"/>
    <w:rsid w:val="009442A3"/>
    <w:rsid w:val="00945493"/>
    <w:rsid w:val="009454A0"/>
    <w:rsid w:val="00945AD0"/>
    <w:rsid w:val="00947CA8"/>
    <w:rsid w:val="00950388"/>
    <w:rsid w:val="00950389"/>
    <w:rsid w:val="00953E2E"/>
    <w:rsid w:val="00954A7A"/>
    <w:rsid w:val="00955745"/>
    <w:rsid w:val="009578EB"/>
    <w:rsid w:val="0096057A"/>
    <w:rsid w:val="00960F52"/>
    <w:rsid w:val="00961085"/>
    <w:rsid w:val="00961101"/>
    <w:rsid w:val="00962B23"/>
    <w:rsid w:val="00966A7C"/>
    <w:rsid w:val="00966E45"/>
    <w:rsid w:val="009679B1"/>
    <w:rsid w:val="00967FE7"/>
    <w:rsid w:val="00971AE8"/>
    <w:rsid w:val="0097213E"/>
    <w:rsid w:val="00972EE0"/>
    <w:rsid w:val="00973462"/>
    <w:rsid w:val="00973A07"/>
    <w:rsid w:val="00974141"/>
    <w:rsid w:val="00974B8B"/>
    <w:rsid w:val="00974E7C"/>
    <w:rsid w:val="00975657"/>
    <w:rsid w:val="009779DD"/>
    <w:rsid w:val="0098173E"/>
    <w:rsid w:val="009825C8"/>
    <w:rsid w:val="009828C8"/>
    <w:rsid w:val="009840EC"/>
    <w:rsid w:val="00984AB4"/>
    <w:rsid w:val="00984BB7"/>
    <w:rsid w:val="00985A94"/>
    <w:rsid w:val="00985AAA"/>
    <w:rsid w:val="00990252"/>
    <w:rsid w:val="009919B2"/>
    <w:rsid w:val="009923A8"/>
    <w:rsid w:val="00995B10"/>
    <w:rsid w:val="0099653B"/>
    <w:rsid w:val="009A01C0"/>
    <w:rsid w:val="009A1457"/>
    <w:rsid w:val="009A3811"/>
    <w:rsid w:val="009A401D"/>
    <w:rsid w:val="009A438C"/>
    <w:rsid w:val="009A5AD4"/>
    <w:rsid w:val="009A71D7"/>
    <w:rsid w:val="009A7BE4"/>
    <w:rsid w:val="009B1976"/>
    <w:rsid w:val="009B3037"/>
    <w:rsid w:val="009B3592"/>
    <w:rsid w:val="009B4368"/>
    <w:rsid w:val="009B508F"/>
    <w:rsid w:val="009B53F0"/>
    <w:rsid w:val="009B5ADE"/>
    <w:rsid w:val="009B66CD"/>
    <w:rsid w:val="009B7552"/>
    <w:rsid w:val="009B7893"/>
    <w:rsid w:val="009C0226"/>
    <w:rsid w:val="009C14F1"/>
    <w:rsid w:val="009C175C"/>
    <w:rsid w:val="009C1FE9"/>
    <w:rsid w:val="009C2943"/>
    <w:rsid w:val="009C36E1"/>
    <w:rsid w:val="009C39C1"/>
    <w:rsid w:val="009C3A6E"/>
    <w:rsid w:val="009C3E60"/>
    <w:rsid w:val="009C5C02"/>
    <w:rsid w:val="009C61E6"/>
    <w:rsid w:val="009C6FBF"/>
    <w:rsid w:val="009C73D4"/>
    <w:rsid w:val="009C7601"/>
    <w:rsid w:val="009C7B45"/>
    <w:rsid w:val="009C7C52"/>
    <w:rsid w:val="009D0059"/>
    <w:rsid w:val="009D1293"/>
    <w:rsid w:val="009D179D"/>
    <w:rsid w:val="009D22F1"/>
    <w:rsid w:val="009D2F76"/>
    <w:rsid w:val="009D3217"/>
    <w:rsid w:val="009D3596"/>
    <w:rsid w:val="009D3A82"/>
    <w:rsid w:val="009D3ECC"/>
    <w:rsid w:val="009D4E47"/>
    <w:rsid w:val="009D5AD8"/>
    <w:rsid w:val="009D5C32"/>
    <w:rsid w:val="009D6381"/>
    <w:rsid w:val="009D6C24"/>
    <w:rsid w:val="009D6C89"/>
    <w:rsid w:val="009D7308"/>
    <w:rsid w:val="009E05BE"/>
    <w:rsid w:val="009E1685"/>
    <w:rsid w:val="009E279B"/>
    <w:rsid w:val="009E34EA"/>
    <w:rsid w:val="009E35B2"/>
    <w:rsid w:val="009E385D"/>
    <w:rsid w:val="009E38A2"/>
    <w:rsid w:val="009E3E70"/>
    <w:rsid w:val="009E4DD0"/>
    <w:rsid w:val="009E6F8A"/>
    <w:rsid w:val="009E77CE"/>
    <w:rsid w:val="009E7B99"/>
    <w:rsid w:val="009F03F1"/>
    <w:rsid w:val="009F1E92"/>
    <w:rsid w:val="009F2FEA"/>
    <w:rsid w:val="009F44A6"/>
    <w:rsid w:val="009F4EFB"/>
    <w:rsid w:val="009F6476"/>
    <w:rsid w:val="00A00427"/>
    <w:rsid w:val="00A02BD7"/>
    <w:rsid w:val="00A03A4C"/>
    <w:rsid w:val="00A05A36"/>
    <w:rsid w:val="00A07867"/>
    <w:rsid w:val="00A1051A"/>
    <w:rsid w:val="00A10538"/>
    <w:rsid w:val="00A11FF5"/>
    <w:rsid w:val="00A1220D"/>
    <w:rsid w:val="00A12B10"/>
    <w:rsid w:val="00A13088"/>
    <w:rsid w:val="00A136A1"/>
    <w:rsid w:val="00A138EC"/>
    <w:rsid w:val="00A150C9"/>
    <w:rsid w:val="00A15B41"/>
    <w:rsid w:val="00A15EB2"/>
    <w:rsid w:val="00A20189"/>
    <w:rsid w:val="00A209D6"/>
    <w:rsid w:val="00A20F4C"/>
    <w:rsid w:val="00A211E4"/>
    <w:rsid w:val="00A2228C"/>
    <w:rsid w:val="00A2231A"/>
    <w:rsid w:val="00A22FB4"/>
    <w:rsid w:val="00A23729"/>
    <w:rsid w:val="00A24113"/>
    <w:rsid w:val="00A256C6"/>
    <w:rsid w:val="00A262EA"/>
    <w:rsid w:val="00A2631A"/>
    <w:rsid w:val="00A31650"/>
    <w:rsid w:val="00A32421"/>
    <w:rsid w:val="00A32A2F"/>
    <w:rsid w:val="00A33C75"/>
    <w:rsid w:val="00A35064"/>
    <w:rsid w:val="00A35885"/>
    <w:rsid w:val="00A35972"/>
    <w:rsid w:val="00A3674B"/>
    <w:rsid w:val="00A37C67"/>
    <w:rsid w:val="00A40582"/>
    <w:rsid w:val="00A407EC"/>
    <w:rsid w:val="00A40E4D"/>
    <w:rsid w:val="00A42181"/>
    <w:rsid w:val="00A42939"/>
    <w:rsid w:val="00A46288"/>
    <w:rsid w:val="00A46B88"/>
    <w:rsid w:val="00A46C64"/>
    <w:rsid w:val="00A52526"/>
    <w:rsid w:val="00A52B15"/>
    <w:rsid w:val="00A52B51"/>
    <w:rsid w:val="00A52D3F"/>
    <w:rsid w:val="00A53291"/>
    <w:rsid w:val="00A538D9"/>
    <w:rsid w:val="00A53FFE"/>
    <w:rsid w:val="00A547EA"/>
    <w:rsid w:val="00A56E15"/>
    <w:rsid w:val="00A57DC6"/>
    <w:rsid w:val="00A609BF"/>
    <w:rsid w:val="00A60F56"/>
    <w:rsid w:val="00A61E05"/>
    <w:rsid w:val="00A620C2"/>
    <w:rsid w:val="00A62AD0"/>
    <w:rsid w:val="00A62D3D"/>
    <w:rsid w:val="00A635DB"/>
    <w:rsid w:val="00A64185"/>
    <w:rsid w:val="00A64AE0"/>
    <w:rsid w:val="00A65167"/>
    <w:rsid w:val="00A662C4"/>
    <w:rsid w:val="00A66A91"/>
    <w:rsid w:val="00A67E26"/>
    <w:rsid w:val="00A67EFA"/>
    <w:rsid w:val="00A71880"/>
    <w:rsid w:val="00A739B6"/>
    <w:rsid w:val="00A7438A"/>
    <w:rsid w:val="00A77AAA"/>
    <w:rsid w:val="00A8288A"/>
    <w:rsid w:val="00A82C6E"/>
    <w:rsid w:val="00A83AA0"/>
    <w:rsid w:val="00A8481B"/>
    <w:rsid w:val="00A852B3"/>
    <w:rsid w:val="00A876E4"/>
    <w:rsid w:val="00A87BD1"/>
    <w:rsid w:val="00A90021"/>
    <w:rsid w:val="00A90BF8"/>
    <w:rsid w:val="00A917CB"/>
    <w:rsid w:val="00A91B76"/>
    <w:rsid w:val="00A92231"/>
    <w:rsid w:val="00A9332D"/>
    <w:rsid w:val="00A935D3"/>
    <w:rsid w:val="00A940C5"/>
    <w:rsid w:val="00A95815"/>
    <w:rsid w:val="00A95B49"/>
    <w:rsid w:val="00A96B98"/>
    <w:rsid w:val="00A96CBD"/>
    <w:rsid w:val="00A9705A"/>
    <w:rsid w:val="00A9788A"/>
    <w:rsid w:val="00AA0624"/>
    <w:rsid w:val="00AA0713"/>
    <w:rsid w:val="00AA0CC6"/>
    <w:rsid w:val="00AA4682"/>
    <w:rsid w:val="00AA5340"/>
    <w:rsid w:val="00AA5927"/>
    <w:rsid w:val="00AA7978"/>
    <w:rsid w:val="00AA7C57"/>
    <w:rsid w:val="00AB4785"/>
    <w:rsid w:val="00AB49FC"/>
    <w:rsid w:val="00AB50E1"/>
    <w:rsid w:val="00AB51C2"/>
    <w:rsid w:val="00AB52BA"/>
    <w:rsid w:val="00AB5377"/>
    <w:rsid w:val="00AB56DA"/>
    <w:rsid w:val="00AB5B03"/>
    <w:rsid w:val="00AB63C2"/>
    <w:rsid w:val="00AB78A1"/>
    <w:rsid w:val="00AC00FE"/>
    <w:rsid w:val="00AC095F"/>
    <w:rsid w:val="00AC0DDB"/>
    <w:rsid w:val="00AC39CB"/>
    <w:rsid w:val="00AC4DAE"/>
    <w:rsid w:val="00AC4DED"/>
    <w:rsid w:val="00AC55BA"/>
    <w:rsid w:val="00AC5A5E"/>
    <w:rsid w:val="00AC6ABB"/>
    <w:rsid w:val="00AC7138"/>
    <w:rsid w:val="00AC769C"/>
    <w:rsid w:val="00AC7735"/>
    <w:rsid w:val="00AD07A9"/>
    <w:rsid w:val="00AD28D7"/>
    <w:rsid w:val="00AD2EA8"/>
    <w:rsid w:val="00AD2F83"/>
    <w:rsid w:val="00AD392F"/>
    <w:rsid w:val="00AD3EA2"/>
    <w:rsid w:val="00AD4614"/>
    <w:rsid w:val="00AD4A30"/>
    <w:rsid w:val="00AD4D70"/>
    <w:rsid w:val="00AD5159"/>
    <w:rsid w:val="00AD71D6"/>
    <w:rsid w:val="00AE031D"/>
    <w:rsid w:val="00AE0CB1"/>
    <w:rsid w:val="00AE1D97"/>
    <w:rsid w:val="00AE2E63"/>
    <w:rsid w:val="00AE34C0"/>
    <w:rsid w:val="00AE414D"/>
    <w:rsid w:val="00AE46D8"/>
    <w:rsid w:val="00AE474F"/>
    <w:rsid w:val="00AE4D37"/>
    <w:rsid w:val="00AE4EAC"/>
    <w:rsid w:val="00AE6A9A"/>
    <w:rsid w:val="00AE6B1C"/>
    <w:rsid w:val="00AE75C9"/>
    <w:rsid w:val="00AE7B22"/>
    <w:rsid w:val="00AF0912"/>
    <w:rsid w:val="00AF117C"/>
    <w:rsid w:val="00AF30EA"/>
    <w:rsid w:val="00AF3AEC"/>
    <w:rsid w:val="00AF3BE0"/>
    <w:rsid w:val="00AF4BB2"/>
    <w:rsid w:val="00AF4F2B"/>
    <w:rsid w:val="00AF53A0"/>
    <w:rsid w:val="00AF61D4"/>
    <w:rsid w:val="00AF7D64"/>
    <w:rsid w:val="00B026A9"/>
    <w:rsid w:val="00B06F28"/>
    <w:rsid w:val="00B10788"/>
    <w:rsid w:val="00B11A13"/>
    <w:rsid w:val="00B12705"/>
    <w:rsid w:val="00B14F7C"/>
    <w:rsid w:val="00B16BD0"/>
    <w:rsid w:val="00B17551"/>
    <w:rsid w:val="00B2028F"/>
    <w:rsid w:val="00B2097F"/>
    <w:rsid w:val="00B20E27"/>
    <w:rsid w:val="00B22E66"/>
    <w:rsid w:val="00B22FBA"/>
    <w:rsid w:val="00B23BF2"/>
    <w:rsid w:val="00B24846"/>
    <w:rsid w:val="00B25AED"/>
    <w:rsid w:val="00B26D06"/>
    <w:rsid w:val="00B26D45"/>
    <w:rsid w:val="00B3140B"/>
    <w:rsid w:val="00B317B6"/>
    <w:rsid w:val="00B32044"/>
    <w:rsid w:val="00B321DC"/>
    <w:rsid w:val="00B3324B"/>
    <w:rsid w:val="00B34E96"/>
    <w:rsid w:val="00B353C8"/>
    <w:rsid w:val="00B35713"/>
    <w:rsid w:val="00B36715"/>
    <w:rsid w:val="00B373A5"/>
    <w:rsid w:val="00B4073A"/>
    <w:rsid w:val="00B41DF7"/>
    <w:rsid w:val="00B42301"/>
    <w:rsid w:val="00B43D8D"/>
    <w:rsid w:val="00B44A39"/>
    <w:rsid w:val="00B452ED"/>
    <w:rsid w:val="00B46187"/>
    <w:rsid w:val="00B4668D"/>
    <w:rsid w:val="00B50BAF"/>
    <w:rsid w:val="00B52705"/>
    <w:rsid w:val="00B52808"/>
    <w:rsid w:val="00B530D2"/>
    <w:rsid w:val="00B53192"/>
    <w:rsid w:val="00B54FB9"/>
    <w:rsid w:val="00B55757"/>
    <w:rsid w:val="00B56204"/>
    <w:rsid w:val="00B576C4"/>
    <w:rsid w:val="00B578EB"/>
    <w:rsid w:val="00B57BAF"/>
    <w:rsid w:val="00B57DC7"/>
    <w:rsid w:val="00B60ED8"/>
    <w:rsid w:val="00B62DD2"/>
    <w:rsid w:val="00B640CF"/>
    <w:rsid w:val="00B64B10"/>
    <w:rsid w:val="00B67338"/>
    <w:rsid w:val="00B67A97"/>
    <w:rsid w:val="00B718F9"/>
    <w:rsid w:val="00B7242F"/>
    <w:rsid w:val="00B724E6"/>
    <w:rsid w:val="00B73879"/>
    <w:rsid w:val="00B75773"/>
    <w:rsid w:val="00B81DDF"/>
    <w:rsid w:val="00B822ED"/>
    <w:rsid w:val="00B82C72"/>
    <w:rsid w:val="00B83A26"/>
    <w:rsid w:val="00B841BF"/>
    <w:rsid w:val="00B853F2"/>
    <w:rsid w:val="00B85C4E"/>
    <w:rsid w:val="00B85CE1"/>
    <w:rsid w:val="00B86616"/>
    <w:rsid w:val="00B9050A"/>
    <w:rsid w:val="00B90C2B"/>
    <w:rsid w:val="00B94418"/>
    <w:rsid w:val="00B9522F"/>
    <w:rsid w:val="00B95853"/>
    <w:rsid w:val="00B977B6"/>
    <w:rsid w:val="00B979B7"/>
    <w:rsid w:val="00B97D95"/>
    <w:rsid w:val="00BA1936"/>
    <w:rsid w:val="00BA3150"/>
    <w:rsid w:val="00BA35AC"/>
    <w:rsid w:val="00BA3CA9"/>
    <w:rsid w:val="00BA40A9"/>
    <w:rsid w:val="00BA4800"/>
    <w:rsid w:val="00BA49FB"/>
    <w:rsid w:val="00BA60A3"/>
    <w:rsid w:val="00BB02BB"/>
    <w:rsid w:val="00BB07E1"/>
    <w:rsid w:val="00BB1AC9"/>
    <w:rsid w:val="00BB1B40"/>
    <w:rsid w:val="00BB2AD6"/>
    <w:rsid w:val="00BB35A4"/>
    <w:rsid w:val="00BB39ED"/>
    <w:rsid w:val="00BB4651"/>
    <w:rsid w:val="00BC0B91"/>
    <w:rsid w:val="00BC0F8E"/>
    <w:rsid w:val="00BC11EF"/>
    <w:rsid w:val="00BC15B3"/>
    <w:rsid w:val="00BC15F3"/>
    <w:rsid w:val="00BC1CE5"/>
    <w:rsid w:val="00BC32A6"/>
    <w:rsid w:val="00BC4620"/>
    <w:rsid w:val="00BC58DD"/>
    <w:rsid w:val="00BC5E01"/>
    <w:rsid w:val="00BC64BB"/>
    <w:rsid w:val="00BC675C"/>
    <w:rsid w:val="00BC69A1"/>
    <w:rsid w:val="00BC6DD6"/>
    <w:rsid w:val="00BC7374"/>
    <w:rsid w:val="00BC7E18"/>
    <w:rsid w:val="00BD00F2"/>
    <w:rsid w:val="00BD061F"/>
    <w:rsid w:val="00BD0901"/>
    <w:rsid w:val="00BD287A"/>
    <w:rsid w:val="00BD346D"/>
    <w:rsid w:val="00BD34E6"/>
    <w:rsid w:val="00BD3884"/>
    <w:rsid w:val="00BD3A7F"/>
    <w:rsid w:val="00BD5A56"/>
    <w:rsid w:val="00BD6612"/>
    <w:rsid w:val="00BD6D72"/>
    <w:rsid w:val="00BE0F36"/>
    <w:rsid w:val="00BE0FF9"/>
    <w:rsid w:val="00BE2B7A"/>
    <w:rsid w:val="00BE3C0B"/>
    <w:rsid w:val="00BE4176"/>
    <w:rsid w:val="00BE4190"/>
    <w:rsid w:val="00BE62F7"/>
    <w:rsid w:val="00BE760A"/>
    <w:rsid w:val="00BF38B4"/>
    <w:rsid w:val="00BF3E93"/>
    <w:rsid w:val="00BF4613"/>
    <w:rsid w:val="00BF4DDD"/>
    <w:rsid w:val="00BF52F3"/>
    <w:rsid w:val="00BF5AF1"/>
    <w:rsid w:val="00BF64E5"/>
    <w:rsid w:val="00BF73D8"/>
    <w:rsid w:val="00C03A0D"/>
    <w:rsid w:val="00C040E9"/>
    <w:rsid w:val="00C0413A"/>
    <w:rsid w:val="00C046E3"/>
    <w:rsid w:val="00C04BCC"/>
    <w:rsid w:val="00C058FA"/>
    <w:rsid w:val="00C07E83"/>
    <w:rsid w:val="00C07FC0"/>
    <w:rsid w:val="00C1036D"/>
    <w:rsid w:val="00C105BF"/>
    <w:rsid w:val="00C11497"/>
    <w:rsid w:val="00C11C57"/>
    <w:rsid w:val="00C12B39"/>
    <w:rsid w:val="00C12FBE"/>
    <w:rsid w:val="00C15DE8"/>
    <w:rsid w:val="00C160C7"/>
    <w:rsid w:val="00C1626C"/>
    <w:rsid w:val="00C1648E"/>
    <w:rsid w:val="00C165CA"/>
    <w:rsid w:val="00C178A6"/>
    <w:rsid w:val="00C17FEA"/>
    <w:rsid w:val="00C22332"/>
    <w:rsid w:val="00C2277C"/>
    <w:rsid w:val="00C241B9"/>
    <w:rsid w:val="00C24400"/>
    <w:rsid w:val="00C25223"/>
    <w:rsid w:val="00C255CD"/>
    <w:rsid w:val="00C2735F"/>
    <w:rsid w:val="00C279E0"/>
    <w:rsid w:val="00C30307"/>
    <w:rsid w:val="00C30551"/>
    <w:rsid w:val="00C3115D"/>
    <w:rsid w:val="00C318AD"/>
    <w:rsid w:val="00C32EA9"/>
    <w:rsid w:val="00C331A4"/>
    <w:rsid w:val="00C33D8F"/>
    <w:rsid w:val="00C35B73"/>
    <w:rsid w:val="00C40AD0"/>
    <w:rsid w:val="00C41375"/>
    <w:rsid w:val="00C41AB0"/>
    <w:rsid w:val="00C41FF7"/>
    <w:rsid w:val="00C4219D"/>
    <w:rsid w:val="00C427BA"/>
    <w:rsid w:val="00C42D64"/>
    <w:rsid w:val="00C4378F"/>
    <w:rsid w:val="00C438C6"/>
    <w:rsid w:val="00C449BD"/>
    <w:rsid w:val="00C458FC"/>
    <w:rsid w:val="00C45E1F"/>
    <w:rsid w:val="00C47D73"/>
    <w:rsid w:val="00C50263"/>
    <w:rsid w:val="00C50E7D"/>
    <w:rsid w:val="00C514C7"/>
    <w:rsid w:val="00C514D5"/>
    <w:rsid w:val="00C519E2"/>
    <w:rsid w:val="00C51BE9"/>
    <w:rsid w:val="00C51EFC"/>
    <w:rsid w:val="00C5212D"/>
    <w:rsid w:val="00C52676"/>
    <w:rsid w:val="00C52894"/>
    <w:rsid w:val="00C53561"/>
    <w:rsid w:val="00C53A94"/>
    <w:rsid w:val="00C54A11"/>
    <w:rsid w:val="00C55B56"/>
    <w:rsid w:val="00C56040"/>
    <w:rsid w:val="00C57352"/>
    <w:rsid w:val="00C6195B"/>
    <w:rsid w:val="00C61C69"/>
    <w:rsid w:val="00C63DD5"/>
    <w:rsid w:val="00C65C3F"/>
    <w:rsid w:val="00C66B79"/>
    <w:rsid w:val="00C707FB"/>
    <w:rsid w:val="00C7182D"/>
    <w:rsid w:val="00C71CDC"/>
    <w:rsid w:val="00C72E83"/>
    <w:rsid w:val="00C7384D"/>
    <w:rsid w:val="00C73B2E"/>
    <w:rsid w:val="00C73D67"/>
    <w:rsid w:val="00C75DFC"/>
    <w:rsid w:val="00C7768F"/>
    <w:rsid w:val="00C80AAA"/>
    <w:rsid w:val="00C8388B"/>
    <w:rsid w:val="00C83C69"/>
    <w:rsid w:val="00C8547A"/>
    <w:rsid w:val="00C85A35"/>
    <w:rsid w:val="00C85DB0"/>
    <w:rsid w:val="00C8623E"/>
    <w:rsid w:val="00C863ED"/>
    <w:rsid w:val="00C87032"/>
    <w:rsid w:val="00C87C8A"/>
    <w:rsid w:val="00C90265"/>
    <w:rsid w:val="00C91E18"/>
    <w:rsid w:val="00C92186"/>
    <w:rsid w:val="00C9308B"/>
    <w:rsid w:val="00C9309B"/>
    <w:rsid w:val="00C93738"/>
    <w:rsid w:val="00C94281"/>
    <w:rsid w:val="00C967A3"/>
    <w:rsid w:val="00C97CDA"/>
    <w:rsid w:val="00C97F62"/>
    <w:rsid w:val="00CA1E16"/>
    <w:rsid w:val="00CA22EF"/>
    <w:rsid w:val="00CA3651"/>
    <w:rsid w:val="00CA3664"/>
    <w:rsid w:val="00CA36B9"/>
    <w:rsid w:val="00CA36DA"/>
    <w:rsid w:val="00CA3D6F"/>
    <w:rsid w:val="00CA404D"/>
    <w:rsid w:val="00CA7E78"/>
    <w:rsid w:val="00CB02DE"/>
    <w:rsid w:val="00CB1797"/>
    <w:rsid w:val="00CB2729"/>
    <w:rsid w:val="00CB3379"/>
    <w:rsid w:val="00CB3A94"/>
    <w:rsid w:val="00CB41E8"/>
    <w:rsid w:val="00CB473C"/>
    <w:rsid w:val="00CB5236"/>
    <w:rsid w:val="00CB6EFF"/>
    <w:rsid w:val="00CB710A"/>
    <w:rsid w:val="00CB7435"/>
    <w:rsid w:val="00CB796C"/>
    <w:rsid w:val="00CC0605"/>
    <w:rsid w:val="00CC0A98"/>
    <w:rsid w:val="00CC0DCD"/>
    <w:rsid w:val="00CC15C4"/>
    <w:rsid w:val="00CC1F84"/>
    <w:rsid w:val="00CC6C89"/>
    <w:rsid w:val="00CC7682"/>
    <w:rsid w:val="00CC7CFB"/>
    <w:rsid w:val="00CD0287"/>
    <w:rsid w:val="00CD038E"/>
    <w:rsid w:val="00CD0A64"/>
    <w:rsid w:val="00CD1421"/>
    <w:rsid w:val="00CD1AA8"/>
    <w:rsid w:val="00CD58BF"/>
    <w:rsid w:val="00CD5D22"/>
    <w:rsid w:val="00CD6153"/>
    <w:rsid w:val="00CD68E4"/>
    <w:rsid w:val="00CE00BB"/>
    <w:rsid w:val="00CE209B"/>
    <w:rsid w:val="00CE262D"/>
    <w:rsid w:val="00CE2BB6"/>
    <w:rsid w:val="00CE445E"/>
    <w:rsid w:val="00CE4EE0"/>
    <w:rsid w:val="00CE560E"/>
    <w:rsid w:val="00CE5860"/>
    <w:rsid w:val="00CE6C3C"/>
    <w:rsid w:val="00CE7BA2"/>
    <w:rsid w:val="00CF0EDD"/>
    <w:rsid w:val="00CF1AC1"/>
    <w:rsid w:val="00CF2AEE"/>
    <w:rsid w:val="00CF3864"/>
    <w:rsid w:val="00CF58F0"/>
    <w:rsid w:val="00CF5E01"/>
    <w:rsid w:val="00CF5FDE"/>
    <w:rsid w:val="00CF693C"/>
    <w:rsid w:val="00CF753D"/>
    <w:rsid w:val="00CF7EFA"/>
    <w:rsid w:val="00D007E2"/>
    <w:rsid w:val="00D00AFE"/>
    <w:rsid w:val="00D0247A"/>
    <w:rsid w:val="00D02718"/>
    <w:rsid w:val="00D03D52"/>
    <w:rsid w:val="00D05093"/>
    <w:rsid w:val="00D050EC"/>
    <w:rsid w:val="00D101EE"/>
    <w:rsid w:val="00D108C2"/>
    <w:rsid w:val="00D12873"/>
    <w:rsid w:val="00D148D4"/>
    <w:rsid w:val="00D1535F"/>
    <w:rsid w:val="00D15A12"/>
    <w:rsid w:val="00D2352E"/>
    <w:rsid w:val="00D23E20"/>
    <w:rsid w:val="00D24F46"/>
    <w:rsid w:val="00D26669"/>
    <w:rsid w:val="00D26675"/>
    <w:rsid w:val="00D26775"/>
    <w:rsid w:val="00D26AD1"/>
    <w:rsid w:val="00D27DBD"/>
    <w:rsid w:val="00D3055D"/>
    <w:rsid w:val="00D306AD"/>
    <w:rsid w:val="00D332DC"/>
    <w:rsid w:val="00D3383F"/>
    <w:rsid w:val="00D34843"/>
    <w:rsid w:val="00D34AD3"/>
    <w:rsid w:val="00D3724A"/>
    <w:rsid w:val="00D44B8F"/>
    <w:rsid w:val="00D45AAF"/>
    <w:rsid w:val="00D46053"/>
    <w:rsid w:val="00D4675B"/>
    <w:rsid w:val="00D46DD9"/>
    <w:rsid w:val="00D5067C"/>
    <w:rsid w:val="00D50FB4"/>
    <w:rsid w:val="00D53614"/>
    <w:rsid w:val="00D53813"/>
    <w:rsid w:val="00D53A80"/>
    <w:rsid w:val="00D5483E"/>
    <w:rsid w:val="00D5546F"/>
    <w:rsid w:val="00D556D9"/>
    <w:rsid w:val="00D571C6"/>
    <w:rsid w:val="00D575E6"/>
    <w:rsid w:val="00D600E3"/>
    <w:rsid w:val="00D60A81"/>
    <w:rsid w:val="00D63188"/>
    <w:rsid w:val="00D64A6F"/>
    <w:rsid w:val="00D65B80"/>
    <w:rsid w:val="00D65E74"/>
    <w:rsid w:val="00D67E15"/>
    <w:rsid w:val="00D70182"/>
    <w:rsid w:val="00D70707"/>
    <w:rsid w:val="00D714C2"/>
    <w:rsid w:val="00D7217C"/>
    <w:rsid w:val="00D72C5D"/>
    <w:rsid w:val="00D74D91"/>
    <w:rsid w:val="00D75DAE"/>
    <w:rsid w:val="00D76430"/>
    <w:rsid w:val="00D76743"/>
    <w:rsid w:val="00D7721A"/>
    <w:rsid w:val="00D8215B"/>
    <w:rsid w:val="00D835AD"/>
    <w:rsid w:val="00D83E95"/>
    <w:rsid w:val="00D84595"/>
    <w:rsid w:val="00D86690"/>
    <w:rsid w:val="00D87174"/>
    <w:rsid w:val="00D90A15"/>
    <w:rsid w:val="00D9127A"/>
    <w:rsid w:val="00D92A22"/>
    <w:rsid w:val="00D93656"/>
    <w:rsid w:val="00D93AF6"/>
    <w:rsid w:val="00D93C8D"/>
    <w:rsid w:val="00D95C19"/>
    <w:rsid w:val="00D96358"/>
    <w:rsid w:val="00D963FB"/>
    <w:rsid w:val="00D96608"/>
    <w:rsid w:val="00DA014D"/>
    <w:rsid w:val="00DA2367"/>
    <w:rsid w:val="00DA281B"/>
    <w:rsid w:val="00DA352F"/>
    <w:rsid w:val="00DA3E69"/>
    <w:rsid w:val="00DA4960"/>
    <w:rsid w:val="00DB170E"/>
    <w:rsid w:val="00DB50A6"/>
    <w:rsid w:val="00DB5BA1"/>
    <w:rsid w:val="00DB6EE9"/>
    <w:rsid w:val="00DB772D"/>
    <w:rsid w:val="00DB7A23"/>
    <w:rsid w:val="00DB7BDF"/>
    <w:rsid w:val="00DC13A6"/>
    <w:rsid w:val="00DC17AA"/>
    <w:rsid w:val="00DC3037"/>
    <w:rsid w:val="00DC38C5"/>
    <w:rsid w:val="00DC3EB6"/>
    <w:rsid w:val="00DC4FAA"/>
    <w:rsid w:val="00DC697E"/>
    <w:rsid w:val="00DD0880"/>
    <w:rsid w:val="00DD1AAB"/>
    <w:rsid w:val="00DD24CB"/>
    <w:rsid w:val="00DD421F"/>
    <w:rsid w:val="00DD4A00"/>
    <w:rsid w:val="00DD4EC7"/>
    <w:rsid w:val="00DD5191"/>
    <w:rsid w:val="00DD614F"/>
    <w:rsid w:val="00DE0781"/>
    <w:rsid w:val="00DE0794"/>
    <w:rsid w:val="00DE0CB2"/>
    <w:rsid w:val="00DE16A6"/>
    <w:rsid w:val="00DE2B22"/>
    <w:rsid w:val="00DE2F1A"/>
    <w:rsid w:val="00DE41D4"/>
    <w:rsid w:val="00DE49F3"/>
    <w:rsid w:val="00DE55BD"/>
    <w:rsid w:val="00DE5A66"/>
    <w:rsid w:val="00DE5B1E"/>
    <w:rsid w:val="00DE600D"/>
    <w:rsid w:val="00DE6252"/>
    <w:rsid w:val="00DE6A13"/>
    <w:rsid w:val="00DE78FD"/>
    <w:rsid w:val="00DE7972"/>
    <w:rsid w:val="00DE7A3A"/>
    <w:rsid w:val="00DE7B8B"/>
    <w:rsid w:val="00DF0AF0"/>
    <w:rsid w:val="00DF1DBB"/>
    <w:rsid w:val="00DF557D"/>
    <w:rsid w:val="00DF5DB6"/>
    <w:rsid w:val="00DF5E4E"/>
    <w:rsid w:val="00DF70D6"/>
    <w:rsid w:val="00DF7630"/>
    <w:rsid w:val="00E0156C"/>
    <w:rsid w:val="00E0224A"/>
    <w:rsid w:val="00E02A60"/>
    <w:rsid w:val="00E045DC"/>
    <w:rsid w:val="00E0484F"/>
    <w:rsid w:val="00E049F8"/>
    <w:rsid w:val="00E04CBD"/>
    <w:rsid w:val="00E061A2"/>
    <w:rsid w:val="00E065D3"/>
    <w:rsid w:val="00E07363"/>
    <w:rsid w:val="00E0787E"/>
    <w:rsid w:val="00E103B5"/>
    <w:rsid w:val="00E106FE"/>
    <w:rsid w:val="00E10C03"/>
    <w:rsid w:val="00E10D7E"/>
    <w:rsid w:val="00E123EE"/>
    <w:rsid w:val="00E13396"/>
    <w:rsid w:val="00E14A25"/>
    <w:rsid w:val="00E162E7"/>
    <w:rsid w:val="00E16365"/>
    <w:rsid w:val="00E16463"/>
    <w:rsid w:val="00E1782A"/>
    <w:rsid w:val="00E208A2"/>
    <w:rsid w:val="00E208E5"/>
    <w:rsid w:val="00E20EF7"/>
    <w:rsid w:val="00E21A36"/>
    <w:rsid w:val="00E22052"/>
    <w:rsid w:val="00E22DED"/>
    <w:rsid w:val="00E253A4"/>
    <w:rsid w:val="00E2590D"/>
    <w:rsid w:val="00E260AD"/>
    <w:rsid w:val="00E268B9"/>
    <w:rsid w:val="00E269C3"/>
    <w:rsid w:val="00E304CD"/>
    <w:rsid w:val="00E30507"/>
    <w:rsid w:val="00E30A09"/>
    <w:rsid w:val="00E30AB3"/>
    <w:rsid w:val="00E30DCA"/>
    <w:rsid w:val="00E319FC"/>
    <w:rsid w:val="00E32DD8"/>
    <w:rsid w:val="00E334B5"/>
    <w:rsid w:val="00E3382F"/>
    <w:rsid w:val="00E3629B"/>
    <w:rsid w:val="00E36633"/>
    <w:rsid w:val="00E36E19"/>
    <w:rsid w:val="00E37198"/>
    <w:rsid w:val="00E37548"/>
    <w:rsid w:val="00E42510"/>
    <w:rsid w:val="00E42BB1"/>
    <w:rsid w:val="00E44655"/>
    <w:rsid w:val="00E45F24"/>
    <w:rsid w:val="00E46FD4"/>
    <w:rsid w:val="00E51476"/>
    <w:rsid w:val="00E514EF"/>
    <w:rsid w:val="00E5155A"/>
    <w:rsid w:val="00E52EE0"/>
    <w:rsid w:val="00E541F7"/>
    <w:rsid w:val="00E55638"/>
    <w:rsid w:val="00E56D29"/>
    <w:rsid w:val="00E573E9"/>
    <w:rsid w:val="00E57977"/>
    <w:rsid w:val="00E609AC"/>
    <w:rsid w:val="00E61655"/>
    <w:rsid w:val="00E627FD"/>
    <w:rsid w:val="00E628A4"/>
    <w:rsid w:val="00E62B90"/>
    <w:rsid w:val="00E638E6"/>
    <w:rsid w:val="00E64F88"/>
    <w:rsid w:val="00E6698B"/>
    <w:rsid w:val="00E67F15"/>
    <w:rsid w:val="00E73722"/>
    <w:rsid w:val="00E74033"/>
    <w:rsid w:val="00E74A01"/>
    <w:rsid w:val="00E75A8C"/>
    <w:rsid w:val="00E75F37"/>
    <w:rsid w:val="00E77A31"/>
    <w:rsid w:val="00E77FD5"/>
    <w:rsid w:val="00E80546"/>
    <w:rsid w:val="00E80EA1"/>
    <w:rsid w:val="00E819E3"/>
    <w:rsid w:val="00E82C8C"/>
    <w:rsid w:val="00E84425"/>
    <w:rsid w:val="00E85E6A"/>
    <w:rsid w:val="00E87534"/>
    <w:rsid w:val="00E91564"/>
    <w:rsid w:val="00E9262E"/>
    <w:rsid w:val="00E93A3C"/>
    <w:rsid w:val="00E94DAC"/>
    <w:rsid w:val="00E9513E"/>
    <w:rsid w:val="00E9667C"/>
    <w:rsid w:val="00E96DC5"/>
    <w:rsid w:val="00EA012C"/>
    <w:rsid w:val="00EA22D6"/>
    <w:rsid w:val="00EA2489"/>
    <w:rsid w:val="00EA2B17"/>
    <w:rsid w:val="00EA3FCF"/>
    <w:rsid w:val="00EA4117"/>
    <w:rsid w:val="00EA43C6"/>
    <w:rsid w:val="00EA4768"/>
    <w:rsid w:val="00EA6FFB"/>
    <w:rsid w:val="00EB0CF8"/>
    <w:rsid w:val="00EB14A2"/>
    <w:rsid w:val="00EB3613"/>
    <w:rsid w:val="00EB44B3"/>
    <w:rsid w:val="00EB4604"/>
    <w:rsid w:val="00EB4D00"/>
    <w:rsid w:val="00EB4D27"/>
    <w:rsid w:val="00EB4FF6"/>
    <w:rsid w:val="00EB51BD"/>
    <w:rsid w:val="00EB75D5"/>
    <w:rsid w:val="00EB7D56"/>
    <w:rsid w:val="00EC02A8"/>
    <w:rsid w:val="00EC0A65"/>
    <w:rsid w:val="00EC2A5A"/>
    <w:rsid w:val="00EC4A93"/>
    <w:rsid w:val="00EC4BD7"/>
    <w:rsid w:val="00EC6BD7"/>
    <w:rsid w:val="00EC7034"/>
    <w:rsid w:val="00ED05FD"/>
    <w:rsid w:val="00ED0958"/>
    <w:rsid w:val="00ED09EF"/>
    <w:rsid w:val="00ED1F78"/>
    <w:rsid w:val="00ED413D"/>
    <w:rsid w:val="00ED44DF"/>
    <w:rsid w:val="00ED5B10"/>
    <w:rsid w:val="00ED64CB"/>
    <w:rsid w:val="00ED6792"/>
    <w:rsid w:val="00ED67D5"/>
    <w:rsid w:val="00ED7B13"/>
    <w:rsid w:val="00EE0078"/>
    <w:rsid w:val="00EE3034"/>
    <w:rsid w:val="00EE3DC1"/>
    <w:rsid w:val="00EE4424"/>
    <w:rsid w:val="00EE487C"/>
    <w:rsid w:val="00EE4AE9"/>
    <w:rsid w:val="00EE4C68"/>
    <w:rsid w:val="00EE4D33"/>
    <w:rsid w:val="00EE537E"/>
    <w:rsid w:val="00EE548B"/>
    <w:rsid w:val="00EE679D"/>
    <w:rsid w:val="00EE6F12"/>
    <w:rsid w:val="00EE7C7A"/>
    <w:rsid w:val="00EF1544"/>
    <w:rsid w:val="00EF1E49"/>
    <w:rsid w:val="00EF4E8D"/>
    <w:rsid w:val="00EF5A1A"/>
    <w:rsid w:val="00EF612C"/>
    <w:rsid w:val="00EF623D"/>
    <w:rsid w:val="00EF62EB"/>
    <w:rsid w:val="00EF6EE2"/>
    <w:rsid w:val="00EF6F0E"/>
    <w:rsid w:val="00EF7304"/>
    <w:rsid w:val="00F028D9"/>
    <w:rsid w:val="00F03893"/>
    <w:rsid w:val="00F04FEB"/>
    <w:rsid w:val="00F0585A"/>
    <w:rsid w:val="00F05B64"/>
    <w:rsid w:val="00F06575"/>
    <w:rsid w:val="00F12366"/>
    <w:rsid w:val="00F12855"/>
    <w:rsid w:val="00F131E5"/>
    <w:rsid w:val="00F135C9"/>
    <w:rsid w:val="00F14ABC"/>
    <w:rsid w:val="00F15266"/>
    <w:rsid w:val="00F15953"/>
    <w:rsid w:val="00F162F6"/>
    <w:rsid w:val="00F17AAB"/>
    <w:rsid w:val="00F17F00"/>
    <w:rsid w:val="00F17FB8"/>
    <w:rsid w:val="00F20492"/>
    <w:rsid w:val="00F222B7"/>
    <w:rsid w:val="00F225AD"/>
    <w:rsid w:val="00F23ED0"/>
    <w:rsid w:val="00F25061"/>
    <w:rsid w:val="00F265A7"/>
    <w:rsid w:val="00F270B5"/>
    <w:rsid w:val="00F27B64"/>
    <w:rsid w:val="00F30469"/>
    <w:rsid w:val="00F31274"/>
    <w:rsid w:val="00F31505"/>
    <w:rsid w:val="00F31866"/>
    <w:rsid w:val="00F31980"/>
    <w:rsid w:val="00F319BB"/>
    <w:rsid w:val="00F3270D"/>
    <w:rsid w:val="00F32E71"/>
    <w:rsid w:val="00F343F4"/>
    <w:rsid w:val="00F3507A"/>
    <w:rsid w:val="00F365B2"/>
    <w:rsid w:val="00F37C96"/>
    <w:rsid w:val="00F37CD4"/>
    <w:rsid w:val="00F40409"/>
    <w:rsid w:val="00F40643"/>
    <w:rsid w:val="00F422A3"/>
    <w:rsid w:val="00F439D9"/>
    <w:rsid w:val="00F43CEF"/>
    <w:rsid w:val="00F43DE9"/>
    <w:rsid w:val="00F45765"/>
    <w:rsid w:val="00F4596C"/>
    <w:rsid w:val="00F464AE"/>
    <w:rsid w:val="00F4677A"/>
    <w:rsid w:val="00F471C3"/>
    <w:rsid w:val="00F47831"/>
    <w:rsid w:val="00F501E0"/>
    <w:rsid w:val="00F50EF5"/>
    <w:rsid w:val="00F51588"/>
    <w:rsid w:val="00F5434C"/>
    <w:rsid w:val="00F55299"/>
    <w:rsid w:val="00F55326"/>
    <w:rsid w:val="00F559D4"/>
    <w:rsid w:val="00F56910"/>
    <w:rsid w:val="00F5700D"/>
    <w:rsid w:val="00F57B1A"/>
    <w:rsid w:val="00F60221"/>
    <w:rsid w:val="00F6126C"/>
    <w:rsid w:val="00F61557"/>
    <w:rsid w:val="00F62146"/>
    <w:rsid w:val="00F6294A"/>
    <w:rsid w:val="00F62EB0"/>
    <w:rsid w:val="00F6329E"/>
    <w:rsid w:val="00F63607"/>
    <w:rsid w:val="00F636F4"/>
    <w:rsid w:val="00F63C81"/>
    <w:rsid w:val="00F647F9"/>
    <w:rsid w:val="00F650F6"/>
    <w:rsid w:val="00F66BCF"/>
    <w:rsid w:val="00F66F89"/>
    <w:rsid w:val="00F679B8"/>
    <w:rsid w:val="00F71BA5"/>
    <w:rsid w:val="00F731A1"/>
    <w:rsid w:val="00F736C2"/>
    <w:rsid w:val="00F73F19"/>
    <w:rsid w:val="00F747F2"/>
    <w:rsid w:val="00F751F9"/>
    <w:rsid w:val="00F7601D"/>
    <w:rsid w:val="00F7621B"/>
    <w:rsid w:val="00F77A80"/>
    <w:rsid w:val="00F80312"/>
    <w:rsid w:val="00F80A55"/>
    <w:rsid w:val="00F81002"/>
    <w:rsid w:val="00F818D9"/>
    <w:rsid w:val="00F820A7"/>
    <w:rsid w:val="00F821AB"/>
    <w:rsid w:val="00F8283C"/>
    <w:rsid w:val="00F840E3"/>
    <w:rsid w:val="00F8498A"/>
    <w:rsid w:val="00F8524D"/>
    <w:rsid w:val="00F854DA"/>
    <w:rsid w:val="00F86B57"/>
    <w:rsid w:val="00F87819"/>
    <w:rsid w:val="00F90067"/>
    <w:rsid w:val="00F902CC"/>
    <w:rsid w:val="00F9152B"/>
    <w:rsid w:val="00F918C5"/>
    <w:rsid w:val="00F9205C"/>
    <w:rsid w:val="00F93727"/>
    <w:rsid w:val="00F93A18"/>
    <w:rsid w:val="00F93EB6"/>
    <w:rsid w:val="00F95000"/>
    <w:rsid w:val="00F950C1"/>
    <w:rsid w:val="00F95672"/>
    <w:rsid w:val="00F9611C"/>
    <w:rsid w:val="00F96399"/>
    <w:rsid w:val="00F97A50"/>
    <w:rsid w:val="00FA012A"/>
    <w:rsid w:val="00FA0158"/>
    <w:rsid w:val="00FA030F"/>
    <w:rsid w:val="00FA0C8B"/>
    <w:rsid w:val="00FA18FA"/>
    <w:rsid w:val="00FA25A9"/>
    <w:rsid w:val="00FA37F5"/>
    <w:rsid w:val="00FA6A45"/>
    <w:rsid w:val="00FA6E26"/>
    <w:rsid w:val="00FA7C3F"/>
    <w:rsid w:val="00FA7C58"/>
    <w:rsid w:val="00FA7F64"/>
    <w:rsid w:val="00FB12EB"/>
    <w:rsid w:val="00FB2071"/>
    <w:rsid w:val="00FB2214"/>
    <w:rsid w:val="00FB2D12"/>
    <w:rsid w:val="00FB32CB"/>
    <w:rsid w:val="00FB35A2"/>
    <w:rsid w:val="00FB39EE"/>
    <w:rsid w:val="00FB3A66"/>
    <w:rsid w:val="00FB63AA"/>
    <w:rsid w:val="00FC0A6E"/>
    <w:rsid w:val="00FC1F40"/>
    <w:rsid w:val="00FC2A98"/>
    <w:rsid w:val="00FC392F"/>
    <w:rsid w:val="00FC4B49"/>
    <w:rsid w:val="00FC5329"/>
    <w:rsid w:val="00FC66AD"/>
    <w:rsid w:val="00FC76F2"/>
    <w:rsid w:val="00FD0317"/>
    <w:rsid w:val="00FD118D"/>
    <w:rsid w:val="00FD181E"/>
    <w:rsid w:val="00FD2006"/>
    <w:rsid w:val="00FD2924"/>
    <w:rsid w:val="00FD29B5"/>
    <w:rsid w:val="00FD4E16"/>
    <w:rsid w:val="00FD5347"/>
    <w:rsid w:val="00FD7100"/>
    <w:rsid w:val="00FD7303"/>
    <w:rsid w:val="00FD7890"/>
    <w:rsid w:val="00FE14DC"/>
    <w:rsid w:val="00FE2898"/>
    <w:rsid w:val="00FE5EF4"/>
    <w:rsid w:val="00FE66FA"/>
    <w:rsid w:val="00FE7472"/>
    <w:rsid w:val="00FF021B"/>
    <w:rsid w:val="00FF0855"/>
    <w:rsid w:val="00FF0A2F"/>
    <w:rsid w:val="00FF2633"/>
    <w:rsid w:val="00FF4030"/>
    <w:rsid w:val="00FF41ED"/>
    <w:rsid w:val="00FF4949"/>
    <w:rsid w:val="00FF5328"/>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8F61C7C"/>
  <w15:chartTrackingRefBased/>
  <w15:docId w15:val="{D9BE5459-A59D-4E3B-8AC5-DE778463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472"/>
    <w:rPr>
      <w:sz w:val="24"/>
      <w:szCs w:val="24"/>
    </w:rPr>
  </w:style>
  <w:style w:type="paragraph" w:styleId="Heading1">
    <w:name w:val="heading 1"/>
    <w:basedOn w:val="BodyText"/>
    <w:qFormat/>
    <w:rsid w:val="00AE46D8"/>
    <w:pPr>
      <w:keepNext/>
      <w:spacing w:before="240" w:after="60"/>
      <w:jc w:val="left"/>
      <w:outlineLvl w:val="0"/>
    </w:pPr>
    <w:rPr>
      <w:rFonts w:cs="Arial"/>
      <w:b/>
      <w:bCs/>
      <w:kern w:val="32"/>
      <w:sz w:val="28"/>
      <w:szCs w:val="32"/>
    </w:rPr>
  </w:style>
  <w:style w:type="paragraph" w:styleId="Heading2">
    <w:name w:val="heading 2"/>
    <w:basedOn w:val="Normal"/>
    <w:next w:val="Normal"/>
    <w:link w:val="Heading2Char"/>
    <w:semiHidden/>
    <w:unhideWhenUsed/>
    <w:qFormat/>
    <w:rsid w:val="007227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BodyText"/>
    <w:qFormat/>
    <w:rsid w:val="00AA5927"/>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rsid w:val="00814C09"/>
    <w:pPr>
      <w:tabs>
        <w:tab w:val="center" w:pos="4320"/>
        <w:tab w:val="right" w:pos="8640"/>
      </w:tabs>
      <w:spacing w:line="240" w:lineRule="auto"/>
    </w:pPr>
  </w:style>
  <w:style w:type="paragraph" w:styleId="Footer">
    <w:name w:val="footer"/>
    <w:basedOn w:val="BodyText"/>
    <w:rsid w:val="008C66C5"/>
    <w:pPr>
      <w:tabs>
        <w:tab w:val="center" w:pos="4320"/>
        <w:tab w:val="right" w:pos="8640"/>
      </w:tabs>
      <w:spacing w:line="240" w:lineRule="auto"/>
    </w:pPr>
  </w:style>
  <w:style w:type="paragraph" w:styleId="TOC2">
    <w:name w:val="toc 2"/>
    <w:basedOn w:val="Normal"/>
    <w:next w:val="Normal"/>
    <w:autoRedefine/>
    <w:semiHidden/>
    <w:rsid w:val="00697FFE"/>
    <w:pPr>
      <w:tabs>
        <w:tab w:val="left" w:pos="0"/>
        <w:tab w:val="left" w:pos="900"/>
        <w:tab w:val="left" w:pos="1080"/>
        <w:tab w:val="right" w:leader="dot" w:pos="9360"/>
      </w:tabs>
      <w:autoSpaceDE w:val="0"/>
      <w:autoSpaceDN w:val="0"/>
      <w:adjustRightInd w:val="0"/>
      <w:ind w:left="1080" w:hanging="1080"/>
      <w:jc w:val="both"/>
    </w:pPr>
  </w:style>
  <w:style w:type="paragraph" w:customStyle="1" w:styleId="3paragraph1">
    <w:name w:val="3. paragraph (1)"/>
    <w:basedOn w:val="Normal"/>
    <w:link w:val="3paragraph1Char"/>
    <w:rsid w:val="007316FB"/>
    <w:pPr>
      <w:spacing w:line="480" w:lineRule="auto"/>
      <w:ind w:firstLine="1440"/>
    </w:pPr>
    <w:rPr>
      <w:color w:val="000000"/>
      <w:sz w:val="22"/>
      <w:szCs w:val="22"/>
    </w:rPr>
  </w:style>
  <w:style w:type="character" w:customStyle="1" w:styleId="3paragraph1Char">
    <w:name w:val="3. paragraph (1) Char"/>
    <w:link w:val="3paragraph1"/>
    <w:rsid w:val="007316FB"/>
    <w:rPr>
      <w:color w:val="000000"/>
      <w:sz w:val="22"/>
      <w:szCs w:val="22"/>
      <w:lang w:val="en-US" w:eastAsia="en-US" w:bidi="ar-SA"/>
    </w:rPr>
  </w:style>
  <w:style w:type="paragraph" w:styleId="List">
    <w:name w:val="List"/>
    <w:basedOn w:val="BodyText"/>
    <w:rsid w:val="004E0B12"/>
    <w:pPr>
      <w:spacing w:before="120" w:after="140"/>
      <w:ind w:left="1368" w:hanging="1008"/>
      <w:jc w:val="left"/>
    </w:pPr>
  </w:style>
  <w:style w:type="paragraph" w:styleId="BodyText">
    <w:name w:val="Body Text"/>
    <w:link w:val="BodyTextChar1"/>
    <w:uiPriority w:val="99"/>
    <w:qFormat/>
    <w:rsid w:val="00A10538"/>
    <w:pPr>
      <w:spacing w:line="276" w:lineRule="auto"/>
      <w:jc w:val="center"/>
    </w:pPr>
    <w:rPr>
      <w:rFonts w:ascii="Lucida Bright" w:hAnsi="Lucida Bright"/>
      <w:sz w:val="22"/>
      <w:szCs w:val="24"/>
    </w:rPr>
  </w:style>
  <w:style w:type="paragraph" w:styleId="BodyTextIndent">
    <w:name w:val="Body Text Indent"/>
    <w:basedOn w:val="BodyText"/>
    <w:link w:val="BodyTextIndentChar"/>
    <w:rsid w:val="000B35CC"/>
    <w:pPr>
      <w:spacing w:before="120" w:after="120"/>
      <w:ind w:left="360"/>
      <w:jc w:val="left"/>
    </w:pPr>
  </w:style>
  <w:style w:type="paragraph" w:styleId="BodyTextFirstIndent2">
    <w:name w:val="Body Text First Indent 2"/>
    <w:basedOn w:val="BodyTextIndent"/>
    <w:rsid w:val="00C52676"/>
    <w:pPr>
      <w:ind w:firstLine="210"/>
    </w:pPr>
  </w:style>
  <w:style w:type="paragraph" w:customStyle="1" w:styleId="2subsectiona">
    <w:name w:val="2. subsection (a)"/>
    <w:basedOn w:val="Normal"/>
    <w:link w:val="2subsectionaChar"/>
    <w:rsid w:val="00FD2006"/>
    <w:pPr>
      <w:spacing w:line="480" w:lineRule="auto"/>
      <w:ind w:firstLine="720"/>
    </w:pPr>
    <w:rPr>
      <w:color w:val="000000"/>
      <w:sz w:val="22"/>
      <w:szCs w:val="22"/>
    </w:rPr>
  </w:style>
  <w:style w:type="character" w:customStyle="1" w:styleId="2subsectionaChar">
    <w:name w:val="2. subsection (a) Char"/>
    <w:link w:val="2subsectiona"/>
    <w:rsid w:val="00FD2006"/>
    <w:rPr>
      <w:color w:val="000000"/>
      <w:sz w:val="22"/>
      <w:szCs w:val="22"/>
      <w:lang w:val="en-US" w:eastAsia="en-US" w:bidi="ar-SA"/>
    </w:rPr>
  </w:style>
  <w:style w:type="paragraph" w:customStyle="1" w:styleId="4subparagraphA">
    <w:name w:val="4. subparagraph (A)"/>
    <w:basedOn w:val="Normal"/>
    <w:rsid w:val="003342E5"/>
    <w:pPr>
      <w:spacing w:line="480" w:lineRule="auto"/>
      <w:ind w:firstLine="2160"/>
    </w:pPr>
    <w:rPr>
      <w:color w:val="000000"/>
      <w:sz w:val="22"/>
      <w:szCs w:val="22"/>
    </w:rPr>
  </w:style>
  <w:style w:type="paragraph" w:customStyle="1" w:styleId="5clausei">
    <w:name w:val="5. clause (i)"/>
    <w:basedOn w:val="Normal"/>
    <w:rsid w:val="000816AC"/>
    <w:pPr>
      <w:spacing w:line="480" w:lineRule="auto"/>
      <w:ind w:firstLine="2880"/>
    </w:pPr>
    <w:rPr>
      <w:sz w:val="22"/>
      <w:szCs w:val="22"/>
    </w:rPr>
  </w:style>
  <w:style w:type="paragraph" w:customStyle="1" w:styleId="4Subparagrapha0">
    <w:name w:val="4. Subparagraph (a)"/>
    <w:basedOn w:val="Heading3"/>
    <w:next w:val="Normal"/>
    <w:rsid w:val="00E0156C"/>
    <w:pPr>
      <w:keepNext w:val="0"/>
      <w:spacing w:after="240"/>
      <w:ind w:left="1440"/>
      <w:jc w:val="both"/>
    </w:pPr>
    <w:rPr>
      <w:rFonts w:ascii="Times New Roman" w:hAnsi="Times New Roman"/>
      <w:b w:val="0"/>
    </w:rPr>
  </w:style>
  <w:style w:type="paragraph" w:customStyle="1" w:styleId="5Clause2">
    <w:name w:val="5. Clause (2)"/>
    <w:basedOn w:val="4Subparagrapha0"/>
    <w:rsid w:val="00E0156C"/>
    <w:pPr>
      <w:ind w:left="2160"/>
    </w:pPr>
  </w:style>
  <w:style w:type="paragraph" w:customStyle="1" w:styleId="3Paragraph2">
    <w:name w:val="3. Paragraph 2."/>
    <w:basedOn w:val="Normal"/>
    <w:rsid w:val="00E0156C"/>
    <w:pPr>
      <w:spacing w:before="240" w:after="240"/>
      <w:ind w:left="720"/>
      <w:jc w:val="both"/>
    </w:pPr>
  </w:style>
  <w:style w:type="paragraph" w:customStyle="1" w:styleId="Level2">
    <w:name w:val="Level 2"/>
    <w:basedOn w:val="Normal"/>
    <w:rsid w:val="00A935D3"/>
    <w:pPr>
      <w:widowControl w:val="0"/>
      <w:numPr>
        <w:ilvl w:val="1"/>
        <w:numId w:val="3"/>
      </w:numPr>
      <w:autoSpaceDE w:val="0"/>
      <w:autoSpaceDN w:val="0"/>
      <w:adjustRightInd w:val="0"/>
      <w:ind w:hanging="720"/>
      <w:outlineLvl w:val="1"/>
    </w:pPr>
  </w:style>
  <w:style w:type="paragraph" w:customStyle="1" w:styleId="Level3">
    <w:name w:val="Level 3"/>
    <w:basedOn w:val="Normal"/>
    <w:rsid w:val="00A935D3"/>
    <w:pPr>
      <w:widowControl w:val="0"/>
      <w:numPr>
        <w:ilvl w:val="2"/>
        <w:numId w:val="3"/>
      </w:numPr>
      <w:autoSpaceDE w:val="0"/>
      <w:autoSpaceDN w:val="0"/>
      <w:adjustRightInd w:val="0"/>
      <w:ind w:hanging="720"/>
      <w:outlineLvl w:val="2"/>
    </w:pPr>
  </w:style>
  <w:style w:type="paragraph" w:customStyle="1" w:styleId="Level1">
    <w:name w:val="Level 1"/>
    <w:basedOn w:val="Normal"/>
    <w:rsid w:val="00233858"/>
    <w:pPr>
      <w:widowControl w:val="0"/>
      <w:numPr>
        <w:numId w:val="3"/>
      </w:numPr>
      <w:tabs>
        <w:tab w:val="clear" w:pos="1440"/>
      </w:tabs>
      <w:autoSpaceDE w:val="0"/>
      <w:autoSpaceDN w:val="0"/>
      <w:adjustRightInd w:val="0"/>
      <w:ind w:left="720" w:hanging="720"/>
      <w:outlineLvl w:val="0"/>
    </w:pPr>
  </w:style>
  <w:style w:type="character" w:customStyle="1" w:styleId="Hypertext">
    <w:name w:val="Hypertext"/>
    <w:rsid w:val="00233858"/>
    <w:rPr>
      <w:color w:val="0000FF"/>
      <w:u w:val="single"/>
    </w:rPr>
  </w:style>
  <w:style w:type="paragraph" w:customStyle="1" w:styleId="Level4">
    <w:name w:val="Level 4"/>
    <w:basedOn w:val="Normal"/>
    <w:rsid w:val="00233858"/>
    <w:pPr>
      <w:widowControl w:val="0"/>
      <w:numPr>
        <w:ilvl w:val="3"/>
        <w:numId w:val="2"/>
      </w:numPr>
      <w:autoSpaceDE w:val="0"/>
      <w:autoSpaceDN w:val="0"/>
      <w:adjustRightInd w:val="0"/>
      <w:ind w:hanging="720"/>
      <w:outlineLvl w:val="3"/>
    </w:pPr>
  </w:style>
  <w:style w:type="paragraph" w:customStyle="1" w:styleId="Level5">
    <w:name w:val="Level 5"/>
    <w:basedOn w:val="Normal"/>
    <w:rsid w:val="004279DE"/>
    <w:pPr>
      <w:widowControl w:val="0"/>
      <w:numPr>
        <w:ilvl w:val="4"/>
        <w:numId w:val="1"/>
      </w:numPr>
      <w:autoSpaceDE w:val="0"/>
      <w:autoSpaceDN w:val="0"/>
      <w:adjustRightInd w:val="0"/>
      <w:ind w:hanging="720"/>
      <w:outlineLvl w:val="4"/>
    </w:pPr>
  </w:style>
  <w:style w:type="character" w:styleId="FootnoteReference">
    <w:name w:val="footnote reference"/>
    <w:semiHidden/>
    <w:rsid w:val="0074141C"/>
  </w:style>
  <w:style w:type="character" w:styleId="Hyperlink">
    <w:name w:val="Hyperlink"/>
    <w:uiPriority w:val="99"/>
    <w:rsid w:val="00BD061F"/>
    <w:rPr>
      <w:color w:val="0000FF"/>
      <w:u w:val="single"/>
    </w:rPr>
  </w:style>
  <w:style w:type="character" w:styleId="FollowedHyperlink">
    <w:name w:val="FollowedHyperlink"/>
    <w:rsid w:val="006A4428"/>
    <w:rPr>
      <w:color w:val="800080"/>
      <w:u w:val="single"/>
    </w:rPr>
  </w:style>
  <w:style w:type="paragraph" w:styleId="HTMLPreformatted">
    <w:name w:val="HTML Preformatted"/>
    <w:basedOn w:val="Normal"/>
    <w:rsid w:val="0066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4950CB"/>
    <w:pPr>
      <w:spacing w:before="100" w:beforeAutospacing="1" w:after="100" w:afterAutospacing="1"/>
    </w:pPr>
    <w:rPr>
      <w:color w:val="000000"/>
    </w:rPr>
  </w:style>
  <w:style w:type="character" w:styleId="CommentReference">
    <w:name w:val="annotation reference"/>
    <w:semiHidden/>
    <w:rsid w:val="004A1C5A"/>
    <w:rPr>
      <w:sz w:val="16"/>
      <w:szCs w:val="16"/>
    </w:rPr>
  </w:style>
  <w:style w:type="paragraph" w:styleId="CommentText">
    <w:name w:val="annotation text"/>
    <w:basedOn w:val="Normal"/>
    <w:link w:val="CommentTextChar"/>
    <w:semiHidden/>
    <w:rsid w:val="004A1C5A"/>
    <w:rPr>
      <w:sz w:val="20"/>
      <w:szCs w:val="20"/>
    </w:rPr>
  </w:style>
  <w:style w:type="paragraph" w:styleId="BalloonText">
    <w:name w:val="Balloon Text"/>
    <w:basedOn w:val="Normal"/>
    <w:semiHidden/>
    <w:rsid w:val="004A1C5A"/>
    <w:rPr>
      <w:rFonts w:ascii="Tahoma" w:hAnsi="Tahoma" w:cs="Tahoma"/>
      <w:sz w:val="16"/>
      <w:szCs w:val="16"/>
    </w:rPr>
  </w:style>
  <w:style w:type="paragraph" w:customStyle="1" w:styleId="OutlineLevel2">
    <w:name w:val="Outline Level 2"/>
    <w:basedOn w:val="BodyText"/>
    <w:link w:val="OutlineLevel2Char"/>
    <w:qFormat/>
    <w:rsid w:val="000054A8"/>
    <w:pPr>
      <w:numPr>
        <w:numId w:val="45"/>
      </w:numPr>
      <w:tabs>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Pr>
      <w:rFonts w:eastAsia="Calibri"/>
      <w:szCs w:val="22"/>
    </w:rPr>
  </w:style>
  <w:style w:type="character" w:customStyle="1" w:styleId="OutlineLevel2Char">
    <w:name w:val="Outline Level 2 Char"/>
    <w:link w:val="OutlineLevel2"/>
    <w:rsid w:val="000054A8"/>
    <w:rPr>
      <w:rFonts w:ascii="Lucida Bright" w:eastAsia="Calibri" w:hAnsi="Lucida Bright"/>
      <w:sz w:val="22"/>
      <w:szCs w:val="22"/>
    </w:rPr>
  </w:style>
  <w:style w:type="paragraph" w:customStyle="1" w:styleId="Address">
    <w:name w:val="Address"/>
    <w:basedOn w:val="Normal"/>
    <w:next w:val="BlockText"/>
    <w:qFormat/>
    <w:rsid w:val="00A91B76"/>
    <w:pPr>
      <w:jc w:val="center"/>
    </w:pPr>
    <w:rPr>
      <w:rFonts w:ascii="Georgia" w:hAnsi="Georgia"/>
      <w:szCs w:val="22"/>
    </w:rPr>
  </w:style>
  <w:style w:type="paragraph" w:customStyle="1" w:styleId="FirstPageHeading-FirstLIne">
    <w:name w:val="First Page Heading-First LIne"/>
    <w:basedOn w:val="BodyText"/>
    <w:qFormat/>
    <w:rsid w:val="005F6DCE"/>
    <w:pPr>
      <w:tabs>
        <w:tab w:val="left" w:pos="5760"/>
      </w:tabs>
      <w:spacing w:line="240" w:lineRule="auto"/>
      <w:ind w:firstLine="2160"/>
    </w:pPr>
    <w:rPr>
      <w:noProof/>
    </w:rPr>
  </w:style>
  <w:style w:type="paragraph" w:styleId="BlockText">
    <w:name w:val="Block Text"/>
    <w:basedOn w:val="Normal"/>
    <w:rsid w:val="00A91B76"/>
    <w:pPr>
      <w:spacing w:after="120"/>
      <w:ind w:left="1440" w:right="1440"/>
    </w:pPr>
  </w:style>
  <w:style w:type="paragraph" w:customStyle="1" w:styleId="FirstPageHeadingSpaceAbove">
    <w:name w:val="First Page Heading Space Above"/>
    <w:basedOn w:val="FirstPageHeading-FirstLIne"/>
    <w:next w:val="BodyText"/>
    <w:qFormat/>
    <w:rsid w:val="001F23B3"/>
    <w:pPr>
      <w:spacing w:before="240"/>
    </w:pPr>
  </w:style>
  <w:style w:type="paragraph" w:customStyle="1" w:styleId="FirstPageHeading-subsequentline">
    <w:name w:val="First Page Heading-subsequent line"/>
    <w:basedOn w:val="FirstPageHeading-FirstLIne"/>
    <w:qFormat/>
    <w:rsid w:val="007D0B35"/>
  </w:style>
  <w:style w:type="paragraph" w:customStyle="1" w:styleId="Centeredsinglespaced">
    <w:name w:val="Centered single spaced"/>
    <w:basedOn w:val="BodyText"/>
    <w:next w:val="BodyText"/>
    <w:qFormat/>
    <w:rsid w:val="00AD07A9"/>
    <w:pPr>
      <w:spacing w:line="240" w:lineRule="auto"/>
    </w:pPr>
  </w:style>
  <w:style w:type="paragraph" w:customStyle="1" w:styleId="IssuedandEffectiveDate">
    <w:name w:val="Issued and Effective Date"/>
    <w:basedOn w:val="BodyText"/>
    <w:qFormat/>
    <w:rsid w:val="0036764F"/>
    <w:pPr>
      <w:spacing w:before="240" w:after="240" w:line="240" w:lineRule="auto"/>
    </w:pPr>
    <w:rPr>
      <w:szCs w:val="22"/>
    </w:rPr>
  </w:style>
  <w:style w:type="character" w:customStyle="1" w:styleId="BodyTextIndentChar">
    <w:name w:val="Body Text Indent Char"/>
    <w:link w:val="BodyTextIndent"/>
    <w:rsid w:val="000B35CC"/>
    <w:rPr>
      <w:rFonts w:ascii="Lucida Bright" w:hAnsi="Lucida Bright"/>
      <w:sz w:val="24"/>
      <w:szCs w:val="24"/>
    </w:rPr>
  </w:style>
  <w:style w:type="character" w:customStyle="1" w:styleId="BodyTextChar">
    <w:name w:val="Body Text Char"/>
    <w:aliases w:val="Body Text Centered Char"/>
    <w:uiPriority w:val="99"/>
    <w:rsid w:val="00824927"/>
    <w:rPr>
      <w:rFonts w:ascii="Georgia" w:hAnsi="Georgia"/>
      <w:sz w:val="24"/>
      <w:szCs w:val="24"/>
    </w:rPr>
  </w:style>
  <w:style w:type="paragraph" w:customStyle="1" w:styleId="SignatureLine">
    <w:name w:val="Signature Line"/>
    <w:basedOn w:val="BodyText"/>
    <w:qFormat/>
    <w:rsid w:val="000B35CC"/>
    <w:pPr>
      <w:spacing w:before="120" w:line="240" w:lineRule="auto"/>
      <w:ind w:left="5040"/>
      <w:jc w:val="left"/>
    </w:pPr>
    <w:rPr>
      <w:szCs w:val="22"/>
    </w:rPr>
  </w:style>
  <w:style w:type="paragraph" w:customStyle="1" w:styleId="TOCTitle">
    <w:name w:val="TOC Title"/>
    <w:basedOn w:val="Heading3"/>
    <w:qFormat/>
    <w:rsid w:val="00BC58DD"/>
    <w:pPr>
      <w:spacing w:before="0" w:after="0"/>
    </w:pPr>
    <w:rPr>
      <w:bCs/>
      <w:sz w:val="22"/>
      <w:szCs w:val="22"/>
    </w:rPr>
  </w:style>
  <w:style w:type="paragraph" w:styleId="TOCHeading">
    <w:name w:val="TOC Heading"/>
    <w:basedOn w:val="Heading1"/>
    <w:next w:val="Normal"/>
    <w:uiPriority w:val="39"/>
    <w:semiHidden/>
    <w:unhideWhenUsed/>
    <w:qFormat/>
    <w:rsid w:val="0036764F"/>
    <w:pPr>
      <w:spacing w:line="240" w:lineRule="auto"/>
      <w:outlineLvl w:val="9"/>
    </w:pPr>
    <w:rPr>
      <w:rFonts w:ascii="Cambria" w:hAnsi="Cambria" w:cs="Times New Roman"/>
      <w:sz w:val="32"/>
    </w:rPr>
  </w:style>
  <w:style w:type="paragraph" w:styleId="TOAHeading">
    <w:name w:val="toa heading"/>
    <w:aliases w:val="Heading-Part"/>
    <w:basedOn w:val="BodyText"/>
    <w:rsid w:val="00A10538"/>
    <w:pPr>
      <w:spacing w:before="120" w:after="120"/>
      <w:jc w:val="left"/>
    </w:pPr>
    <w:rPr>
      <w:b/>
      <w:bCs/>
    </w:rPr>
  </w:style>
  <w:style w:type="paragraph" w:customStyle="1" w:styleId="TOCSection">
    <w:name w:val="TOC Section"/>
    <w:basedOn w:val="BodyText"/>
    <w:qFormat/>
    <w:rsid w:val="0012204E"/>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2"/>
    </w:rPr>
  </w:style>
  <w:style w:type="paragraph" w:customStyle="1" w:styleId="TOCSection2ndLine">
    <w:name w:val="TOC Section 2nd Line"/>
    <w:basedOn w:val="TOCSection"/>
    <w:next w:val="TOCSection"/>
    <w:qFormat/>
    <w:rsid w:val="00FF41ED"/>
    <w:pPr>
      <w:spacing w:line="240" w:lineRule="auto"/>
    </w:pPr>
  </w:style>
  <w:style w:type="paragraph" w:customStyle="1" w:styleId="TOCSection1stLineof2Lines">
    <w:name w:val="TOC Section 1st Line of 2 Lines"/>
    <w:basedOn w:val="TOCSection"/>
    <w:next w:val="TOCSection2ndLine"/>
    <w:qFormat/>
    <w:rsid w:val="00FF41ED"/>
    <w:pPr>
      <w:spacing w:line="240" w:lineRule="auto"/>
    </w:pPr>
  </w:style>
  <w:style w:type="paragraph" w:customStyle="1" w:styleId="Heading-Section">
    <w:name w:val="Heading-Section"/>
    <w:basedOn w:val="BodyText"/>
    <w:next w:val="BodyText"/>
    <w:qFormat/>
    <w:rsid w:val="00767ED1"/>
    <w:pPr>
      <w:autoSpaceDE w:val="0"/>
      <w:autoSpaceDN w:val="0"/>
      <w:adjustRightInd w:val="0"/>
      <w:spacing w:before="120"/>
    </w:pPr>
    <w:rPr>
      <w:b/>
      <w:szCs w:val="22"/>
    </w:rPr>
  </w:style>
  <w:style w:type="paragraph" w:customStyle="1" w:styleId="List-Indented">
    <w:name w:val="List-Indented"/>
    <w:basedOn w:val="BodyText"/>
    <w:qFormat/>
    <w:rsid w:val="000B35CC"/>
    <w:pPr>
      <w:spacing w:before="120" w:after="120"/>
      <w:ind w:left="360"/>
      <w:jc w:val="left"/>
    </w:pPr>
  </w:style>
  <w:style w:type="paragraph" w:customStyle="1" w:styleId="List-Indented2ndLine">
    <w:name w:val="List-Indented 2nd Line"/>
    <w:basedOn w:val="List-Indented"/>
    <w:next w:val="List-Indented"/>
    <w:qFormat/>
    <w:rsid w:val="00353741"/>
    <w:pPr>
      <w:spacing w:before="0" w:after="0" w:line="240" w:lineRule="auto"/>
    </w:pPr>
  </w:style>
  <w:style w:type="paragraph" w:customStyle="1" w:styleId="List-arabicnumbers">
    <w:name w:val="List-arabic numbers"/>
    <w:basedOn w:val="List"/>
    <w:qFormat/>
    <w:rsid w:val="008C66C5"/>
    <w:pPr>
      <w:numPr>
        <w:numId w:val="4"/>
      </w:numPr>
      <w:ind w:left="720"/>
    </w:pPr>
  </w:style>
  <w:style w:type="paragraph" w:customStyle="1" w:styleId="List-LowerCaseAlpha">
    <w:name w:val="List-Lower Case Alpha"/>
    <w:basedOn w:val="BodyText"/>
    <w:qFormat/>
    <w:rsid w:val="004E0B12"/>
    <w:pPr>
      <w:numPr>
        <w:numId w:val="5"/>
      </w:numPr>
      <w:spacing w:before="120" w:after="120"/>
      <w:jc w:val="left"/>
    </w:pPr>
  </w:style>
  <w:style w:type="character" w:customStyle="1" w:styleId="BodyTextChar1">
    <w:name w:val="Body Text Char1"/>
    <w:link w:val="BodyText"/>
    <w:rsid w:val="00A10538"/>
    <w:rPr>
      <w:rFonts w:ascii="Lucida Bright" w:hAnsi="Lucida Bright"/>
      <w:sz w:val="22"/>
      <w:szCs w:val="24"/>
    </w:rPr>
  </w:style>
  <w:style w:type="paragraph" w:customStyle="1" w:styleId="List-LowerCasei">
    <w:name w:val="List-Lower Case i"/>
    <w:basedOn w:val="List-LowerCaseAlpha"/>
    <w:qFormat/>
    <w:rsid w:val="004E0B12"/>
    <w:pPr>
      <w:numPr>
        <w:numId w:val="8"/>
      </w:numPr>
    </w:pPr>
    <w:rPr>
      <w:szCs w:val="22"/>
    </w:rPr>
  </w:style>
  <w:style w:type="paragraph" w:styleId="List2">
    <w:name w:val="List 2"/>
    <w:basedOn w:val="Normal"/>
    <w:rsid w:val="00330D34"/>
    <w:pPr>
      <w:ind w:left="720" w:hanging="360"/>
      <w:contextualSpacing/>
    </w:pPr>
  </w:style>
  <w:style w:type="paragraph" w:customStyle="1" w:styleId="StyleList-Indented2ndLineLeft025Firstline0">
    <w:name w:val="Style List-Indented 2nd Line + Left:  0.25&quot; First line:  0&quot;"/>
    <w:basedOn w:val="List-Indented2ndLine"/>
    <w:rsid w:val="00397E8D"/>
    <w:pPr>
      <w:spacing w:after="120"/>
    </w:pPr>
    <w:rPr>
      <w:szCs w:val="20"/>
    </w:rPr>
  </w:style>
  <w:style w:type="paragraph" w:customStyle="1" w:styleId="List-indented2ndlinetwoinsuccession">
    <w:name w:val="List-indented 2nd line two in succession"/>
    <w:basedOn w:val="List-Indented2ndLine"/>
    <w:qFormat/>
    <w:rsid w:val="00A256C6"/>
    <w:pPr>
      <w:spacing w:after="120"/>
    </w:pPr>
  </w:style>
  <w:style w:type="paragraph" w:styleId="CommentSubject">
    <w:name w:val="annotation subject"/>
    <w:basedOn w:val="CommentText"/>
    <w:next w:val="CommentText"/>
    <w:link w:val="CommentSubjectChar"/>
    <w:rsid w:val="00F73F19"/>
    <w:rPr>
      <w:b/>
      <w:bCs/>
    </w:rPr>
  </w:style>
  <w:style w:type="character" w:customStyle="1" w:styleId="CommentTextChar">
    <w:name w:val="Comment Text Char"/>
    <w:basedOn w:val="DefaultParagraphFont"/>
    <w:link w:val="CommentText"/>
    <w:semiHidden/>
    <w:rsid w:val="00F73F19"/>
  </w:style>
  <w:style w:type="character" w:customStyle="1" w:styleId="CommentSubjectChar">
    <w:name w:val="Comment Subject Char"/>
    <w:link w:val="CommentSubject"/>
    <w:rsid w:val="00F73F19"/>
    <w:rPr>
      <w:b/>
      <w:bCs/>
    </w:rPr>
  </w:style>
  <w:style w:type="paragraph" w:styleId="Revision">
    <w:name w:val="Revision"/>
    <w:hidden/>
    <w:uiPriority w:val="99"/>
    <w:semiHidden/>
    <w:rsid w:val="0007290F"/>
    <w:rPr>
      <w:sz w:val="24"/>
      <w:szCs w:val="24"/>
    </w:rPr>
  </w:style>
  <w:style w:type="character" w:styleId="UnresolvedMention">
    <w:name w:val="Unresolved Mention"/>
    <w:basedOn w:val="DefaultParagraphFont"/>
    <w:uiPriority w:val="99"/>
    <w:unhideWhenUsed/>
    <w:rsid w:val="00E75F37"/>
    <w:rPr>
      <w:color w:val="605E5C"/>
      <w:shd w:val="clear" w:color="auto" w:fill="E1DFDD"/>
    </w:rPr>
  </w:style>
  <w:style w:type="character" w:styleId="Mention">
    <w:name w:val="Mention"/>
    <w:basedOn w:val="DefaultParagraphFont"/>
    <w:uiPriority w:val="99"/>
    <w:unhideWhenUsed/>
    <w:rsid w:val="00E75F37"/>
    <w:rPr>
      <w:color w:val="2B579A"/>
      <w:shd w:val="clear" w:color="auto" w:fill="E1DFDD"/>
    </w:rPr>
  </w:style>
  <w:style w:type="character" w:styleId="Strong">
    <w:name w:val="Strong"/>
    <w:uiPriority w:val="22"/>
    <w:qFormat/>
    <w:rsid w:val="00C85A35"/>
    <w:rPr>
      <w:rFonts w:ascii="Georgia" w:hAnsi="Georgia"/>
      <w:b/>
      <w:bCs/>
      <w:sz w:val="24"/>
    </w:rPr>
  </w:style>
  <w:style w:type="character" w:styleId="BookTitle">
    <w:name w:val="Book Title"/>
    <w:uiPriority w:val="33"/>
    <w:qFormat/>
    <w:rsid w:val="00C85A35"/>
    <w:rPr>
      <w:b/>
      <w:bCs/>
      <w:smallCaps/>
      <w:spacing w:val="5"/>
    </w:rPr>
  </w:style>
  <w:style w:type="character" w:customStyle="1" w:styleId="HeaderChar">
    <w:name w:val="Header Char"/>
    <w:basedOn w:val="DefaultParagraphFont"/>
    <w:link w:val="Header"/>
    <w:rsid w:val="00814C09"/>
    <w:rPr>
      <w:rFonts w:ascii="Lucida Bright" w:hAnsi="Lucida Bright"/>
      <w:sz w:val="24"/>
      <w:szCs w:val="24"/>
    </w:rPr>
  </w:style>
  <w:style w:type="paragraph" w:customStyle="1" w:styleId="StyleHeading1LucidaBright">
    <w:name w:val="Style Heading 1 + Lucida Bright"/>
    <w:basedOn w:val="Heading1"/>
    <w:rsid w:val="008771DA"/>
    <w:pPr>
      <w:spacing w:before="0"/>
    </w:pPr>
  </w:style>
  <w:style w:type="paragraph" w:customStyle="1" w:styleId="H2TCEQ">
    <w:name w:val="H2 TCEQ"/>
    <w:basedOn w:val="BodyText"/>
    <w:qFormat/>
    <w:rsid w:val="00A10538"/>
    <w:pPr>
      <w:spacing w:before="120" w:after="240"/>
      <w:jc w:val="left"/>
    </w:pPr>
    <w:rPr>
      <w:b/>
      <w:sz w:val="24"/>
    </w:rPr>
  </w:style>
  <w:style w:type="paragraph" w:customStyle="1" w:styleId="H3TCEQ">
    <w:name w:val="H3 TCEQ"/>
    <w:basedOn w:val="Heading3"/>
    <w:qFormat/>
    <w:rsid w:val="00353741"/>
    <w:pPr>
      <w:spacing w:after="120"/>
    </w:pPr>
  </w:style>
  <w:style w:type="character" w:customStyle="1" w:styleId="Heading2Char">
    <w:name w:val="Heading 2 Char"/>
    <w:basedOn w:val="DefaultParagraphFont"/>
    <w:link w:val="Heading2"/>
    <w:semiHidden/>
    <w:rsid w:val="007227F1"/>
    <w:rPr>
      <w:rFonts w:asciiTheme="majorHAnsi" w:eastAsiaTheme="majorEastAsia" w:hAnsiTheme="majorHAnsi" w:cstheme="majorBidi"/>
      <w:color w:val="2F5496" w:themeColor="accent1" w:themeShade="BF"/>
      <w:sz w:val="26"/>
      <w:szCs w:val="26"/>
    </w:rPr>
  </w:style>
  <w:style w:type="paragraph" w:customStyle="1" w:styleId="StyleHeading1LucidaBrightLeft">
    <w:name w:val="Style Heading 1 + Lucida Bright Left"/>
    <w:basedOn w:val="Heading1"/>
    <w:rsid w:val="00E9262E"/>
    <w:rPr>
      <w:rFonts w:cs="Times New Roman"/>
      <w:szCs w:val="20"/>
    </w:rPr>
  </w:style>
  <w:style w:type="paragraph" w:styleId="ListParagraph">
    <w:name w:val="List Paragraph"/>
    <w:basedOn w:val="BodyText"/>
    <w:uiPriority w:val="34"/>
    <w:qFormat/>
    <w:rsid w:val="00AE46D8"/>
    <w:pPr>
      <w:spacing w:before="240"/>
      <w:jc w:val="left"/>
    </w:pPr>
  </w:style>
  <w:style w:type="paragraph" w:customStyle="1" w:styleId="StyleH2TCEQCenteredAfter18pt">
    <w:name w:val="Style H2 TCEQ + Centered After:  18 pt"/>
    <w:basedOn w:val="H2TCEQ"/>
    <w:rsid w:val="00353741"/>
    <w:pPr>
      <w:spacing w:after="360"/>
      <w:jc w:val="center"/>
    </w:pPr>
    <w:rPr>
      <w:bCs/>
      <w:szCs w:val="20"/>
    </w:rPr>
  </w:style>
  <w:style w:type="paragraph" w:styleId="Title">
    <w:name w:val="Title"/>
    <w:basedOn w:val="BodyText"/>
    <w:link w:val="TitleChar"/>
    <w:qFormat/>
    <w:rsid w:val="00AE46D8"/>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rsid w:val="00AE46D8"/>
    <w:rPr>
      <w:rFonts w:ascii="Lucida Bright" w:eastAsiaTheme="majorEastAsia" w:hAnsi="Lucida Bright" w:cstheme="majorBidi"/>
      <w:b/>
      <w:spacing w:val="-10"/>
      <w:kern w:val="28"/>
      <w:sz w:val="28"/>
      <w:szCs w:val="56"/>
    </w:rPr>
  </w:style>
  <w:style w:type="paragraph" w:styleId="BodyText2">
    <w:name w:val="Body Text 2"/>
    <w:basedOn w:val="Normal"/>
    <w:link w:val="BodyText2Char"/>
    <w:rsid w:val="00AE46D8"/>
    <w:pPr>
      <w:spacing w:after="120" w:line="480" w:lineRule="auto"/>
    </w:pPr>
  </w:style>
  <w:style w:type="character" w:customStyle="1" w:styleId="BodyText2Char">
    <w:name w:val="Body Text 2 Char"/>
    <w:basedOn w:val="DefaultParagraphFont"/>
    <w:link w:val="BodyText2"/>
    <w:rsid w:val="00AE46D8"/>
    <w:rPr>
      <w:sz w:val="24"/>
      <w:szCs w:val="24"/>
    </w:rPr>
  </w:style>
  <w:style w:type="paragraph" w:customStyle="1" w:styleId="H2TCEQpage2">
    <w:name w:val="H2 TCEQ page 2"/>
    <w:basedOn w:val="H2TCEQ"/>
    <w:qFormat/>
    <w:rsid w:val="003451C7"/>
    <w:pPr>
      <w:jc w:val="center"/>
    </w:pPr>
    <w:rPr>
      <w:bCs/>
    </w:rPr>
  </w:style>
  <w:style w:type="paragraph" w:customStyle="1" w:styleId="OutlineLevel1">
    <w:name w:val="Outline Level 1"/>
    <w:basedOn w:val="Normal"/>
    <w:next w:val="Normal"/>
    <w:link w:val="OutlineLevel1Char"/>
    <w:qFormat/>
    <w:rsid w:val="00EA4768"/>
    <w:pPr>
      <w:widowControl w:val="0"/>
      <w:tabs>
        <w:tab w:val="left" w:pos="720"/>
        <w:tab w:val="left" w:pos="2160"/>
      </w:tabs>
      <w:spacing w:before="480" w:after="240"/>
      <w:jc w:val="both"/>
    </w:pPr>
    <w:rPr>
      <w:rFonts w:ascii="Verdana" w:hAnsi="Verdana"/>
      <w:b/>
      <w:bCs/>
      <w:szCs w:val="22"/>
    </w:rPr>
  </w:style>
  <w:style w:type="paragraph" w:customStyle="1" w:styleId="Indent">
    <w:name w:val="Indent"/>
    <w:basedOn w:val="Normal"/>
    <w:link w:val="IndentChar"/>
    <w:qFormat/>
    <w:rsid w:val="00EA4768"/>
    <w:pPr>
      <w:widowControl w:val="0"/>
      <w:tabs>
        <w:tab w:val="left" w:pos="1620"/>
      </w:tabs>
      <w:ind w:left="115"/>
      <w:jc w:val="both"/>
    </w:pPr>
    <w:rPr>
      <w:rFonts w:ascii="Georgia" w:hAnsi="Georgia"/>
      <w:szCs w:val="22"/>
    </w:rPr>
  </w:style>
  <w:style w:type="character" w:customStyle="1" w:styleId="OutlineLevel1Char">
    <w:name w:val="Outline Level 1 Char"/>
    <w:basedOn w:val="DefaultParagraphFont"/>
    <w:link w:val="OutlineLevel1"/>
    <w:rsid w:val="00EA4768"/>
    <w:rPr>
      <w:rFonts w:ascii="Verdana" w:hAnsi="Verdana"/>
      <w:b/>
      <w:bCs/>
      <w:sz w:val="24"/>
      <w:szCs w:val="22"/>
    </w:rPr>
  </w:style>
  <w:style w:type="character" w:customStyle="1" w:styleId="IndentChar">
    <w:name w:val="Indent Char"/>
    <w:basedOn w:val="DefaultParagraphFont"/>
    <w:link w:val="Indent"/>
    <w:rsid w:val="00EA4768"/>
    <w:rPr>
      <w:rFonts w:ascii="Georgia" w:hAnsi="Georgia"/>
      <w:sz w:val="24"/>
      <w:szCs w:val="22"/>
    </w:rPr>
  </w:style>
  <w:style w:type="paragraph" w:customStyle="1" w:styleId="OutlineLevel3">
    <w:name w:val="Outline Level 3"/>
    <w:basedOn w:val="OutlineLevel2"/>
    <w:link w:val="OutlineLevel3Char"/>
    <w:qFormat/>
    <w:rsid w:val="00EA4768"/>
    <w:pPr>
      <w:numPr>
        <w:numId w:val="39"/>
      </w:numPr>
      <w:spacing w:after="120"/>
      <w:jc w:val="left"/>
    </w:pPr>
    <w:rPr>
      <w:rFonts w:ascii="Georgia" w:eastAsiaTheme="minorHAnsi" w:hAnsi="Georgia" w:cstheme="minorBidi"/>
      <w:sz w:val="24"/>
    </w:rPr>
  </w:style>
  <w:style w:type="character" w:customStyle="1" w:styleId="OutlineLevel3Char">
    <w:name w:val="Outline Level 3 Char"/>
    <w:basedOn w:val="OutlineLevel2Char"/>
    <w:link w:val="OutlineLevel3"/>
    <w:rsid w:val="00EA4768"/>
    <w:rPr>
      <w:rFonts w:ascii="Georgia" w:eastAsiaTheme="minorHAnsi" w:hAnsi="Georgia" w:cstheme="minorBidi"/>
      <w:sz w:val="24"/>
      <w:szCs w:val="22"/>
    </w:rPr>
  </w:style>
  <w:style w:type="paragraph" w:customStyle="1" w:styleId="AddressList">
    <w:name w:val="Address List"/>
    <w:basedOn w:val="BodyText"/>
    <w:link w:val="AddressListChar"/>
    <w:qFormat/>
    <w:rsid w:val="00EA4768"/>
    <w:pPr>
      <w:widowControl w:val="0"/>
      <w:ind w:left="720"/>
      <w:jc w:val="left"/>
    </w:pPr>
    <w:rPr>
      <w:rFonts w:ascii="Georgia" w:eastAsiaTheme="minorHAnsi" w:hAnsi="Georgia" w:cstheme="minorBidi"/>
      <w:sz w:val="24"/>
      <w:szCs w:val="22"/>
    </w:rPr>
  </w:style>
  <w:style w:type="paragraph" w:customStyle="1" w:styleId="HeadingforAddressList">
    <w:name w:val="Heading for Address List"/>
    <w:basedOn w:val="AddressList"/>
    <w:link w:val="HeadingforAddressListChar"/>
    <w:qFormat/>
    <w:rsid w:val="00EA4768"/>
    <w:pPr>
      <w:spacing w:before="240" w:after="240"/>
      <w:ind w:left="0"/>
    </w:pPr>
  </w:style>
  <w:style w:type="character" w:customStyle="1" w:styleId="AddressListChar">
    <w:name w:val="Address List Char"/>
    <w:basedOn w:val="BodyTextChar"/>
    <w:link w:val="AddressList"/>
    <w:rsid w:val="00EA4768"/>
    <w:rPr>
      <w:rFonts w:ascii="Georgia" w:eastAsiaTheme="minorHAnsi" w:hAnsi="Georgia" w:cstheme="minorBidi"/>
      <w:sz w:val="24"/>
      <w:szCs w:val="22"/>
    </w:rPr>
  </w:style>
  <w:style w:type="character" w:customStyle="1" w:styleId="HeadingforAddressListChar">
    <w:name w:val="Heading for Address List Char"/>
    <w:basedOn w:val="AddressListChar"/>
    <w:link w:val="HeadingforAddressList"/>
    <w:rsid w:val="00EA4768"/>
    <w:rPr>
      <w:rFonts w:ascii="Georgia" w:eastAsiaTheme="minorHAnsi" w:hAnsi="Georgia" w:cstheme="minorBidi"/>
      <w:sz w:val="24"/>
      <w:szCs w:val="22"/>
    </w:rPr>
  </w:style>
  <w:style w:type="paragraph" w:customStyle="1" w:styleId="OutlineLevel2-1stlineofmultiplelines">
    <w:name w:val="Outline Level 2-1st line of multiple lines"/>
    <w:basedOn w:val="OutlineLevel2"/>
    <w:link w:val="OutlineLevel2-1stlineofmultiplelinesChar"/>
    <w:qFormat/>
    <w:rsid w:val="00EA4768"/>
    <w:pPr>
      <w:numPr>
        <w:numId w:val="38"/>
      </w:numPr>
      <w:tabs>
        <w:tab w:val="clear" w:pos="1440"/>
        <w:tab w:val="num" w:pos="1080"/>
        <w:tab w:val="left" w:pos="1620"/>
        <w:tab w:val="left" w:pos="2160"/>
      </w:tabs>
      <w:spacing w:before="120"/>
      <w:ind w:left="1080"/>
      <w:jc w:val="both"/>
    </w:pPr>
    <w:rPr>
      <w:rFonts w:ascii="Georgia" w:eastAsiaTheme="minorHAnsi" w:hAnsi="Georgia" w:cstheme="minorBidi"/>
      <w:sz w:val="24"/>
    </w:rPr>
  </w:style>
  <w:style w:type="paragraph" w:customStyle="1" w:styleId="OutlineLevel2after1stline">
    <w:name w:val="Outline Level 2 after 1st line"/>
    <w:basedOn w:val="OutlineLevel2-1stlineofmultiplelines"/>
    <w:link w:val="OutlineLevel2after1stlineChar"/>
    <w:qFormat/>
    <w:rsid w:val="00EA4768"/>
    <w:pPr>
      <w:numPr>
        <w:numId w:val="0"/>
      </w:numPr>
      <w:spacing w:before="0" w:after="120"/>
      <w:ind w:left="1080"/>
    </w:pPr>
  </w:style>
  <w:style w:type="character" w:customStyle="1" w:styleId="OutlineLevel2-1stlineofmultiplelinesChar">
    <w:name w:val="Outline Level 2-1st line of multiple lines Char"/>
    <w:basedOn w:val="DefaultParagraphFont"/>
    <w:link w:val="OutlineLevel2-1stlineofmultiplelines"/>
    <w:rsid w:val="00EA4768"/>
    <w:rPr>
      <w:rFonts w:ascii="Georgia" w:eastAsiaTheme="minorHAnsi" w:hAnsi="Georgia" w:cstheme="minorBidi"/>
      <w:sz w:val="24"/>
      <w:szCs w:val="22"/>
    </w:rPr>
  </w:style>
  <w:style w:type="character" w:customStyle="1" w:styleId="OutlineLevel2after1stlineChar">
    <w:name w:val="Outline Level 2 after 1st line Char"/>
    <w:basedOn w:val="OutlineLevel2-1stlineofmultiplelinesChar"/>
    <w:link w:val="OutlineLevel2after1stline"/>
    <w:rsid w:val="00EA4768"/>
    <w:rPr>
      <w:rFonts w:ascii="Georgia" w:eastAsiaTheme="minorHAnsi" w:hAnsi="Georgia" w:cstheme="minorBidi"/>
      <w:sz w:val="24"/>
      <w:szCs w:val="22"/>
    </w:rPr>
  </w:style>
  <w:style w:type="paragraph" w:customStyle="1" w:styleId="Indent-LastLine">
    <w:name w:val="Indent-Last Line"/>
    <w:basedOn w:val="Indent"/>
    <w:next w:val="Indent"/>
    <w:qFormat/>
    <w:rsid w:val="00EA4768"/>
    <w:pPr>
      <w:tabs>
        <w:tab w:val="clear" w:pos="1620"/>
        <w:tab w:val="left" w:pos="2160"/>
      </w:tabs>
      <w:spacing w:after="240"/>
      <w:ind w:left="0"/>
    </w:pPr>
  </w:style>
  <w:style w:type="paragraph" w:customStyle="1" w:styleId="Header-FirstPage">
    <w:name w:val="Header-First Page"/>
    <w:basedOn w:val="Header"/>
    <w:link w:val="Header-FirstPageChar"/>
    <w:qFormat/>
    <w:rsid w:val="00EA4768"/>
    <w:pPr>
      <w:widowControl w:val="0"/>
      <w:tabs>
        <w:tab w:val="clear" w:pos="4320"/>
        <w:tab w:val="clear" w:pos="8640"/>
        <w:tab w:val="center" w:pos="4680"/>
        <w:tab w:val="right" w:pos="9360"/>
      </w:tabs>
      <w:spacing w:before="480" w:after="360"/>
    </w:pPr>
    <w:rPr>
      <w:rFonts w:ascii="Georgia" w:eastAsiaTheme="minorHAnsi" w:hAnsi="Georgia" w:cstheme="minorBidi"/>
      <w:b/>
      <w:sz w:val="24"/>
    </w:rPr>
  </w:style>
  <w:style w:type="character" w:customStyle="1" w:styleId="Header-FirstPageChar">
    <w:name w:val="Header-First Page Char"/>
    <w:basedOn w:val="HeaderChar"/>
    <w:link w:val="Header-FirstPage"/>
    <w:rsid w:val="00EA4768"/>
    <w:rPr>
      <w:rFonts w:ascii="Georgia" w:eastAsiaTheme="minorHAnsi" w:hAnsi="Georgia" w:cstheme="minorBidi"/>
      <w:b/>
      <w:sz w:val="24"/>
      <w:szCs w:val="24"/>
    </w:rPr>
  </w:style>
  <w:style w:type="paragraph" w:customStyle="1" w:styleId="PageXofY">
    <w:name w:val="Page X of Y"/>
    <w:basedOn w:val="Footer"/>
    <w:qFormat/>
    <w:rsid w:val="00EA4768"/>
    <w:pPr>
      <w:widowControl w:val="0"/>
      <w:tabs>
        <w:tab w:val="clear" w:pos="4320"/>
        <w:tab w:val="clear" w:pos="8640"/>
        <w:tab w:val="center" w:pos="4680"/>
        <w:tab w:val="right" w:pos="9360"/>
      </w:tabs>
      <w:spacing w:before="240" w:after="240"/>
    </w:pPr>
    <w:rPr>
      <w:rFonts w:ascii="Georgia" w:eastAsiaTheme="minorHAnsi" w:hAnsi="Georg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0767">
      <w:bodyDiv w:val="1"/>
      <w:marLeft w:val="0"/>
      <w:marRight w:val="0"/>
      <w:marTop w:val="0"/>
      <w:marBottom w:val="0"/>
      <w:divBdr>
        <w:top w:val="none" w:sz="0" w:space="0" w:color="auto"/>
        <w:left w:val="none" w:sz="0" w:space="0" w:color="auto"/>
        <w:bottom w:val="none" w:sz="0" w:space="0" w:color="auto"/>
        <w:right w:val="none" w:sz="0" w:space="0" w:color="auto"/>
      </w:divBdr>
    </w:div>
    <w:div w:id="655378312">
      <w:bodyDiv w:val="1"/>
      <w:marLeft w:val="0"/>
      <w:marRight w:val="0"/>
      <w:marTop w:val="0"/>
      <w:marBottom w:val="0"/>
      <w:divBdr>
        <w:top w:val="none" w:sz="0" w:space="0" w:color="auto"/>
        <w:left w:val="none" w:sz="0" w:space="0" w:color="auto"/>
        <w:bottom w:val="none" w:sz="0" w:space="0" w:color="auto"/>
        <w:right w:val="none" w:sz="0" w:space="0" w:color="auto"/>
      </w:divBdr>
    </w:div>
    <w:div w:id="1441410810">
      <w:bodyDiv w:val="1"/>
      <w:marLeft w:val="0"/>
      <w:marRight w:val="0"/>
      <w:marTop w:val="0"/>
      <w:marBottom w:val="0"/>
      <w:divBdr>
        <w:top w:val="none" w:sz="0" w:space="0" w:color="auto"/>
        <w:left w:val="none" w:sz="0" w:space="0" w:color="auto"/>
        <w:bottom w:val="none" w:sz="0" w:space="0" w:color="auto"/>
        <w:right w:val="none" w:sz="0" w:space="0" w:color="auto"/>
      </w:divBdr>
    </w:div>
    <w:div w:id="1854300612">
      <w:bodyDiv w:val="1"/>
      <w:marLeft w:val="0"/>
      <w:marRight w:val="0"/>
      <w:marTop w:val="0"/>
      <w:marBottom w:val="0"/>
      <w:divBdr>
        <w:top w:val="none" w:sz="0" w:space="0" w:color="auto"/>
        <w:left w:val="none" w:sz="0" w:space="0" w:color="auto"/>
        <w:bottom w:val="none" w:sz="0" w:space="0" w:color="auto"/>
        <w:right w:val="none" w:sz="0" w:space="0" w:color="auto"/>
      </w:divBdr>
    </w:div>
    <w:div w:id="20566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uic@tceq.texas.gov"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857EA0679F646974BD4BF5487B317" ma:contentTypeVersion="9" ma:contentTypeDescription="Create a new document." ma:contentTypeScope="" ma:versionID="2127fd277730da2984dc006747787bf0">
  <xsd:schema xmlns:xsd="http://www.w3.org/2001/XMLSchema" xmlns:xs="http://www.w3.org/2001/XMLSchema" xmlns:p="http://schemas.microsoft.com/office/2006/metadata/properties" xmlns:ns2="9aa51604-3ab8-43f9-a458-517f976e6416" targetNamespace="http://schemas.microsoft.com/office/2006/metadata/properties" ma:root="true" ma:fieldsID="2d005bc7d3e1c273674e8c1ec0838fa4" ns2:_="">
    <xsd:import namespace="9aa51604-3ab8-43f9-a458-517f976e6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1604-3ab8-43f9-a458-517f976e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08DB8-E880-4DEF-8824-E3CF8163CBAE}">
  <ds:schemaRefs>
    <ds:schemaRef ds:uri="http://schemas.openxmlformats.org/officeDocument/2006/bibliography"/>
  </ds:schemaRefs>
</ds:datastoreItem>
</file>

<file path=customXml/itemProps2.xml><?xml version="1.0" encoding="utf-8"?>
<ds:datastoreItem xmlns:ds="http://schemas.openxmlformats.org/officeDocument/2006/customXml" ds:itemID="{1C966137-E52A-43FE-922A-6738F34D61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B0DB3-4873-4B18-A5D8-B1775869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1604-3ab8-43f9-a458-517f976e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80AE0-0DF7-4986-AA9B-D189E0934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33</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Class I General Permit Proposed Renewal</vt:lpstr>
    </vt:vector>
  </TitlesOfParts>
  <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 General Permit Proposed Amendment and Renewal, Fact Sheet</dc:title>
  <dc:subject>Class I General Permit Proposed Amendment and Renewal, Fact Sheet</dc:subject>
  <cp:keywords>Underground Injection Control Permits Section; Class I; General Permit; Proposed Renewal; Nonhazardous brine; desalination; drinking water treatment residuals; dwtr</cp:keywords>
  <cp:lastPrinted>2022-05-17T16:46:00Z</cp:lastPrinted>
  <dcterms:created xsi:type="dcterms:W3CDTF">2022-05-16T23:07:00Z</dcterms:created>
  <dcterms:modified xsi:type="dcterms:W3CDTF">2022-05-17T19:57:00Z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0x0101006B0857EA0679F646974BD4BF5487B317</vt:lpwstr>
  </property>
</Properties>
</file>