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DF4A" w14:textId="77777777" w:rsidR="000E4B03" w:rsidRPr="00043ABC" w:rsidRDefault="008B5287" w:rsidP="0022446F">
      <w:pPr>
        <w:pStyle w:val="PretitleAgency-Div-SectionID"/>
        <w:rPr>
          <w:noProof/>
        </w:rPr>
      </w:pPr>
      <w:r>
        <w:rPr>
          <w:noProof/>
        </w:rPr>
        <w:drawing>
          <wp:anchor distT="0" distB="0" distL="114300" distR="114300" simplePos="0" relativeHeight="251659776" behindDoc="0" locked="0" layoutInCell="1" allowOverlap="1" wp14:anchorId="57D85F73" wp14:editId="22D290FA">
            <wp:simplePos x="0" y="0"/>
            <wp:positionH relativeFrom="column">
              <wp:posOffset>-361950</wp:posOffset>
            </wp:positionH>
            <wp:positionV relativeFrom="paragraph">
              <wp:posOffset>-219075</wp:posOffset>
            </wp:positionV>
            <wp:extent cx="571500" cy="914400"/>
            <wp:effectExtent l="19050" t="0" r="0" b="0"/>
            <wp:wrapNone/>
            <wp:docPr id="1"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914400"/>
                    </a:xfrm>
                    <a:prstGeom prst="rect">
                      <a:avLst/>
                    </a:prstGeom>
                    <a:noFill/>
                    <a:ln w="9525">
                      <a:noFill/>
                      <a:miter lim="800000"/>
                      <a:headEnd/>
                      <a:tailEnd/>
                    </a:ln>
                  </pic:spPr>
                </pic:pic>
              </a:graphicData>
            </a:graphic>
          </wp:anchor>
        </w:drawing>
      </w:r>
      <w:r w:rsidR="000E4B03" w:rsidRPr="00043ABC">
        <w:rPr>
          <w:noProof/>
        </w:rPr>
        <w:t>Texas Commission on Environmental Quality</w:t>
      </w:r>
    </w:p>
    <w:p w14:paraId="4645EC01" w14:textId="77777777" w:rsidR="000E4B03" w:rsidRDefault="00E7791F" w:rsidP="00E7791F">
      <w:pPr>
        <w:pStyle w:val="Title"/>
        <w:rPr>
          <w:rFonts w:eastAsia="Batang"/>
          <w:noProof/>
        </w:rPr>
      </w:pPr>
      <w:bookmarkStart w:id="0" w:name="OLE_LINK1"/>
      <w:bookmarkStart w:id="1" w:name="OLE_LINK2"/>
      <w:r w:rsidRPr="00E05202">
        <w:rPr>
          <w:rFonts w:eastAsia="Batang"/>
          <w:noProof/>
        </w:rPr>
        <w:t xml:space="preserve">Notice </w:t>
      </w:r>
      <w:r w:rsidR="0022446F">
        <w:rPr>
          <w:rFonts w:eastAsia="Batang"/>
          <w:noProof/>
        </w:rPr>
        <w:t>o</w:t>
      </w:r>
      <w:r w:rsidRPr="00E05202">
        <w:rPr>
          <w:rFonts w:eastAsia="Batang"/>
          <w:noProof/>
        </w:rPr>
        <w:t xml:space="preserve">f Intent </w:t>
      </w:r>
      <w:r w:rsidR="000E4B03" w:rsidRPr="00E05202">
        <w:rPr>
          <w:rFonts w:eastAsia="Batang"/>
          <w:noProof/>
        </w:rPr>
        <w:t>(NOI)</w:t>
      </w:r>
      <w:r w:rsidR="006E6D8C">
        <w:rPr>
          <w:rFonts w:eastAsia="Batang"/>
          <w:noProof/>
        </w:rPr>
        <w:t xml:space="preserve"> </w:t>
      </w:r>
      <w:r w:rsidR="0022446F">
        <w:rPr>
          <w:rFonts w:eastAsia="Batang"/>
          <w:noProof/>
        </w:rPr>
        <w:t>t</w:t>
      </w:r>
      <w:r w:rsidRPr="00E05202">
        <w:rPr>
          <w:rFonts w:eastAsia="Batang"/>
          <w:noProof/>
        </w:rPr>
        <w:t xml:space="preserve">o Operate </w:t>
      </w:r>
      <w:r w:rsidR="0022446F">
        <w:rPr>
          <w:rFonts w:eastAsia="Batang"/>
          <w:noProof/>
        </w:rPr>
        <w:t>a</w:t>
      </w:r>
      <w:r w:rsidR="00035BEE">
        <w:rPr>
          <w:rFonts w:eastAsia="Batang"/>
          <w:noProof/>
        </w:rPr>
        <w:br/>
      </w:r>
      <w:r w:rsidR="00F625C7">
        <w:rPr>
          <w:rFonts w:eastAsia="Batang"/>
          <w:noProof/>
        </w:rPr>
        <w:t xml:space="preserve">Municipal Solid Waste </w:t>
      </w:r>
      <w:r w:rsidRPr="00E05202">
        <w:rPr>
          <w:rFonts w:eastAsia="Batang"/>
          <w:noProof/>
        </w:rPr>
        <w:t>Recycling Facility</w:t>
      </w:r>
      <w:bookmarkEnd w:id="0"/>
      <w:bookmarkEnd w:id="1"/>
    </w:p>
    <w:p w14:paraId="037BBF34" w14:textId="77777777" w:rsidR="00DC6716" w:rsidRDefault="003D1CDD">
      <w:pPr>
        <w:pStyle w:val="Heading1"/>
        <w:rPr>
          <w:noProof/>
        </w:rPr>
      </w:pPr>
      <w:bookmarkStart w:id="2" w:name="OpenAt"/>
      <w:bookmarkEnd w:id="2"/>
      <w:r>
        <w:rPr>
          <w:noProof/>
        </w:rPr>
        <w:t>General Instructions</w:t>
      </w:r>
    </w:p>
    <w:p w14:paraId="3D62E364" w14:textId="77777777" w:rsidR="00F962B5" w:rsidRDefault="000E4B03" w:rsidP="00E7791F">
      <w:pPr>
        <w:pStyle w:val="BodyText"/>
      </w:pPr>
      <w:r>
        <w:rPr>
          <w:noProof/>
        </w:rPr>
        <w:t>You must submit this form</w:t>
      </w:r>
      <w:r w:rsidR="00C66C8D">
        <w:rPr>
          <w:noProof/>
        </w:rPr>
        <w:t xml:space="preserve"> </w:t>
      </w:r>
      <w:r w:rsidR="00E32BA3">
        <w:rPr>
          <w:noProof/>
        </w:rPr>
        <w:t>and all applicable attachments (</w:t>
      </w:r>
      <w:r w:rsidR="00C66C8D">
        <w:rPr>
          <w:noProof/>
        </w:rPr>
        <w:t xml:space="preserve">see enclosed </w:t>
      </w:r>
      <w:r w:rsidR="00E32BA3">
        <w:rPr>
          <w:noProof/>
        </w:rPr>
        <w:t xml:space="preserve">Attachment </w:t>
      </w:r>
      <w:r w:rsidR="00C66C8D">
        <w:rPr>
          <w:noProof/>
        </w:rPr>
        <w:t>Requir</w:t>
      </w:r>
      <w:r w:rsidR="001C1905">
        <w:rPr>
          <w:noProof/>
        </w:rPr>
        <w:t>e</w:t>
      </w:r>
      <w:r w:rsidR="00C66C8D">
        <w:rPr>
          <w:noProof/>
        </w:rPr>
        <w:t>ments</w:t>
      </w:r>
      <w:r w:rsidR="00E32BA3">
        <w:rPr>
          <w:noProof/>
        </w:rPr>
        <w:t>)</w:t>
      </w:r>
      <w:r w:rsidR="00821FCC">
        <w:rPr>
          <w:noProof/>
        </w:rPr>
        <w:t xml:space="preserve"> </w:t>
      </w:r>
      <w:r>
        <w:rPr>
          <w:noProof/>
        </w:rPr>
        <w:t>to the Texas Commission on Environmental Quality (TCEQ) if y</w:t>
      </w:r>
      <w:r w:rsidRPr="00486885">
        <w:rPr>
          <w:noProof/>
        </w:rPr>
        <w:t>ou</w:t>
      </w:r>
      <w:r>
        <w:rPr>
          <w:noProof/>
        </w:rPr>
        <w:t xml:space="preserve"> </w:t>
      </w:r>
      <w:r w:rsidRPr="00486885">
        <w:rPr>
          <w:noProof/>
        </w:rPr>
        <w:t xml:space="preserve">intend to </w:t>
      </w:r>
      <w:r w:rsidRPr="00BD3749">
        <w:rPr>
          <w:noProof/>
        </w:rPr>
        <w:t>operate a</w:t>
      </w:r>
      <w:r w:rsidRPr="00BD2D5A">
        <w:t xml:space="preserve"> </w:t>
      </w:r>
      <w:r>
        <w:rPr>
          <w:noProof/>
        </w:rPr>
        <w:t xml:space="preserve">recycling facility under </w:t>
      </w:r>
      <w:r w:rsidRPr="009F33DB">
        <w:t>Title 30 of the Texas Administrative Code (</w:t>
      </w:r>
      <w:r w:rsidR="0022446F">
        <w:t xml:space="preserve">30 </w:t>
      </w:r>
      <w:r w:rsidRPr="009F33DB">
        <w:t>TAC)</w:t>
      </w:r>
      <w:r>
        <w:t xml:space="preserve"> §§328.4</w:t>
      </w:r>
      <w:r w:rsidR="00826987">
        <w:t xml:space="preserve"> and </w:t>
      </w:r>
      <w:r w:rsidRPr="00F16F09">
        <w:t>328.5</w:t>
      </w:r>
      <w:r w:rsidR="00F962B5" w:rsidRPr="00EF0337">
        <w:t>,  328.181</w:t>
      </w:r>
      <w:r w:rsidR="00826987" w:rsidRPr="00EF0337">
        <w:t>,</w:t>
      </w:r>
      <w:r w:rsidRPr="00EF0337">
        <w:rPr>
          <w:noProof/>
        </w:rPr>
        <w:t xml:space="preserve"> or</w:t>
      </w:r>
      <w:r>
        <w:rPr>
          <w:noProof/>
        </w:rPr>
        <w:t xml:space="preserve"> a </w:t>
      </w:r>
      <w:r>
        <w:t>composting or mulching operation authorized u</w:t>
      </w:r>
      <w:r w:rsidRPr="00A56B25">
        <w:t xml:space="preserve">nder </w:t>
      </w:r>
      <w:r w:rsidRPr="009F33DB">
        <w:t>30 TAC</w:t>
      </w:r>
      <w:r>
        <w:t xml:space="preserve"> </w:t>
      </w:r>
      <w:r w:rsidRPr="00A56B25">
        <w:t>§332.3</w:t>
      </w:r>
      <w:r>
        <w:t xml:space="preserve"> </w:t>
      </w:r>
      <w:r w:rsidRPr="00A56B25">
        <w:t>(d)</w:t>
      </w:r>
      <w:r>
        <w:t>(1) or (3).</w:t>
      </w:r>
    </w:p>
    <w:p w14:paraId="15BA4155" w14:textId="77777777" w:rsidR="002C24C6" w:rsidRDefault="002C24C6" w:rsidP="00950908">
      <w:pPr>
        <w:pStyle w:val="BodyText"/>
      </w:pPr>
      <w:r>
        <w:t>Y</w:t>
      </w:r>
      <w:r w:rsidRPr="009F33DB">
        <w:t xml:space="preserve">ou may be </w:t>
      </w:r>
      <w:r w:rsidRPr="009F33DB">
        <w:rPr>
          <w:noProof/>
        </w:rPr>
        <w:t>exempt from the requirement to obtain th</w:t>
      </w:r>
      <w:r>
        <w:rPr>
          <w:noProof/>
        </w:rPr>
        <w:t>is</w:t>
      </w:r>
      <w:r w:rsidRPr="009F33DB">
        <w:rPr>
          <w:noProof/>
        </w:rPr>
        <w:t xml:space="preserve"> authorization</w:t>
      </w:r>
      <w:r>
        <w:rPr>
          <w:noProof/>
        </w:rPr>
        <w:t>.</w:t>
      </w:r>
      <w:r w:rsidR="0054627E">
        <w:rPr>
          <w:rStyle w:val="FootnoteReference"/>
          <w:noProof/>
        </w:rPr>
        <w:footnoteReference w:id="1"/>
      </w:r>
      <w:r>
        <w:rPr>
          <w:noProof/>
        </w:rPr>
        <w:t xml:space="preserve">  </w:t>
      </w:r>
      <w:r>
        <w:t>Please review the details in 30 TAC §§328.4(a) and 328.5(a) to determine if you meet one of the following exemptions.</w:t>
      </w:r>
    </w:p>
    <w:p w14:paraId="256910BA" w14:textId="77777777" w:rsidR="002C24C6" w:rsidRDefault="002C24C6" w:rsidP="00950908">
      <w:pPr>
        <w:pStyle w:val="ListBullet"/>
      </w:pPr>
      <w:r>
        <w:t>a city or county government, a state agency, an agency of the federal government</w:t>
      </w:r>
    </w:p>
    <w:p w14:paraId="4AB387E9" w14:textId="77777777" w:rsidR="002C24C6" w:rsidRDefault="002C24C6" w:rsidP="00950908">
      <w:pPr>
        <w:pStyle w:val="ListBullet"/>
      </w:pPr>
      <w:r>
        <w:t xml:space="preserve">a smelter of recyclable metal </w:t>
      </w:r>
      <w:r w:rsidRPr="00A90822">
        <w:t>or a secondary metals recycler affiliated with a smelter</w:t>
      </w:r>
    </w:p>
    <w:p w14:paraId="6471D567" w14:textId="77777777" w:rsidR="002C24C6" w:rsidRDefault="002C24C6" w:rsidP="00950908">
      <w:pPr>
        <w:pStyle w:val="ListBullet"/>
      </w:pPr>
      <w:r>
        <w:t>a recycling facility associated with a TCEQ permitted landfill</w:t>
      </w:r>
    </w:p>
    <w:p w14:paraId="7E14AF80" w14:textId="77777777" w:rsidR="002C24C6" w:rsidRDefault="002C24C6" w:rsidP="00950908">
      <w:pPr>
        <w:pStyle w:val="ListBullet"/>
      </w:pPr>
      <w:r>
        <w:t>in some cases, a facility that does not charge to accept the recyclable material</w:t>
      </w:r>
    </w:p>
    <w:p w14:paraId="7A9DAE98" w14:textId="77777777" w:rsidR="00C8062E" w:rsidRPr="000E00ED" w:rsidRDefault="00C8062E" w:rsidP="000E00ED">
      <w:pPr>
        <w:pStyle w:val="BodyText"/>
      </w:pPr>
      <w:r w:rsidRPr="000E00ED">
        <w:t>If your facility is located in Bexar County, produces mulch or compost, and is exempt under 30 TAC §§328.4(a) and 328.5(a), you are required to submit only Attachment E.</w:t>
      </w:r>
    </w:p>
    <w:p w14:paraId="0E3FE90B" w14:textId="77777777" w:rsidR="00826987" w:rsidRPr="000E00ED" w:rsidRDefault="00C8062E" w:rsidP="000E00ED">
      <w:pPr>
        <w:pStyle w:val="BodyText"/>
      </w:pPr>
      <w:r w:rsidRPr="000E00ED">
        <w:t xml:space="preserve">If your facility is located in Bexar County, produces mulch or compost, but is </w:t>
      </w:r>
      <w:r w:rsidRPr="000E00ED">
        <w:rPr>
          <w:rStyle w:val="Strong"/>
        </w:rPr>
        <w:t>not</w:t>
      </w:r>
      <w:r w:rsidR="004C6760" w:rsidRPr="000E00ED">
        <w:t xml:space="preserve"> </w:t>
      </w:r>
      <w:r w:rsidRPr="000E00ED">
        <w:t>exempt under 30 TAC §§328.4(a) and 328.5(a), y</w:t>
      </w:r>
      <w:r w:rsidR="00826987" w:rsidRPr="000E00ED">
        <w:t>ou are required to submit this form, including Attachment E</w:t>
      </w:r>
      <w:r w:rsidRPr="000E00ED">
        <w:t>.</w:t>
      </w:r>
      <w:r w:rsidR="004C6760" w:rsidRPr="000E00ED">
        <w:rPr>
          <w:rStyle w:val="FootnoteReference"/>
          <w:vertAlign w:val="baseline"/>
        </w:rPr>
        <w:t xml:space="preserve"> </w:t>
      </w:r>
    </w:p>
    <w:p w14:paraId="44DC0D28" w14:textId="77777777" w:rsidR="00C66C8D" w:rsidRDefault="00BE1CAE" w:rsidP="00F64A7B">
      <w:pPr>
        <w:pStyle w:val="BodyText"/>
      </w:pPr>
      <w:r>
        <w:t xml:space="preserve">Authorization to operate under this NOI is limited to facilities that process </w:t>
      </w:r>
      <w:r w:rsidR="0028425D">
        <w:t xml:space="preserve">source separated </w:t>
      </w:r>
      <w:r>
        <w:t xml:space="preserve">recyclable material that </w:t>
      </w:r>
      <w:r w:rsidR="0028425D">
        <w:t>does not include more than</w:t>
      </w:r>
      <w:r>
        <w:t xml:space="preserve"> incidental amounts of non-recyclable waste and that recycle </w:t>
      </w:r>
      <w:r w:rsidR="00E773DE">
        <w:t xml:space="preserve">or transfer </w:t>
      </w:r>
      <w:r>
        <w:t>at least 50</w:t>
      </w:r>
      <w:r w:rsidR="00B0746A">
        <w:t xml:space="preserve"> percent of each type of material stored  at the beginning of each 6 month period by the end of that period.  </w:t>
      </w:r>
      <w:r w:rsidR="006B5BB3" w:rsidRPr="00BD2D5A">
        <w:t>Facilities are not authorized to accept putrescible material except as allowed for composting facilities under 30 TAC §332.3(d)(1).</w:t>
      </w:r>
      <w:r w:rsidR="006B5BB3" w:rsidRPr="006B5BB3">
        <w:t xml:space="preserve">  </w:t>
      </w:r>
      <w:r w:rsidR="00B0746A">
        <w:t>If your facility will receive more than incidental amounts of n</w:t>
      </w:r>
      <w:r w:rsidR="003A06A9">
        <w:t xml:space="preserve">on-recyclable waste or requires more time to recycle, you may request alternative compliance by submitting </w:t>
      </w:r>
      <w:r w:rsidR="00571192">
        <w:t xml:space="preserve">an </w:t>
      </w:r>
      <w:r w:rsidR="003A06A9">
        <w:t>Alternative Compliance Demonstration</w:t>
      </w:r>
      <w:r w:rsidR="000565FC">
        <w:t xml:space="preserve"> </w:t>
      </w:r>
      <w:r w:rsidR="00571192">
        <w:t xml:space="preserve">(see </w:t>
      </w:r>
      <w:r w:rsidR="000565FC">
        <w:t xml:space="preserve">Attachment </w:t>
      </w:r>
      <w:r w:rsidR="00C66C8D">
        <w:t>G</w:t>
      </w:r>
      <w:r w:rsidR="00571192">
        <w:t xml:space="preserve"> requirements)</w:t>
      </w:r>
      <w:r w:rsidR="003A06A9">
        <w:t>.</w:t>
      </w:r>
    </w:p>
    <w:p w14:paraId="48F1A048" w14:textId="77777777" w:rsidR="00DC6716" w:rsidRPr="000E00ED" w:rsidRDefault="002C3DB4" w:rsidP="000E00ED">
      <w:pPr>
        <w:pStyle w:val="Heading2"/>
      </w:pPr>
      <w:r w:rsidRPr="000E00ED">
        <w:t>Recordk</w:t>
      </w:r>
      <w:r w:rsidR="00571192" w:rsidRPr="000E00ED">
        <w:t>eeping</w:t>
      </w:r>
    </w:p>
    <w:p w14:paraId="789EC172" w14:textId="77777777" w:rsidR="00DC6716" w:rsidRPr="000E00ED" w:rsidRDefault="000E4B03" w:rsidP="000E00ED">
      <w:pPr>
        <w:pStyle w:val="BodyText"/>
      </w:pPr>
      <w:r w:rsidRPr="000E00ED">
        <w:t>Please be aware that you must comply with the recordkeeping requirements found in 30 TAC §328.5(f)</w:t>
      </w:r>
      <w:r w:rsidR="0025058E" w:rsidRPr="000E00ED">
        <w:t xml:space="preserve"> or 30 TAC §328.193</w:t>
      </w:r>
      <w:r w:rsidRPr="000E00ED">
        <w:t xml:space="preserve">.  </w:t>
      </w:r>
      <w:r w:rsidR="00571192" w:rsidRPr="000E00ED">
        <w:t xml:space="preserve">Please see the </w:t>
      </w:r>
      <w:r w:rsidR="004A1FC0" w:rsidRPr="000E00ED">
        <w:rPr>
          <w:rStyle w:val="Strong"/>
        </w:rPr>
        <w:t>Recordkeeping Section</w:t>
      </w:r>
      <w:r w:rsidR="002C3DB4" w:rsidRPr="000E00ED">
        <w:t xml:space="preserve"> on the </w:t>
      </w:r>
      <w:r w:rsidRPr="000E00ED">
        <w:t xml:space="preserve">TCEQ </w:t>
      </w:r>
      <w:r w:rsidR="00571192" w:rsidRPr="000E00ED">
        <w:t>website</w:t>
      </w:r>
      <w:r w:rsidR="002C3DB4" w:rsidRPr="000E00ED">
        <w:t>,</w:t>
      </w:r>
      <w:r w:rsidR="00571192" w:rsidRPr="000E00ED">
        <w:t xml:space="preserve"> </w:t>
      </w:r>
      <w:hyperlink r:id="rId9" w:history="1">
        <w:r w:rsidR="003E0329" w:rsidRPr="003E0329">
          <w:rPr>
            <w:rStyle w:val="Hyperlink"/>
          </w:rPr>
          <w:t>Recycling:  Am I Regulated</w:t>
        </w:r>
      </w:hyperlink>
      <w:r w:rsidR="002C3DB4" w:rsidRPr="000E00ED">
        <w:rPr>
          <w:rStyle w:val="Strong"/>
          <w:b w:val="0"/>
          <w:bCs w:val="0"/>
        </w:rPr>
        <w:t>,</w:t>
      </w:r>
      <w:r w:rsidR="002C3DB4" w:rsidRPr="000E00ED">
        <w:t xml:space="preserve"> </w:t>
      </w:r>
      <w:r w:rsidR="00571192" w:rsidRPr="000E00ED">
        <w:t>for example tracking tables</w:t>
      </w:r>
      <w:r w:rsidRPr="000E00ED">
        <w:t xml:space="preserve"> that </w:t>
      </w:r>
      <w:r w:rsidR="009972C2" w:rsidRPr="000E00ED">
        <w:t>may</w:t>
      </w:r>
      <w:r w:rsidRPr="000E00ED">
        <w:t xml:space="preserve"> be used to demonstrate compliance with limits on incidental waste, </w:t>
      </w:r>
      <w:r w:rsidR="000565FC" w:rsidRPr="000E00ED">
        <w:t xml:space="preserve">requirements related to </w:t>
      </w:r>
      <w:r w:rsidRPr="000E00ED">
        <w:t xml:space="preserve">the amount of material recycled or transferred for recycling, </w:t>
      </w:r>
      <w:r w:rsidR="00E773DE" w:rsidRPr="000E00ED">
        <w:t xml:space="preserve">and </w:t>
      </w:r>
      <w:r w:rsidRPr="000E00ED">
        <w:t>the requirement to take non-recyclable waste to an authorized solid waste facility within one week of acceptance</w:t>
      </w:r>
      <w:r w:rsidR="0028425D" w:rsidRPr="000E00ED">
        <w:t>.</w:t>
      </w:r>
    </w:p>
    <w:p w14:paraId="7D7023B4" w14:textId="77777777" w:rsidR="00DC6716" w:rsidRPr="000E00ED" w:rsidRDefault="00AE13A8" w:rsidP="000E00ED">
      <w:pPr>
        <w:pStyle w:val="Heading2"/>
      </w:pPr>
      <w:r w:rsidRPr="000E00ED">
        <w:t>Changes to Existing Facility</w:t>
      </w:r>
    </w:p>
    <w:p w14:paraId="5216A2CE" w14:textId="77777777" w:rsidR="00DC6716" w:rsidRPr="000E00ED" w:rsidRDefault="00AE13A8" w:rsidP="000E00ED">
      <w:pPr>
        <w:pStyle w:val="BodyText"/>
      </w:pPr>
      <w:r w:rsidRPr="000E00ED">
        <w:t xml:space="preserve">Once you are authorized to operate, you must notify the TCEQ of any updates or changes in facility operations.   You may provide written notice of a specific change by letter or by submitting a revised NOI form.  The </w:t>
      </w:r>
      <w:r w:rsidR="008B5287" w:rsidRPr="000E00ED">
        <w:t>executive director (ED)</w:t>
      </w:r>
      <w:r w:rsidRPr="000E00ED">
        <w:t xml:space="preserve"> may require that a revised NOI form be </w:t>
      </w:r>
      <w:r w:rsidRPr="000E00ED">
        <w:lastRenderedPageBreak/>
        <w:t xml:space="preserve">submitted based on the extent of changes.  The notification must be provided within 90 days of the effective date of the change.  The following are examples of changes requiring this notification.  </w:t>
      </w:r>
    </w:p>
    <w:p w14:paraId="4970A0C3" w14:textId="77777777" w:rsidR="00AE13A8" w:rsidRPr="00E773DE" w:rsidRDefault="00AE13A8" w:rsidP="00AE13A8">
      <w:pPr>
        <w:pStyle w:val="ListBullet"/>
      </w:pPr>
      <w:r w:rsidRPr="00842C24">
        <w:rPr>
          <w:rStyle w:val="Strong"/>
        </w:rPr>
        <w:t>Notice of Change to Facility Operation –</w:t>
      </w:r>
      <w:r w:rsidRPr="00E773DE">
        <w:t xml:space="preserve"> A change in operation or other change from the way the facility was originally authorized.</w:t>
      </w:r>
    </w:p>
    <w:p w14:paraId="00D43036" w14:textId="77777777" w:rsidR="00AE13A8" w:rsidRPr="00842C24" w:rsidRDefault="00AE13A8" w:rsidP="00AE13A8">
      <w:pPr>
        <w:pStyle w:val="ListBullet"/>
      </w:pPr>
      <w:r w:rsidRPr="00842C24">
        <w:rPr>
          <w:rStyle w:val="Strong"/>
        </w:rPr>
        <w:t>Notice of Facility Expansion –</w:t>
      </w:r>
      <w:r w:rsidRPr="00842C24">
        <w:t xml:space="preserve"> The facility operation and/or area will be expanded.</w:t>
      </w:r>
    </w:p>
    <w:p w14:paraId="674A3326" w14:textId="77777777" w:rsidR="00DC6716" w:rsidRDefault="00AE13A8">
      <w:pPr>
        <w:pStyle w:val="ListBullet"/>
      </w:pPr>
      <w:r w:rsidRPr="00842C24">
        <w:rPr>
          <w:rStyle w:val="Strong"/>
        </w:rPr>
        <w:t>Notice of Closure Activity –</w:t>
      </w:r>
      <w:r w:rsidRPr="00842C24">
        <w:t xml:space="preserve"> The facility will be closing in accordance with 30 TAC §328.5(e) and the operator will relinquish the authorization.</w:t>
      </w:r>
    </w:p>
    <w:p w14:paraId="2499271A" w14:textId="77777777" w:rsidR="007E44A6" w:rsidRPr="000E00ED" w:rsidRDefault="007E44A6" w:rsidP="000E00ED">
      <w:pPr>
        <w:pStyle w:val="Heading2"/>
      </w:pPr>
      <w:r w:rsidRPr="000E00ED">
        <w:t>Delinquent Fees</w:t>
      </w:r>
    </w:p>
    <w:p w14:paraId="227DDDC6" w14:textId="77777777" w:rsidR="007E44A6" w:rsidRPr="00A653D5" w:rsidRDefault="00A653D5" w:rsidP="00EF0337">
      <w:r w:rsidRPr="00EF0337">
        <w:t>Although there are no fees required when submitting an NOI form, t</w:t>
      </w:r>
      <w:r w:rsidR="007E44A6" w:rsidRPr="00EF0337">
        <w:t xml:space="preserve">he </w:t>
      </w:r>
      <w:r w:rsidR="00DD5A90" w:rsidRPr="00EF0337">
        <w:t>TCEQ</w:t>
      </w:r>
      <w:r w:rsidR="000C508A" w:rsidRPr="00EF0337">
        <w:t xml:space="preserve"> will verify </w:t>
      </w:r>
      <w:r w:rsidR="007E44A6" w:rsidRPr="00EF0337">
        <w:t xml:space="preserve">existing customer information </w:t>
      </w:r>
      <w:r w:rsidR="000C508A" w:rsidRPr="00EF0337">
        <w:t>in the agency’s records to determine if there are delinquent fees owed for other agency applications.</w:t>
      </w:r>
      <w:r w:rsidR="007E44A6" w:rsidRPr="00EF0337">
        <w:t xml:space="preserve">  </w:t>
      </w:r>
      <w:r w:rsidRPr="00EF0337">
        <w:t>A</w:t>
      </w:r>
      <w:r w:rsidR="00DD5A90" w:rsidRPr="00EF0337">
        <w:t xml:space="preserve"> notification will not be acknowledged until all fees</w:t>
      </w:r>
      <w:r w:rsidR="00D34FC2" w:rsidRPr="00EF0337">
        <w:t xml:space="preserve"> or </w:t>
      </w:r>
      <w:r w:rsidR="00DD5A90" w:rsidRPr="00EF0337">
        <w:t xml:space="preserve">penalties with an outstanding balance of $25 or </w:t>
      </w:r>
      <w:r w:rsidR="000C508A" w:rsidRPr="00EF0337">
        <w:t>more</w:t>
      </w:r>
      <w:r w:rsidR="00DD5A90" w:rsidRPr="00EF0337">
        <w:t xml:space="preserve"> are paid or current.</w:t>
      </w:r>
      <w:r w:rsidR="00EF0337">
        <w:t xml:space="preserve"> For more information on the TCEQ delinquent fee and penalty policy, please visit the </w:t>
      </w:r>
      <w:r w:rsidR="00EF0337" w:rsidRPr="00FF33D5">
        <w:t xml:space="preserve">TCEQ Delinquent </w:t>
      </w:r>
      <w:r w:rsidR="003E7182" w:rsidRPr="00FF33D5">
        <w:t xml:space="preserve">Fee </w:t>
      </w:r>
      <w:r w:rsidR="00EF0337" w:rsidRPr="00FF33D5">
        <w:t>Protocol Web page</w:t>
      </w:r>
      <w:r w:rsidR="00FF33D5">
        <w:t xml:space="preserve"> &lt;</w:t>
      </w:r>
      <w:hyperlink r:id="rId10" w:history="1">
        <w:r w:rsidR="00FF33D5" w:rsidRPr="00FF33D5">
          <w:rPr>
            <w:rStyle w:val="Hyperlink"/>
          </w:rPr>
          <w:t>www.tceq.texas.gov/agency/financial/fees/delin</w:t>
        </w:r>
      </w:hyperlink>
      <w:r w:rsidR="00FF33D5">
        <w:t>&gt;</w:t>
      </w:r>
      <w:r w:rsidR="00EF0337">
        <w:t>.  If you have questions regarding the new protocol, please contact the TCEQ Financial Administration Division, at 512-239-0300</w:t>
      </w:r>
    </w:p>
    <w:p w14:paraId="51B1B9CA" w14:textId="77777777" w:rsidR="00186998" w:rsidRPr="000E00ED" w:rsidRDefault="00186998" w:rsidP="000E00ED">
      <w:pPr>
        <w:pStyle w:val="Heading2"/>
      </w:pPr>
      <w:r w:rsidRPr="000E00ED">
        <w:t>Facility Closure</w:t>
      </w:r>
    </w:p>
    <w:p w14:paraId="2A315173" w14:textId="77777777" w:rsidR="00DD5A90" w:rsidRPr="000E00ED" w:rsidRDefault="00186998" w:rsidP="000E00ED">
      <w:pPr>
        <w:pStyle w:val="BodyText"/>
      </w:pPr>
      <w:r w:rsidRPr="000E00ED">
        <w:t xml:space="preserve">At the time of closure, the Owner/Operator </w:t>
      </w:r>
      <w:r w:rsidR="00F625C7" w:rsidRPr="000E00ED">
        <w:t xml:space="preserve">must </w:t>
      </w:r>
      <w:r w:rsidRPr="000E00ED">
        <w:t xml:space="preserve">collect and transport all processed and unprocessed materials to an authorized facility for disposition.  </w:t>
      </w:r>
      <w:r w:rsidR="00783BDA" w:rsidRPr="000E00ED">
        <w:t>Closure must</w:t>
      </w:r>
      <w:r w:rsidR="00F625C7" w:rsidRPr="000E00ED">
        <w:t xml:space="preserve"> </w:t>
      </w:r>
      <w:r w:rsidRPr="000E00ED">
        <w:t xml:space="preserve">be completed within 180 days following the most recent acceptance of processed or unprocessed materials unless otherwise approved or directed in writing by the </w:t>
      </w:r>
      <w:r w:rsidR="008B5287" w:rsidRPr="000E00ED">
        <w:t>ED</w:t>
      </w:r>
      <w:r w:rsidRPr="000E00ED">
        <w:t>.</w:t>
      </w:r>
    </w:p>
    <w:p w14:paraId="410E852A" w14:textId="77777777" w:rsidR="00DC6716" w:rsidRDefault="00084949" w:rsidP="0040654A">
      <w:pPr>
        <w:pStyle w:val="Heading1"/>
        <w:spacing w:before="360"/>
      </w:pPr>
      <w:r>
        <w:t>Facility Information</w:t>
      </w:r>
    </w:p>
    <w:p w14:paraId="651774AC" w14:textId="77777777" w:rsidR="00DC6716" w:rsidRDefault="00A6508E">
      <w:pPr>
        <w:pStyle w:val="ListContinue"/>
      </w:pPr>
      <w:r>
        <w:t>Check whichever applies:</w:t>
      </w:r>
    </w:p>
    <w:p w14:paraId="4FE3D136" w14:textId="77777777" w:rsidR="00DC6716" w:rsidRDefault="00FF33D5">
      <w:pPr>
        <w:pStyle w:val="ListContinue"/>
      </w:pPr>
      <w:r>
        <w:rPr>
          <w:noProof/>
        </w:rPr>
        <mc:AlternateContent>
          <mc:Choice Requires="wps">
            <w:drawing>
              <wp:anchor distT="0" distB="0" distL="114300" distR="114300" simplePos="0" relativeHeight="251661824" behindDoc="0" locked="0" layoutInCell="1" allowOverlap="1" wp14:anchorId="03108444" wp14:editId="2BAED615">
                <wp:simplePos x="0" y="0"/>
                <wp:positionH relativeFrom="column">
                  <wp:posOffset>3275330</wp:posOffset>
                </wp:positionH>
                <wp:positionV relativeFrom="paragraph">
                  <wp:posOffset>168275</wp:posOffset>
                </wp:positionV>
                <wp:extent cx="1203325" cy="214630"/>
                <wp:effectExtent l="12065" t="13970" r="1333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14630"/>
                        </a:xfrm>
                        <a:prstGeom prst="rect">
                          <a:avLst/>
                        </a:prstGeom>
                        <a:solidFill>
                          <a:srgbClr val="FFFFFF"/>
                        </a:solidFill>
                        <a:ln w="9525">
                          <a:solidFill>
                            <a:srgbClr val="000000"/>
                          </a:solidFill>
                          <a:miter lim="800000"/>
                          <a:headEnd/>
                          <a:tailEnd/>
                        </a:ln>
                      </wps:spPr>
                      <wps:txbx>
                        <w:txbxContent>
                          <w:p w14:paraId="68B83EE3" w14:textId="77777777" w:rsidR="008228BC" w:rsidRPr="00D43751" w:rsidRDefault="008228BC" w:rsidP="00F63D2B">
                            <w:pPr>
                              <w:pStyle w:val="TextBox"/>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08444" id="_x0000_t202" coordsize="21600,21600" o:spt="202" path="m,l,21600r21600,l21600,xe">
                <v:stroke joinstyle="miter"/>
                <v:path gradientshapeok="t" o:connecttype="rect"/>
              </v:shapetype>
              <v:shape id="Text Box 4" o:spid="_x0000_s1026" type="#_x0000_t202" style="position:absolute;left:0;text-align:left;margin-left:257.9pt;margin-top:13.25pt;width:94.75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HvJAIAAEgEAAAOAAAAZHJzL2Uyb0RvYy54bWysVNtu2zAMfR+wfxD0vti5tGiNOEWXLsOA&#10;7gK0+wBZlmNhsqhRSuzs60fJSRZ0wx6G+UGgJOqQPIf08m7oDNsr9BpsyaeTnDNlJdTabkv+9Xnz&#10;5oYzH4SthQGrSn5Qnt+tXr9a9q5QM2jB1AoZgVhf9K7kbQiuyDIvW9UJPwGnLF02gJ0ItMVtVqPo&#10;Cb0z2SzPr7MesHYIUnlPpw/jJV8l/KZRMnxuGq8CMyWn3EJaMa1VXLPVUhRbFK7V8piG+IcsOqEt&#10;BT1DPYgg2A71b1CdlggemjCR0GXQNFqqVANVM81fVPPUCqdSLUSOd2ea/P+DlZ/2X5DpuuRzzqzo&#10;SKJnNQT2Fga2iOz0zhfk9OTILQx0TCqnSr17BPnNMwvrVtitukeEvlWipuym8WV28XTE8RGk6j9C&#10;TWHELkACGhrsInVEBiN0UulwViamImPIWT6fz644k3Q3my6u50m6TBSn1w59eK+gY9EoOZLyCV3s&#10;H32I2Yji5BKDeTC63mhj0ga31dog2wvqkk36UgEv3IxlfclvryiPv0Pk6fsTRKcDtbvRXclvzk6i&#10;iLS9s3VqxiC0GW1K2dgjj5G6kcQwVMNRlwrqAzGKMLY1jSEZLeAPznpq6ZL77zuBijPzwZIqt9PF&#10;Is5A2pCBl6fV6VRYSRAlD5yN5jqM87JzqLctRRj1t3BPCjY6kRulHrM55kvtmjg/jlach8t98vr1&#10;A1j9BAAA//8DAFBLAwQUAAYACAAAACEAUvP32OAAAAAJAQAADwAAAGRycy9kb3ducmV2LnhtbEyP&#10;wU7DMBBE70j8g7VI3KjdhgQU4lQVBQkhIUThwNGNt0nUeB1stw1/z3KC42hGM2+q5eQGccQQe08a&#10;5jMFAqnxtqdWw8f749UtiJgMWTN4Qg3fGGFZn59VprT+RG943KRWcAnF0mjoUhpLKWPToTNx5kck&#10;9nY+OJNYhlbaYE5c7ga5UKqQzvTEC50Z8b7DZr85ON7N9l/uOq2f/Mvn8/ohhtfGrnZaX15MqzsQ&#10;Caf0F4ZffEaHmpm2/kA2ikFDPs8ZPWlYFDkIDtyoPAOx1VCoDGRdyf8P6h8AAAD//wMAUEsBAi0A&#10;FAAGAAgAAAAhALaDOJL+AAAA4QEAABMAAAAAAAAAAAAAAAAAAAAAAFtDb250ZW50X1R5cGVzXS54&#10;bWxQSwECLQAUAAYACAAAACEAOP0h/9YAAACUAQAACwAAAAAAAAAAAAAAAAAvAQAAX3JlbHMvLnJl&#10;bHNQSwECLQAUAAYACAAAACEAJ8SB7yQCAABIBAAADgAAAAAAAAAAAAAAAAAuAgAAZHJzL2Uyb0Rv&#10;Yy54bWxQSwECLQAUAAYACAAAACEAUvP32OAAAAAJAQAADwAAAAAAAAAAAAAAAAB+BAAAZHJzL2Rv&#10;d25yZXYueG1sUEsFBgAAAAAEAAQA8wAAAIsFAAAAAA==&#10;">
                <v:textbox inset=",0,,0">
                  <w:txbxContent>
                    <w:p w14:paraId="68B83EE3" w14:textId="77777777" w:rsidR="008228BC" w:rsidRPr="00D43751" w:rsidRDefault="008228BC" w:rsidP="00F63D2B">
                      <w:pPr>
                        <w:pStyle w:val="TextBox"/>
                      </w:pPr>
                    </w:p>
                  </w:txbxContent>
                </v:textbox>
              </v:shape>
            </w:pict>
          </mc:Fallback>
        </mc:AlternateContent>
      </w:r>
      <w:r w:rsidR="007F1DA8" w:rsidRPr="00625749">
        <w:fldChar w:fldCharType="begin">
          <w:ffData>
            <w:name w:val="Check4"/>
            <w:enabled/>
            <w:calcOnExit w:val="0"/>
            <w:checkBox>
              <w:sizeAuto/>
              <w:default w:val="0"/>
              <w:checked w:val="0"/>
            </w:checkBox>
          </w:ffData>
        </w:fldChar>
      </w:r>
      <w:r w:rsidR="00A6508E" w:rsidRPr="00625749">
        <w:instrText xml:space="preserve"> FORMCHECKBOX </w:instrText>
      </w:r>
      <w:r w:rsidR="00205A23">
        <w:fldChar w:fldCharType="separate"/>
      </w:r>
      <w:r w:rsidR="007F1DA8" w:rsidRPr="00625749">
        <w:fldChar w:fldCharType="end"/>
      </w:r>
      <w:r w:rsidR="000D18DB">
        <w:tab/>
      </w:r>
      <w:r w:rsidR="00A6508E">
        <w:t>New Facility</w:t>
      </w:r>
    </w:p>
    <w:p w14:paraId="71DDDF94" w14:textId="77777777" w:rsidR="00DC6716" w:rsidRDefault="007F1DA8">
      <w:pPr>
        <w:pStyle w:val="ListContinue"/>
      </w:pPr>
      <w:r w:rsidRPr="00625749">
        <w:fldChar w:fldCharType="begin">
          <w:ffData>
            <w:name w:val="Check4"/>
            <w:enabled/>
            <w:calcOnExit w:val="0"/>
            <w:checkBox>
              <w:sizeAuto/>
              <w:default w:val="0"/>
              <w:checked w:val="0"/>
            </w:checkBox>
          </w:ffData>
        </w:fldChar>
      </w:r>
      <w:r w:rsidR="00A6508E" w:rsidRPr="00625749">
        <w:instrText xml:space="preserve"> FORMCHECKBOX </w:instrText>
      </w:r>
      <w:r w:rsidR="00205A23">
        <w:fldChar w:fldCharType="separate"/>
      </w:r>
      <w:r w:rsidRPr="00625749">
        <w:fldChar w:fldCharType="end"/>
      </w:r>
      <w:r w:rsidR="000D18DB">
        <w:tab/>
      </w:r>
      <w:r w:rsidR="00A6508E">
        <w:t>Existing Facility</w:t>
      </w:r>
      <w:r w:rsidR="00D43751">
        <w:tab/>
      </w:r>
      <w:r w:rsidR="004073D4">
        <w:t xml:space="preserve">MSW Facility ID </w:t>
      </w:r>
      <w:r w:rsidR="00D43751">
        <w:t>No.</w:t>
      </w:r>
      <w:r w:rsidR="00432091">
        <w:t>:</w:t>
      </w:r>
      <w:r w:rsidR="00D43751">
        <w:t xml:space="preserve"> </w:t>
      </w:r>
    </w:p>
    <w:p w14:paraId="67D71E3C" w14:textId="77777777" w:rsidR="000E4B03" w:rsidRPr="001761F9" w:rsidRDefault="000E4B03" w:rsidP="001761F9">
      <w:pPr>
        <w:pStyle w:val="ListNumber"/>
      </w:pPr>
      <w:r w:rsidRPr="001761F9">
        <w:t>Facility Name</w:t>
      </w:r>
    </w:p>
    <w:p w14:paraId="42AFCC2C" w14:textId="77777777" w:rsidR="009E7940" w:rsidRDefault="000E4B03" w:rsidP="00E7791F">
      <w:pPr>
        <w:pStyle w:val="ListContinue"/>
      </w:pPr>
      <w:r>
        <w:t xml:space="preserve">Provide the </w:t>
      </w:r>
      <w:r w:rsidRPr="008F3CCF">
        <w:t xml:space="preserve">name </w:t>
      </w:r>
      <w:r>
        <w:t>of the recycling, composting, or mulching facility</w:t>
      </w:r>
      <w:r w:rsidR="009E7940">
        <w:t xml:space="preserve"> (</w:t>
      </w:r>
      <w:r w:rsidRPr="008F3CCF">
        <w:t xml:space="preserve">should be same as “Regulated Entity Name” on </w:t>
      </w:r>
      <w:r w:rsidR="009E7940">
        <w:t>Core Data Form):</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144"/>
      </w:tblGrid>
      <w:tr w:rsidR="006A6A00" w14:paraId="2DCB07A5" w14:textId="77777777" w:rsidTr="006A6A00">
        <w:trPr>
          <w:trHeight w:hRule="exact" w:val="288"/>
        </w:trPr>
        <w:tc>
          <w:tcPr>
            <w:tcW w:w="9720" w:type="dxa"/>
          </w:tcPr>
          <w:p w14:paraId="6D388ECC" w14:textId="77777777" w:rsidR="004A1FC0" w:rsidRDefault="004A1FC0" w:rsidP="004A1FC0">
            <w:pPr>
              <w:pStyle w:val="TableData"/>
            </w:pPr>
          </w:p>
        </w:tc>
      </w:tr>
    </w:tbl>
    <w:p w14:paraId="60F10F32" w14:textId="77777777" w:rsidR="00E7791F" w:rsidRPr="001761F9" w:rsidRDefault="009E7940" w:rsidP="001761F9">
      <w:pPr>
        <w:pStyle w:val="ListNumber"/>
      </w:pPr>
      <w:r w:rsidRPr="001761F9">
        <w:t>Facility Owner/Operator</w:t>
      </w:r>
    </w:p>
    <w:p w14:paraId="1AE0CB3B" w14:textId="77777777" w:rsidR="00BD2462" w:rsidRPr="000E00ED" w:rsidRDefault="004A1FC0" w:rsidP="000E00ED">
      <w:pPr>
        <w:pStyle w:val="ListContinue"/>
      </w:pPr>
      <w:r w:rsidRPr="000E00ED">
        <w:t xml:space="preserve">In addition to the NOI form, a completed Core Data Form for the Owner/Operator must be submitted for all new </w:t>
      </w:r>
      <w:r w:rsidR="007B0DCF" w:rsidRPr="000E00ED">
        <w:t>facilities</w:t>
      </w:r>
      <w:r w:rsidRPr="000E00ED">
        <w:t>.  For an existing facility, the Core Data Form only needs to be submitted if there are changes to the Customer or Regulated Entity information.  The Core Data Form and instructions can be found at the following Internet link:</w:t>
      </w:r>
    </w:p>
    <w:p w14:paraId="3CE156A6" w14:textId="77777777" w:rsidR="00B92B4D" w:rsidRPr="0040654A" w:rsidRDefault="0040654A" w:rsidP="0040654A">
      <w:pPr>
        <w:pStyle w:val="ListContinue"/>
      </w:pPr>
      <w:r>
        <w:t>&lt;</w:t>
      </w:r>
      <w:hyperlink r:id="rId11" w:history="1">
        <w:r w:rsidRPr="000C19D9">
          <w:rPr>
            <w:rStyle w:val="Hyperlink"/>
          </w:rPr>
          <w:t>www.tceq.texas.gov/permitting/central_registry/guidance.html</w:t>
        </w:r>
      </w:hyperlink>
      <w:r w:rsidRPr="0040654A">
        <w:t>&gt;</w:t>
      </w:r>
    </w:p>
    <w:p w14:paraId="2BC5EB55" w14:textId="77777777" w:rsidR="00E7791F" w:rsidRPr="00EF0337" w:rsidRDefault="001761F9" w:rsidP="001761F9">
      <w:pPr>
        <w:pStyle w:val="ListNumber"/>
      </w:pPr>
      <w:r w:rsidRPr="00EF0337">
        <w:t>Property Owner</w:t>
      </w:r>
    </w:p>
    <w:p w14:paraId="62E1EB3A" w14:textId="77777777" w:rsidR="000E4B03" w:rsidRPr="00EF0337" w:rsidRDefault="001761F9" w:rsidP="00E7791F">
      <w:pPr>
        <w:pStyle w:val="ListContinue"/>
      </w:pPr>
      <w:r w:rsidRPr="00EF0337">
        <w:t>Check whichever applies:</w:t>
      </w:r>
    </w:p>
    <w:p w14:paraId="1009F7A0" w14:textId="77777777" w:rsidR="00E7791F" w:rsidRPr="00EF0337" w:rsidRDefault="007F1DA8" w:rsidP="00E7791F">
      <w:pPr>
        <w:pStyle w:val="ListContinue"/>
      </w:pPr>
      <w:r w:rsidRPr="00EF0337">
        <w:fldChar w:fldCharType="begin">
          <w:ffData>
            <w:name w:val="Check4"/>
            <w:enabled/>
            <w:calcOnExit w:val="0"/>
            <w:checkBox>
              <w:sizeAuto/>
              <w:default w:val="0"/>
              <w:checked w:val="0"/>
            </w:checkBox>
          </w:ffData>
        </w:fldChar>
      </w:r>
      <w:r w:rsidR="00E7791F" w:rsidRPr="00EF0337">
        <w:instrText xml:space="preserve"> FORMCHECKBOX </w:instrText>
      </w:r>
      <w:r w:rsidR="00205A23">
        <w:fldChar w:fldCharType="separate"/>
      </w:r>
      <w:r w:rsidRPr="00EF0337">
        <w:fldChar w:fldCharType="end"/>
      </w:r>
      <w:r w:rsidR="00215569" w:rsidRPr="00EF0337">
        <w:tab/>
      </w:r>
      <w:r w:rsidR="00E7791F" w:rsidRPr="00EF0337">
        <w:t>The facility Owner/Operator is the same entity that owns the property.</w:t>
      </w:r>
    </w:p>
    <w:p w14:paraId="696D69A6" w14:textId="77777777" w:rsidR="00432091" w:rsidRDefault="007F1DA8" w:rsidP="00E7791F">
      <w:pPr>
        <w:pStyle w:val="ListContinue"/>
      </w:pPr>
      <w:r w:rsidRPr="00EF0337">
        <w:fldChar w:fldCharType="begin">
          <w:ffData>
            <w:name w:val="Check4"/>
            <w:enabled/>
            <w:calcOnExit w:val="0"/>
            <w:checkBox>
              <w:sizeAuto/>
              <w:default w:val="0"/>
              <w:checked w:val="0"/>
            </w:checkBox>
          </w:ffData>
        </w:fldChar>
      </w:r>
      <w:r w:rsidR="00E7791F" w:rsidRPr="00EF0337">
        <w:instrText xml:space="preserve"> FORMCHECKBOX </w:instrText>
      </w:r>
      <w:r w:rsidR="00205A23">
        <w:fldChar w:fldCharType="separate"/>
      </w:r>
      <w:r w:rsidRPr="00EF0337">
        <w:fldChar w:fldCharType="end"/>
      </w:r>
      <w:r w:rsidR="00215569" w:rsidRPr="00EF0337">
        <w:tab/>
      </w:r>
      <w:r w:rsidR="00E7791F" w:rsidRPr="00EF0337">
        <w:t>The facility Owner/Operator is a different entity than the property owner.</w:t>
      </w:r>
      <w:r w:rsidR="00E7791F" w:rsidRPr="00EF0337">
        <w:br/>
      </w:r>
      <w:r w:rsidR="00215569" w:rsidRPr="00EF0337">
        <w:rPr>
          <w:rStyle w:val="Emphasis"/>
        </w:rPr>
        <w:tab/>
      </w:r>
      <w:r w:rsidR="00E7791F" w:rsidRPr="00EF0337">
        <w:rPr>
          <w:rStyle w:val="Emphasis"/>
        </w:rPr>
        <w:t>(Attach a separate Core Data Form for the Property Owner.)</w:t>
      </w:r>
      <w:r w:rsidR="00E7791F" w:rsidRPr="00E7791F">
        <w:t xml:space="preserve"> </w:t>
      </w:r>
    </w:p>
    <w:p w14:paraId="257AEBCF" w14:textId="77777777" w:rsidR="000E4B03" w:rsidRPr="001761F9" w:rsidRDefault="000E4B03" w:rsidP="001761F9">
      <w:pPr>
        <w:pStyle w:val="ListNumber"/>
      </w:pPr>
      <w:r w:rsidRPr="001761F9">
        <w:lastRenderedPageBreak/>
        <w:t>Contact Person</w:t>
      </w:r>
    </w:p>
    <w:p w14:paraId="77B52A41" w14:textId="77777777" w:rsidR="000E4B03" w:rsidRDefault="000E4B03" w:rsidP="00E7791F">
      <w:pPr>
        <w:pStyle w:val="ListContinue"/>
      </w:pPr>
      <w:r>
        <w:t xml:space="preserve">Identify </w:t>
      </w:r>
      <w:r w:rsidRPr="008F3CCF">
        <w:t xml:space="preserve">the person </w:t>
      </w:r>
      <w:r>
        <w:t>to be contacted about the completed</w:t>
      </w:r>
      <w:r w:rsidRPr="008F3CCF">
        <w:t xml:space="preserve"> </w:t>
      </w:r>
      <w:r>
        <w:t>form</w:t>
      </w:r>
      <w:r w:rsidRPr="008F3CCF">
        <w:t xml:space="preserve"> and the facility</w:t>
      </w:r>
      <w:r w:rsidR="00046041">
        <w:t>.</w:t>
      </w:r>
    </w:p>
    <w:tbl>
      <w:tblPr>
        <w:tblStyle w:val="TableGrid"/>
        <w:tblW w:w="0" w:type="auto"/>
        <w:tblInd w:w="360" w:type="dxa"/>
        <w:tblLook w:val="04A0" w:firstRow="1" w:lastRow="0" w:firstColumn="1" w:lastColumn="0" w:noHBand="0" w:noVBand="1"/>
      </w:tblPr>
      <w:tblGrid>
        <w:gridCol w:w="3258"/>
        <w:gridCol w:w="5760"/>
      </w:tblGrid>
      <w:tr w:rsidR="006A6A00" w14:paraId="78C04C14" w14:textId="77777777" w:rsidTr="003C10A0">
        <w:trPr>
          <w:trHeight w:hRule="exact" w:val="504"/>
        </w:trPr>
        <w:tc>
          <w:tcPr>
            <w:tcW w:w="3258" w:type="dxa"/>
            <w:tcBorders>
              <w:top w:val="nil"/>
              <w:left w:val="nil"/>
              <w:bottom w:val="nil"/>
              <w:right w:val="nil"/>
            </w:tcBorders>
            <w:vAlign w:val="bottom"/>
          </w:tcPr>
          <w:p w14:paraId="7C22F971" w14:textId="77777777" w:rsidR="004A1FC0" w:rsidRDefault="006A6A00" w:rsidP="004A1FC0">
            <w:pPr>
              <w:pStyle w:val="TableData"/>
            </w:pPr>
            <w:r w:rsidRPr="003C10A0">
              <w:t>Name (required):</w:t>
            </w:r>
          </w:p>
        </w:tc>
        <w:tc>
          <w:tcPr>
            <w:tcW w:w="5760" w:type="dxa"/>
            <w:tcBorders>
              <w:top w:val="nil"/>
              <w:left w:val="nil"/>
              <w:bottom w:val="single" w:sz="4" w:space="0" w:color="auto"/>
              <w:right w:val="nil"/>
            </w:tcBorders>
            <w:vAlign w:val="bottom"/>
          </w:tcPr>
          <w:p w14:paraId="64C871BD" w14:textId="77777777" w:rsidR="004A1FC0" w:rsidRDefault="004A1FC0" w:rsidP="004A1FC0">
            <w:pPr>
              <w:pStyle w:val="TableData"/>
            </w:pPr>
          </w:p>
        </w:tc>
      </w:tr>
      <w:tr w:rsidR="006A6A00" w14:paraId="754DCD20" w14:textId="77777777" w:rsidTr="003C10A0">
        <w:trPr>
          <w:trHeight w:hRule="exact" w:val="504"/>
        </w:trPr>
        <w:tc>
          <w:tcPr>
            <w:tcW w:w="3258" w:type="dxa"/>
            <w:tcBorders>
              <w:top w:val="nil"/>
              <w:left w:val="nil"/>
              <w:bottom w:val="nil"/>
              <w:right w:val="nil"/>
            </w:tcBorders>
            <w:vAlign w:val="bottom"/>
          </w:tcPr>
          <w:p w14:paraId="0433951A" w14:textId="77777777" w:rsidR="004A1FC0" w:rsidRDefault="006A6A00" w:rsidP="004A1FC0">
            <w:pPr>
              <w:pStyle w:val="TableData"/>
            </w:pPr>
            <w:r w:rsidRPr="003C10A0">
              <w:t>Title:</w:t>
            </w:r>
          </w:p>
        </w:tc>
        <w:tc>
          <w:tcPr>
            <w:tcW w:w="5760" w:type="dxa"/>
            <w:tcBorders>
              <w:left w:val="nil"/>
              <w:bottom w:val="single" w:sz="4" w:space="0" w:color="auto"/>
              <w:right w:val="nil"/>
            </w:tcBorders>
            <w:vAlign w:val="bottom"/>
          </w:tcPr>
          <w:p w14:paraId="49EBC768" w14:textId="77777777" w:rsidR="004A1FC0" w:rsidRDefault="004A1FC0" w:rsidP="004A1FC0">
            <w:pPr>
              <w:pStyle w:val="TableData"/>
            </w:pPr>
          </w:p>
        </w:tc>
      </w:tr>
      <w:tr w:rsidR="006A6A00" w14:paraId="4E2F5AA9" w14:textId="77777777" w:rsidTr="003C10A0">
        <w:trPr>
          <w:trHeight w:hRule="exact" w:val="504"/>
        </w:trPr>
        <w:tc>
          <w:tcPr>
            <w:tcW w:w="3258" w:type="dxa"/>
            <w:tcBorders>
              <w:top w:val="nil"/>
              <w:left w:val="nil"/>
              <w:bottom w:val="nil"/>
              <w:right w:val="nil"/>
            </w:tcBorders>
            <w:vAlign w:val="bottom"/>
          </w:tcPr>
          <w:p w14:paraId="44C3377D" w14:textId="77777777" w:rsidR="004A1FC0" w:rsidRDefault="008852D1" w:rsidP="004A1FC0">
            <w:pPr>
              <w:pStyle w:val="TableData"/>
            </w:pPr>
            <w:r w:rsidRPr="003C10A0">
              <w:t>Phone Number (required):</w:t>
            </w:r>
          </w:p>
        </w:tc>
        <w:tc>
          <w:tcPr>
            <w:tcW w:w="5760" w:type="dxa"/>
            <w:tcBorders>
              <w:top w:val="single" w:sz="4" w:space="0" w:color="auto"/>
              <w:left w:val="nil"/>
              <w:bottom w:val="single" w:sz="4" w:space="0" w:color="auto"/>
              <w:right w:val="nil"/>
            </w:tcBorders>
            <w:vAlign w:val="bottom"/>
          </w:tcPr>
          <w:p w14:paraId="1034A1C9" w14:textId="77777777" w:rsidR="004A1FC0" w:rsidRDefault="004A1FC0" w:rsidP="004A1FC0">
            <w:pPr>
              <w:pStyle w:val="TableData"/>
            </w:pPr>
          </w:p>
        </w:tc>
      </w:tr>
      <w:tr w:rsidR="006A6A00" w14:paraId="384CAF4B" w14:textId="77777777" w:rsidTr="003C10A0">
        <w:trPr>
          <w:trHeight w:hRule="exact" w:val="504"/>
        </w:trPr>
        <w:tc>
          <w:tcPr>
            <w:tcW w:w="3258" w:type="dxa"/>
            <w:tcBorders>
              <w:top w:val="nil"/>
              <w:left w:val="nil"/>
              <w:bottom w:val="nil"/>
              <w:right w:val="nil"/>
            </w:tcBorders>
            <w:vAlign w:val="bottom"/>
          </w:tcPr>
          <w:p w14:paraId="09B5D98B" w14:textId="77777777" w:rsidR="004A1FC0" w:rsidRDefault="008852D1" w:rsidP="004A1FC0">
            <w:pPr>
              <w:pStyle w:val="TableData"/>
            </w:pPr>
            <w:r w:rsidRPr="003C10A0">
              <w:t>e-Mail Address:</w:t>
            </w:r>
          </w:p>
        </w:tc>
        <w:tc>
          <w:tcPr>
            <w:tcW w:w="5760" w:type="dxa"/>
            <w:tcBorders>
              <w:left w:val="nil"/>
              <w:right w:val="nil"/>
            </w:tcBorders>
            <w:vAlign w:val="bottom"/>
          </w:tcPr>
          <w:p w14:paraId="20675C4D" w14:textId="77777777" w:rsidR="004A1FC0" w:rsidRDefault="004A1FC0" w:rsidP="004A1FC0">
            <w:pPr>
              <w:pStyle w:val="TableData"/>
            </w:pPr>
          </w:p>
        </w:tc>
      </w:tr>
    </w:tbl>
    <w:p w14:paraId="70EDA85C" w14:textId="77777777" w:rsidR="00842C24" w:rsidRPr="001761F9" w:rsidRDefault="00842C24" w:rsidP="001761F9">
      <w:pPr>
        <w:pStyle w:val="ListNumber"/>
      </w:pPr>
      <w:r w:rsidRPr="001761F9">
        <w:t>Directions</w:t>
      </w:r>
    </w:p>
    <w:p w14:paraId="6860C2A3" w14:textId="77777777" w:rsidR="00E7791F" w:rsidRDefault="000E4B03" w:rsidP="00842C24">
      <w:pPr>
        <w:pStyle w:val="ListContinue"/>
      </w:pPr>
      <w:r w:rsidRPr="00842C24">
        <w:t>Provide directions to the site from the nearest, major intersection</w:t>
      </w:r>
      <w:r w:rsidR="00842C24" w:rsidRPr="00842C24">
        <w:t xml:space="preserve"> (e.g., state </w:t>
      </w:r>
      <w:r w:rsidR="00E7791F" w:rsidRPr="00842C24">
        <w:t>highway)</w:t>
      </w:r>
      <w:r w:rsidR="001761F9">
        <w:t xml:space="preserve">: </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8910"/>
      </w:tblGrid>
      <w:tr w:rsidR="003C10A0" w14:paraId="23FC693D" w14:textId="77777777" w:rsidTr="003C1C2A">
        <w:trPr>
          <w:trHeight w:hRule="exact" w:val="910"/>
        </w:trPr>
        <w:tc>
          <w:tcPr>
            <w:tcW w:w="8910" w:type="dxa"/>
          </w:tcPr>
          <w:p w14:paraId="6317D2BC" w14:textId="77777777" w:rsidR="004A1FC0" w:rsidRDefault="004A1FC0" w:rsidP="004A1FC0">
            <w:pPr>
              <w:pStyle w:val="TableData"/>
            </w:pPr>
          </w:p>
        </w:tc>
      </w:tr>
    </w:tbl>
    <w:p w14:paraId="255E1511" w14:textId="77777777" w:rsidR="004A1FC0" w:rsidRDefault="00FF33D5">
      <w:pPr>
        <w:pStyle w:val="ListNumber"/>
      </w:pPr>
      <w:r>
        <w:rPr>
          <w:noProof/>
        </w:rPr>
        <mc:AlternateContent>
          <mc:Choice Requires="wps">
            <w:drawing>
              <wp:anchor distT="0" distB="0" distL="114300" distR="114300" simplePos="0" relativeHeight="251662848" behindDoc="0" locked="0" layoutInCell="1" allowOverlap="1" wp14:anchorId="6D57B201" wp14:editId="5854C10E">
                <wp:simplePos x="0" y="0"/>
                <wp:positionH relativeFrom="column">
                  <wp:posOffset>2741295</wp:posOffset>
                </wp:positionH>
                <wp:positionV relativeFrom="paragraph">
                  <wp:posOffset>408940</wp:posOffset>
                </wp:positionV>
                <wp:extent cx="1868805" cy="209550"/>
                <wp:effectExtent l="7620"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09550"/>
                        </a:xfrm>
                        <a:prstGeom prst="rect">
                          <a:avLst/>
                        </a:prstGeom>
                        <a:solidFill>
                          <a:srgbClr val="FFFFFF"/>
                        </a:solidFill>
                        <a:ln w="9525">
                          <a:solidFill>
                            <a:srgbClr val="000000"/>
                          </a:solidFill>
                          <a:miter lim="800000"/>
                          <a:headEnd/>
                          <a:tailEnd/>
                        </a:ln>
                      </wps:spPr>
                      <wps:txbx>
                        <w:txbxContent>
                          <w:p w14:paraId="71C98743" w14:textId="77777777" w:rsidR="008228BC" w:rsidRPr="00D43751" w:rsidRDefault="008228BC" w:rsidP="00F63D2B">
                            <w:pPr>
                              <w:pStyle w:val="TextBox"/>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7B201" id="Text Box 6" o:spid="_x0000_s1027" type="#_x0000_t202" style="position:absolute;left:0;text-align:left;margin-left:215.85pt;margin-top:32.2pt;width:147.1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AUJwIAAE8EAAAOAAAAZHJzL2Uyb0RvYy54bWysVMGO0zAQvSPxD5bvNGm1rdqo6WrpUoS0&#10;sEi7fIDjOImF7TG226R8PWOn7VYLXBA5WGN7/GbmvZmsbwetyEE4L8GUdDrJKRGGQy1NW9Jvz7t3&#10;S0p8YKZmCowo6VF4ert5+2bd20LMoANVC0cQxPiityXtQrBFlnneCc38BKwweNmA0yzg1rVZ7ViP&#10;6FplszxfZD242jrgwns8vR8v6SbhN43g4bFpvAhElRRzC2l1aa3imm3WrGgds53kpzTYP2ShmTQY&#10;9AJ1zwIjeyd/g9KSO/DQhAkHnUHTSC5SDVjNNH9VzVPHrEi1IDneXmjy/w+Wfzl8dUTWJZ1RYphG&#10;iZ7FEMh7GMgistNbX6DTk0W3MOAxqpwq9fYB+HdPDGw7Zlpx5xz0nWA1ZjeNL7OrpyOOjyBV/xlq&#10;DMP2ARLQ0DgdqUMyCKKjSseLMjEVHkMuF8tlPqeE490sX83nSbqMFefX1vnwUYAm0SipQ+UTOjs8&#10;+BCzYcXZJQbzoGS9k0qljWurrXLkwLBLdulLBbxyU4b0JV3NZ/ORgL9C5On7E4SWAdtdSV3S5cWJ&#10;FZG2D6ZOzRiYVKONKStz4jFSN5IYhmpIgiWSI8cV1Eck1sHY3TiNaHTgflLSY2eX1P/YMycoUZ8M&#10;irOa3tzEUUgbNNz1aXU+ZYYjREkDJaO5DePY7K2TbYcRxjYwcIdCNjJx/JLNKW3s2kT9acLiWFzv&#10;k9fLf2DzCwAA//8DAFBLAwQUAAYACAAAACEAZjNFdeAAAAAJAQAADwAAAGRycy9kb3ducmV2Lnht&#10;bEyPQUvDQBCF74L/YRnBm920XRKN2ZRiFUQoYtuDx212moRmZ2N228Z/73jS4zAf732vWIyuE2cc&#10;QutJw3SSgECqvG2p1rDbvtzdgwjRkDWdJ9TwjQEW5fVVYXLrL/SB502sBYdQyI2GJsY+lzJUDToT&#10;Jr5H4t/BD85EPoda2sFcONx1cpYkqXSmJW5oTI9PDVbHzclx7/z45VRcvfr159vqOQzvlV0etL69&#10;GZePICKO8Q+GX31Wh5Kd9v5ENohOg5pPM0Y1pEqBYCCbpTxur+EhUyDLQv5fUP4AAAD//wMAUEsB&#10;Ai0AFAAGAAgAAAAhALaDOJL+AAAA4QEAABMAAAAAAAAAAAAAAAAAAAAAAFtDb250ZW50X1R5cGVz&#10;XS54bWxQSwECLQAUAAYACAAAACEAOP0h/9YAAACUAQAACwAAAAAAAAAAAAAAAAAvAQAAX3JlbHMv&#10;LnJlbHNQSwECLQAUAAYACAAAACEAHCrwFCcCAABPBAAADgAAAAAAAAAAAAAAAAAuAgAAZHJzL2Uy&#10;b0RvYy54bWxQSwECLQAUAAYACAAAACEAZjNFdeAAAAAJAQAADwAAAAAAAAAAAAAAAACBBAAAZHJz&#10;L2Rvd25yZXYueG1sUEsFBgAAAAAEAAQA8wAAAI4FAAAAAA==&#10;">
                <v:textbox inset=",0,,0">
                  <w:txbxContent>
                    <w:p w14:paraId="71C98743" w14:textId="77777777" w:rsidR="008228BC" w:rsidRPr="00D43751" w:rsidRDefault="008228BC" w:rsidP="00F63D2B">
                      <w:pPr>
                        <w:pStyle w:val="TextBox"/>
                      </w:pPr>
                    </w:p>
                  </w:txbxContent>
                </v:textbox>
              </v:shape>
            </w:pict>
          </mc:Fallback>
        </mc:AlternateContent>
      </w:r>
      <w:r w:rsidR="00842C24" w:rsidRPr="001761F9">
        <w:t>Brief Description of the Property</w:t>
      </w:r>
    </w:p>
    <w:p w14:paraId="255AE0BA" w14:textId="77777777" w:rsidR="00432091" w:rsidRDefault="00432091" w:rsidP="00432091">
      <w:pPr>
        <w:pStyle w:val="ListContinue"/>
      </w:pPr>
      <w:r>
        <w:t xml:space="preserve">County in which the facility is located: </w:t>
      </w:r>
    </w:p>
    <w:p w14:paraId="2A6C1836" w14:textId="77777777" w:rsidR="001761F9" w:rsidRDefault="000E4B03" w:rsidP="001761F9">
      <w:pPr>
        <w:pStyle w:val="ListContinue"/>
      </w:pPr>
      <w:r w:rsidRPr="00842C24">
        <w:t xml:space="preserve">Provide a brief description of the property to be used for recycling activities </w:t>
      </w:r>
      <w:r w:rsidR="00E204F6">
        <w:t>(e.g.</w:t>
      </w:r>
      <w:r w:rsidR="009E1DC3">
        <w:t xml:space="preserve"> </w:t>
      </w:r>
      <w:r w:rsidRPr="00842C24">
        <w:t xml:space="preserve">the number of acres, </w:t>
      </w:r>
      <w:r w:rsidR="007B3811" w:rsidRPr="00842C24">
        <w:t>legal description, drawing of the boundary met</w:t>
      </w:r>
      <w:r w:rsidR="00F119E5" w:rsidRPr="00842C24">
        <w:t>e</w:t>
      </w:r>
      <w:r w:rsidR="007B3811" w:rsidRPr="00842C24">
        <w:t xml:space="preserve">s and bounds, </w:t>
      </w:r>
      <w:r w:rsidR="001761F9">
        <w:t>etc</w:t>
      </w:r>
      <w:r w:rsidR="00E204F6">
        <w:t>.).</w:t>
      </w: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8910"/>
      </w:tblGrid>
      <w:tr w:rsidR="003C10A0" w14:paraId="11676711" w14:textId="77777777" w:rsidTr="003C1C2A">
        <w:trPr>
          <w:trHeight w:hRule="exact" w:val="838"/>
        </w:trPr>
        <w:tc>
          <w:tcPr>
            <w:tcW w:w="8910" w:type="dxa"/>
          </w:tcPr>
          <w:p w14:paraId="0FE9A4E4" w14:textId="77777777" w:rsidR="004A1FC0" w:rsidRDefault="004A1FC0" w:rsidP="004A1FC0">
            <w:pPr>
              <w:pStyle w:val="TableData"/>
            </w:pPr>
          </w:p>
        </w:tc>
      </w:tr>
    </w:tbl>
    <w:p w14:paraId="46E9BF68" w14:textId="77777777" w:rsidR="00AE13A8" w:rsidRPr="009E1DC3" w:rsidRDefault="004A1FC0" w:rsidP="001761F9">
      <w:pPr>
        <w:pStyle w:val="ListNumber"/>
      </w:pPr>
      <w:r w:rsidRPr="009E1DC3">
        <w:t>Combustible Materials</w:t>
      </w:r>
      <w:r w:rsidR="00A22682" w:rsidRPr="009E1DC3">
        <w:t xml:space="preserve"> </w:t>
      </w:r>
    </w:p>
    <w:p w14:paraId="1060D685" w14:textId="77777777" w:rsidR="007F06CD" w:rsidRPr="00EF0337" w:rsidRDefault="00C648D5" w:rsidP="00AC4A01">
      <w:pPr>
        <w:pStyle w:val="ListContinue"/>
      </w:pPr>
      <w:r w:rsidRPr="00EF0337">
        <w:t>The f</w:t>
      </w:r>
      <w:r w:rsidR="007F06CD" w:rsidRPr="00EF0337">
        <w:t xml:space="preserve">acility will </w:t>
      </w:r>
      <w:r w:rsidRPr="00EF0337">
        <w:t xml:space="preserve">manage </w:t>
      </w:r>
      <w:r w:rsidR="007F06CD" w:rsidRPr="00EF0337">
        <w:t>combusti</w:t>
      </w:r>
      <w:r w:rsidR="00AE13A8" w:rsidRPr="00EF0337">
        <w:t>ble materials</w:t>
      </w:r>
      <w:r w:rsidR="007F06CD" w:rsidRPr="00EF0337">
        <w:t>:</w:t>
      </w:r>
      <w:r w:rsidR="00AE13A8" w:rsidRPr="00EF0337">
        <w:tab/>
      </w:r>
      <w:r w:rsidR="007F06CD" w:rsidRPr="00EF0337">
        <w:tab/>
      </w:r>
      <w:r w:rsidR="007F06CD" w:rsidRPr="00EF0337">
        <w:tab/>
      </w:r>
      <w:r w:rsidR="007F1DA8" w:rsidRPr="00EF0337">
        <w:fldChar w:fldCharType="begin">
          <w:ffData>
            <w:name w:val="Check4"/>
            <w:enabled/>
            <w:calcOnExit w:val="0"/>
            <w:checkBox>
              <w:sizeAuto/>
              <w:default w:val="0"/>
              <w:checked w:val="0"/>
            </w:checkBox>
          </w:ffData>
        </w:fldChar>
      </w:r>
      <w:r w:rsidR="00AE13A8" w:rsidRPr="00EF0337">
        <w:instrText xml:space="preserve"> FORMCHECKBOX </w:instrText>
      </w:r>
      <w:r w:rsidR="00205A23">
        <w:fldChar w:fldCharType="separate"/>
      </w:r>
      <w:r w:rsidR="007F1DA8" w:rsidRPr="00EF0337">
        <w:fldChar w:fldCharType="end"/>
      </w:r>
      <w:r w:rsidR="00AE13A8" w:rsidRPr="00EF0337">
        <w:t xml:space="preserve"> Yes</w:t>
      </w:r>
      <w:r w:rsidR="00AE13A8" w:rsidRPr="00EF0337">
        <w:tab/>
        <w:t xml:space="preserve"> </w:t>
      </w:r>
      <w:r w:rsidR="007F1DA8" w:rsidRPr="00EF0337">
        <w:fldChar w:fldCharType="begin">
          <w:ffData>
            <w:name w:val="Check4"/>
            <w:enabled/>
            <w:calcOnExit w:val="0"/>
            <w:checkBox>
              <w:sizeAuto/>
              <w:default w:val="0"/>
              <w:checked w:val="0"/>
            </w:checkBox>
          </w:ffData>
        </w:fldChar>
      </w:r>
      <w:r w:rsidR="00AE13A8" w:rsidRPr="00EF0337">
        <w:instrText xml:space="preserve"> FORMCHECKBOX </w:instrText>
      </w:r>
      <w:r w:rsidR="00205A23">
        <w:fldChar w:fldCharType="separate"/>
      </w:r>
      <w:r w:rsidR="007F1DA8" w:rsidRPr="00EF0337">
        <w:fldChar w:fldCharType="end"/>
      </w:r>
      <w:r w:rsidR="00AE13A8" w:rsidRPr="00EF0337">
        <w:t xml:space="preserve"> No</w:t>
      </w:r>
      <w:r w:rsidR="007F06CD" w:rsidRPr="00EF0337">
        <w:br/>
        <w:t xml:space="preserve">If “Yes”, the </w:t>
      </w:r>
      <w:r w:rsidR="00696352" w:rsidRPr="00EF0337">
        <w:t xml:space="preserve">facility is required to </w:t>
      </w:r>
      <w:r w:rsidRPr="00EF0337">
        <w:t xml:space="preserve">maintain </w:t>
      </w:r>
      <w:r w:rsidR="00696352" w:rsidRPr="00EF0337">
        <w:t>a fire prevention and suppression plan</w:t>
      </w:r>
      <w:r w:rsidRPr="00EF0337">
        <w:t xml:space="preserve"> in the facility records. </w:t>
      </w:r>
      <w:r w:rsidR="00AC4A01" w:rsidRPr="00EF0337">
        <w:t xml:space="preserve"> The plan must also be made available to the local fire prevention authority having jurisdiction over the facility for review and coordination.</w:t>
      </w:r>
    </w:p>
    <w:p w14:paraId="6E1268B5" w14:textId="77777777" w:rsidR="00967881" w:rsidRPr="00EF0337" w:rsidRDefault="00C648D5" w:rsidP="00696352">
      <w:pPr>
        <w:pStyle w:val="ListContinue"/>
      </w:pPr>
      <w:r w:rsidRPr="00EF0337">
        <w:t>The f</w:t>
      </w:r>
      <w:r w:rsidR="007F06CD" w:rsidRPr="00EF0337">
        <w:t>acility will store combustible materials outdoors:</w:t>
      </w:r>
      <w:r w:rsidR="007F06CD" w:rsidRPr="00EF0337">
        <w:tab/>
      </w:r>
      <w:r w:rsidR="009E1DC3" w:rsidRPr="00EF0337">
        <w:tab/>
      </w:r>
      <w:r w:rsidR="007F1DA8" w:rsidRPr="00EF0337">
        <w:fldChar w:fldCharType="begin">
          <w:ffData>
            <w:name w:val="Check4"/>
            <w:enabled/>
            <w:calcOnExit w:val="0"/>
            <w:checkBox>
              <w:sizeAuto/>
              <w:default w:val="0"/>
              <w:checked w:val="0"/>
            </w:checkBox>
          </w:ffData>
        </w:fldChar>
      </w:r>
      <w:r w:rsidR="007F06CD" w:rsidRPr="00EF0337">
        <w:instrText xml:space="preserve"> FORMCHECKBOX </w:instrText>
      </w:r>
      <w:r w:rsidR="00205A23">
        <w:fldChar w:fldCharType="separate"/>
      </w:r>
      <w:r w:rsidR="007F1DA8" w:rsidRPr="00EF0337">
        <w:fldChar w:fldCharType="end"/>
      </w:r>
      <w:r w:rsidR="007F06CD" w:rsidRPr="00EF0337">
        <w:t xml:space="preserve"> Yes</w:t>
      </w:r>
      <w:r w:rsidR="007F06CD" w:rsidRPr="00EF0337">
        <w:tab/>
        <w:t xml:space="preserve"> </w:t>
      </w:r>
      <w:r w:rsidR="007F1DA8" w:rsidRPr="00EF0337">
        <w:fldChar w:fldCharType="begin">
          <w:ffData>
            <w:name w:val="Check4"/>
            <w:enabled/>
            <w:calcOnExit w:val="0"/>
            <w:checkBox>
              <w:sizeAuto/>
              <w:default w:val="0"/>
              <w:checked w:val="0"/>
            </w:checkBox>
          </w:ffData>
        </w:fldChar>
      </w:r>
      <w:r w:rsidR="007F06CD" w:rsidRPr="00EF0337">
        <w:instrText xml:space="preserve"> FORMCHECKBOX </w:instrText>
      </w:r>
      <w:r w:rsidR="00205A23">
        <w:fldChar w:fldCharType="separate"/>
      </w:r>
      <w:r w:rsidR="007F1DA8" w:rsidRPr="00EF0337">
        <w:fldChar w:fldCharType="end"/>
      </w:r>
      <w:r w:rsidR="007F06CD" w:rsidRPr="00EF0337">
        <w:t xml:space="preserve"> No</w:t>
      </w:r>
      <w:r w:rsidR="00696352" w:rsidRPr="00EF0337">
        <w:br/>
        <w:t>If “Yes”, the facility is required to establish and maintain financial assurance for closure of facility</w:t>
      </w:r>
      <w:r w:rsidR="007C29ED" w:rsidRPr="00EF0337">
        <w:t>.</w:t>
      </w:r>
      <w:r w:rsidR="00696352" w:rsidRPr="00EF0337">
        <w:t xml:space="preserve"> (see Attachment D requirements)</w:t>
      </w:r>
    </w:p>
    <w:p w14:paraId="5347D107" w14:textId="77777777" w:rsidR="00842C24" w:rsidRPr="001761F9" w:rsidRDefault="001761F9" w:rsidP="001761F9">
      <w:pPr>
        <w:pStyle w:val="ListNumber"/>
      </w:pPr>
      <w:r>
        <w:t>Attachments</w:t>
      </w:r>
    </w:p>
    <w:p w14:paraId="052ADB54" w14:textId="77777777" w:rsidR="00FD6555" w:rsidRDefault="000E4B03" w:rsidP="00FD6555">
      <w:pPr>
        <w:pStyle w:val="ListContinue"/>
      </w:pPr>
      <w:r>
        <w:t xml:space="preserve">Please </w:t>
      </w:r>
      <w:r w:rsidR="005D5E66">
        <w:t xml:space="preserve">indicate with an </w:t>
      </w:r>
      <w:r w:rsidR="00046041">
        <w:t>(X)</w:t>
      </w:r>
      <w:r w:rsidR="00FD6555">
        <w:t xml:space="preserve"> in </w:t>
      </w:r>
      <w:r w:rsidR="00D34FC2">
        <w:t xml:space="preserve">the </w:t>
      </w:r>
      <w:r w:rsidR="00FD6555">
        <w:t xml:space="preserve">table below </w:t>
      </w:r>
      <w:r w:rsidR="0095551C">
        <w:t>which</w:t>
      </w:r>
      <w:r w:rsidR="00FD6555">
        <w:t xml:space="preserve"> </w:t>
      </w:r>
      <w:r w:rsidR="008B6D00">
        <w:t>attachments</w:t>
      </w:r>
      <w:r w:rsidR="00FD6555">
        <w:t xml:space="preserve"> are being submitted with this form. </w:t>
      </w:r>
      <w:r w:rsidR="00E204F6">
        <w:t>The following r</w:t>
      </w:r>
      <w:r w:rsidR="00FD6555">
        <w:t xml:space="preserve">equirements </w:t>
      </w:r>
      <w:r w:rsidR="00E204F6">
        <w:t>apply</w:t>
      </w:r>
      <w:r w:rsidR="00FD6555">
        <w:t>:</w:t>
      </w:r>
    </w:p>
    <w:p w14:paraId="582CDA90" w14:textId="77777777" w:rsidR="004A1FC0" w:rsidRDefault="00FD6555" w:rsidP="004A1FC0">
      <w:pPr>
        <w:pStyle w:val="ListNumber2"/>
        <w:ind w:firstLine="0"/>
      </w:pPr>
      <w:r w:rsidRPr="00443C2B">
        <w:rPr>
          <w:rStyle w:val="Strong"/>
        </w:rPr>
        <w:t>All facilities</w:t>
      </w:r>
      <w:r>
        <w:t xml:space="preserve"> </w:t>
      </w:r>
      <w:r w:rsidR="005B6880">
        <w:t xml:space="preserve">must </w:t>
      </w:r>
      <w:r>
        <w:t xml:space="preserve">submit </w:t>
      </w:r>
      <w:r w:rsidR="005B6880">
        <w:t xml:space="preserve">the applicable </w:t>
      </w:r>
      <w:r w:rsidR="007C29ED">
        <w:t>C</w:t>
      </w:r>
      <w:r w:rsidR="005B6880">
        <w:t xml:space="preserve">ore </w:t>
      </w:r>
      <w:r w:rsidR="007C29ED">
        <w:t>D</w:t>
      </w:r>
      <w:r w:rsidR="005B6880">
        <w:t xml:space="preserve">ata </w:t>
      </w:r>
      <w:r w:rsidR="007C29ED">
        <w:t>F</w:t>
      </w:r>
      <w:r w:rsidR="005B6880">
        <w:t xml:space="preserve">orm(s) and </w:t>
      </w:r>
      <w:r>
        <w:t>Attachments A-</w:t>
      </w:r>
      <w:r w:rsidR="007C29ED">
        <w:t>C</w:t>
      </w:r>
    </w:p>
    <w:p w14:paraId="4BC9B73B" w14:textId="77777777" w:rsidR="00DC6716" w:rsidRDefault="007C29ED">
      <w:pPr>
        <w:pStyle w:val="ListNumber2"/>
        <w:ind w:left="1440" w:hanging="720"/>
      </w:pPr>
      <w:r>
        <w:t>If combustible material will be stored outdoors, Attachment D is also required.</w:t>
      </w:r>
    </w:p>
    <w:p w14:paraId="14872203" w14:textId="77777777" w:rsidR="004A1FC0" w:rsidRDefault="005B6880" w:rsidP="004A1FC0">
      <w:pPr>
        <w:pStyle w:val="ListNumber2"/>
        <w:ind w:left="1440" w:hanging="720"/>
      </w:pPr>
      <w:r>
        <w:t>If you are located in Bexar County and produce mulch or compost</w:t>
      </w:r>
      <w:r w:rsidR="00E204F6">
        <w:t>,</w:t>
      </w:r>
      <w:r>
        <w:t xml:space="preserve"> Attachment </w:t>
      </w:r>
      <w:r w:rsidR="007C29ED">
        <w:t>E is also required.</w:t>
      </w:r>
    </w:p>
    <w:p w14:paraId="1F307CD2" w14:textId="77777777" w:rsidR="004A1FC0" w:rsidRPr="00EF0337" w:rsidRDefault="005B6880" w:rsidP="004A1FC0">
      <w:pPr>
        <w:pStyle w:val="ListNumber2"/>
        <w:ind w:left="1440" w:hanging="720"/>
      </w:pPr>
      <w:r w:rsidRPr="00EF0337">
        <w:t>For a facility</w:t>
      </w:r>
      <w:r w:rsidR="00BC65EA" w:rsidRPr="00EF0337">
        <w:t xml:space="preserve"> that recycles covered television equipment</w:t>
      </w:r>
      <w:r w:rsidRPr="00EF0337">
        <w:t xml:space="preserve">, </w:t>
      </w:r>
      <w:r w:rsidR="007C29ED" w:rsidRPr="00EF0337">
        <w:t xml:space="preserve">Attachment F is </w:t>
      </w:r>
      <w:r w:rsidRPr="00EF0337">
        <w:t xml:space="preserve">also </w:t>
      </w:r>
      <w:r w:rsidR="007C29ED" w:rsidRPr="00EF0337">
        <w:t>required</w:t>
      </w:r>
      <w:r w:rsidRPr="00EF0337">
        <w:t>.</w:t>
      </w:r>
    </w:p>
    <w:p w14:paraId="223152D1" w14:textId="77777777" w:rsidR="00967881" w:rsidRDefault="005B6880" w:rsidP="005B6880">
      <w:pPr>
        <w:pStyle w:val="ListNumber2"/>
        <w:ind w:firstLine="0"/>
      </w:pPr>
      <w:r>
        <w:t xml:space="preserve">For an Alternative Compliance request, </w:t>
      </w:r>
      <w:r w:rsidRPr="00325E73">
        <w:t xml:space="preserve">Attachment </w:t>
      </w:r>
      <w:r w:rsidR="00E204F6">
        <w:t>G is also required</w:t>
      </w:r>
      <w:r>
        <w:t>.</w:t>
      </w:r>
    </w:p>
    <w:p w14:paraId="5942DD30" w14:textId="77777777" w:rsidR="00967881" w:rsidRDefault="00967881" w:rsidP="000E00ED">
      <w:pPr>
        <w:pStyle w:val="BodyText"/>
      </w:pPr>
      <w:r>
        <w:br w:type="page"/>
      </w:r>
    </w:p>
    <w:tbl>
      <w:tblPr>
        <w:tblStyle w:val="TableGrid"/>
        <w:tblW w:w="8460" w:type="dxa"/>
        <w:tblInd w:w="475" w:type="dxa"/>
        <w:tblLayout w:type="fixed"/>
        <w:tblCellMar>
          <w:top w:w="43" w:type="dxa"/>
          <w:left w:w="115" w:type="dxa"/>
          <w:bottom w:w="43" w:type="dxa"/>
          <w:right w:w="115" w:type="dxa"/>
        </w:tblCellMar>
        <w:tblLook w:val="04A0" w:firstRow="1" w:lastRow="0" w:firstColumn="1" w:lastColumn="0" w:noHBand="0" w:noVBand="1"/>
      </w:tblPr>
      <w:tblGrid>
        <w:gridCol w:w="7675"/>
        <w:gridCol w:w="785"/>
      </w:tblGrid>
      <w:tr w:rsidR="005C490C" w14:paraId="6B4265FE" w14:textId="77777777" w:rsidTr="005367A0">
        <w:trPr>
          <w:tblHeader/>
        </w:trPr>
        <w:tc>
          <w:tcPr>
            <w:tcW w:w="7675" w:type="dxa"/>
            <w:shd w:val="clear" w:color="auto" w:fill="auto"/>
            <w:vAlign w:val="center"/>
          </w:tcPr>
          <w:p w14:paraId="752C5C4A" w14:textId="77777777" w:rsidR="005C490C" w:rsidRDefault="00443C2B" w:rsidP="00443C2B">
            <w:pPr>
              <w:pStyle w:val="TableHeadings"/>
              <w:jc w:val="left"/>
            </w:pPr>
            <w:r>
              <w:lastRenderedPageBreak/>
              <w:t>List of Submitted</w:t>
            </w:r>
            <w:r w:rsidR="005C490C">
              <w:t xml:space="preserve"> Attachments</w:t>
            </w:r>
          </w:p>
        </w:tc>
        <w:tc>
          <w:tcPr>
            <w:tcW w:w="785" w:type="dxa"/>
            <w:shd w:val="clear" w:color="auto" w:fill="auto"/>
            <w:vAlign w:val="center"/>
          </w:tcPr>
          <w:p w14:paraId="41DD8BA1" w14:textId="77777777" w:rsidR="005C490C" w:rsidRDefault="005C490C" w:rsidP="00FD6555">
            <w:pPr>
              <w:pStyle w:val="TableHeadings"/>
            </w:pPr>
            <w:r>
              <w:t>(X)</w:t>
            </w:r>
          </w:p>
        </w:tc>
      </w:tr>
      <w:tr w:rsidR="005C490C" w14:paraId="7A966600" w14:textId="77777777" w:rsidTr="005367A0">
        <w:tc>
          <w:tcPr>
            <w:tcW w:w="7675" w:type="dxa"/>
          </w:tcPr>
          <w:p w14:paraId="6D4FBE8D" w14:textId="77777777" w:rsidR="005C490C" w:rsidRDefault="005C490C" w:rsidP="00FD6555">
            <w:pPr>
              <w:pStyle w:val="TableData"/>
            </w:pPr>
            <w:r>
              <w:t>1.</w:t>
            </w:r>
            <w:r>
              <w:tab/>
            </w:r>
            <w:r w:rsidRPr="008C6DEC">
              <w:t>Core Data Form for Operator</w:t>
            </w:r>
          </w:p>
        </w:tc>
        <w:tc>
          <w:tcPr>
            <w:tcW w:w="785" w:type="dxa"/>
          </w:tcPr>
          <w:p w14:paraId="274E1C0A" w14:textId="77777777" w:rsidR="005C490C" w:rsidRDefault="005C490C" w:rsidP="00FD6555">
            <w:pPr>
              <w:pStyle w:val="TableData"/>
            </w:pPr>
          </w:p>
        </w:tc>
      </w:tr>
      <w:tr w:rsidR="005C490C" w14:paraId="18F1899F" w14:textId="77777777" w:rsidTr="005367A0">
        <w:tc>
          <w:tcPr>
            <w:tcW w:w="7675" w:type="dxa"/>
          </w:tcPr>
          <w:p w14:paraId="76D3FAF1" w14:textId="77777777" w:rsidR="005C490C" w:rsidRDefault="005C490C" w:rsidP="00FD6555">
            <w:pPr>
              <w:pStyle w:val="TableData"/>
            </w:pPr>
            <w:r w:rsidRPr="008C6DEC">
              <w:t>2.</w:t>
            </w:r>
            <w:r>
              <w:tab/>
            </w:r>
            <w:r w:rsidRPr="008C6DEC">
              <w:t>Core Data Form for Owner (if different)</w:t>
            </w:r>
          </w:p>
        </w:tc>
        <w:tc>
          <w:tcPr>
            <w:tcW w:w="785" w:type="dxa"/>
          </w:tcPr>
          <w:p w14:paraId="3D4EF3F3" w14:textId="77777777" w:rsidR="005C490C" w:rsidRDefault="005C490C" w:rsidP="00FD6555">
            <w:pPr>
              <w:pStyle w:val="TableData"/>
            </w:pPr>
          </w:p>
        </w:tc>
      </w:tr>
      <w:tr w:rsidR="005C490C" w14:paraId="57581F21" w14:textId="77777777" w:rsidTr="005367A0">
        <w:tc>
          <w:tcPr>
            <w:tcW w:w="7675" w:type="dxa"/>
          </w:tcPr>
          <w:p w14:paraId="05395229" w14:textId="77777777" w:rsidR="005C490C" w:rsidRDefault="005C490C" w:rsidP="00FD6555">
            <w:pPr>
              <w:pStyle w:val="TableData"/>
            </w:pPr>
            <w:r w:rsidRPr="008C6DEC">
              <w:t>3.</w:t>
            </w:r>
            <w:r>
              <w:tab/>
            </w:r>
            <w:r w:rsidRPr="008C6DEC">
              <w:t>Attachment A – Map of Site Location</w:t>
            </w:r>
          </w:p>
        </w:tc>
        <w:tc>
          <w:tcPr>
            <w:tcW w:w="785" w:type="dxa"/>
          </w:tcPr>
          <w:p w14:paraId="0311A79F" w14:textId="77777777" w:rsidR="005C490C" w:rsidRDefault="005C490C" w:rsidP="00FD6555">
            <w:pPr>
              <w:pStyle w:val="TableData"/>
            </w:pPr>
          </w:p>
        </w:tc>
      </w:tr>
      <w:tr w:rsidR="005C490C" w14:paraId="70DB7361" w14:textId="77777777" w:rsidTr="005367A0">
        <w:tc>
          <w:tcPr>
            <w:tcW w:w="7675" w:type="dxa"/>
          </w:tcPr>
          <w:p w14:paraId="6AAF20CF" w14:textId="77777777" w:rsidR="005C490C" w:rsidRDefault="005C490C" w:rsidP="00FD6555">
            <w:pPr>
              <w:pStyle w:val="TableData"/>
            </w:pPr>
            <w:r w:rsidRPr="008C6DEC">
              <w:t>4.</w:t>
            </w:r>
            <w:r>
              <w:tab/>
            </w:r>
            <w:r w:rsidRPr="008C6DEC">
              <w:t>Attachment B – Description of Storage and Recycling Operations</w:t>
            </w:r>
          </w:p>
        </w:tc>
        <w:tc>
          <w:tcPr>
            <w:tcW w:w="785" w:type="dxa"/>
          </w:tcPr>
          <w:p w14:paraId="5B8AA4A7" w14:textId="77777777" w:rsidR="005C490C" w:rsidRDefault="005C490C" w:rsidP="00FD6555">
            <w:pPr>
              <w:pStyle w:val="TableData"/>
            </w:pPr>
          </w:p>
        </w:tc>
      </w:tr>
      <w:tr w:rsidR="005C490C" w14:paraId="6B2C3EF7" w14:textId="77777777" w:rsidTr="005367A0">
        <w:tc>
          <w:tcPr>
            <w:tcW w:w="7675" w:type="dxa"/>
          </w:tcPr>
          <w:p w14:paraId="2DE652D7" w14:textId="77777777" w:rsidR="005C490C" w:rsidRDefault="005C490C" w:rsidP="00FD6555">
            <w:pPr>
              <w:pStyle w:val="TableData"/>
            </w:pPr>
            <w:r w:rsidRPr="008C6DEC">
              <w:t>5.</w:t>
            </w:r>
            <w:r>
              <w:tab/>
            </w:r>
            <w:r w:rsidRPr="008C6DEC">
              <w:t>Attachment C – Identification of Markets for Processed Materials</w:t>
            </w:r>
          </w:p>
        </w:tc>
        <w:tc>
          <w:tcPr>
            <w:tcW w:w="785" w:type="dxa"/>
          </w:tcPr>
          <w:p w14:paraId="7804CCA8" w14:textId="77777777" w:rsidR="005C490C" w:rsidRDefault="005C490C" w:rsidP="00FD6555">
            <w:pPr>
              <w:pStyle w:val="TableData"/>
            </w:pPr>
          </w:p>
        </w:tc>
      </w:tr>
      <w:tr w:rsidR="005C490C" w14:paraId="4C6E51A5" w14:textId="77777777" w:rsidTr="005367A0">
        <w:tc>
          <w:tcPr>
            <w:tcW w:w="7675" w:type="dxa"/>
          </w:tcPr>
          <w:p w14:paraId="1B788657" w14:textId="77777777" w:rsidR="005C490C" w:rsidRDefault="005C490C" w:rsidP="00FD6555">
            <w:pPr>
              <w:pStyle w:val="TableData"/>
            </w:pPr>
            <w:r w:rsidRPr="008C6DEC">
              <w:t>6.</w:t>
            </w:r>
            <w:r>
              <w:tab/>
            </w:r>
            <w:r w:rsidRPr="008C6DEC">
              <w:t>Attachment D – Cost Estimates for Financial Assurance</w:t>
            </w:r>
          </w:p>
        </w:tc>
        <w:tc>
          <w:tcPr>
            <w:tcW w:w="785" w:type="dxa"/>
          </w:tcPr>
          <w:p w14:paraId="79C66DC7" w14:textId="77777777" w:rsidR="005C490C" w:rsidRDefault="005C490C" w:rsidP="00FD6555">
            <w:pPr>
              <w:pStyle w:val="TableData"/>
            </w:pPr>
          </w:p>
        </w:tc>
      </w:tr>
      <w:tr w:rsidR="005C490C" w14:paraId="10B24AE9" w14:textId="77777777" w:rsidTr="005367A0">
        <w:tc>
          <w:tcPr>
            <w:tcW w:w="7675" w:type="dxa"/>
          </w:tcPr>
          <w:p w14:paraId="3F3F0594" w14:textId="77777777" w:rsidR="005C490C" w:rsidRPr="008C6DEC" w:rsidRDefault="005C490C" w:rsidP="00E204F6">
            <w:pPr>
              <w:pStyle w:val="TableData"/>
            </w:pPr>
            <w:r>
              <w:t>8</w:t>
            </w:r>
            <w:r w:rsidRPr="008C6DEC">
              <w:t>.</w:t>
            </w:r>
            <w:r>
              <w:tab/>
            </w:r>
            <w:r w:rsidRPr="008C6DEC">
              <w:t xml:space="preserve">Attachment </w:t>
            </w:r>
            <w:r w:rsidR="00E204F6">
              <w:t>E</w:t>
            </w:r>
            <w:r w:rsidRPr="008C6DEC">
              <w:t xml:space="preserve"> – </w:t>
            </w:r>
            <w:r>
              <w:t>Bexar County Mulch or Compost Facility</w:t>
            </w:r>
          </w:p>
        </w:tc>
        <w:tc>
          <w:tcPr>
            <w:tcW w:w="785" w:type="dxa"/>
          </w:tcPr>
          <w:p w14:paraId="6FC5C20C" w14:textId="77777777" w:rsidR="005C490C" w:rsidRDefault="005C490C" w:rsidP="00FD6555">
            <w:pPr>
              <w:pStyle w:val="TableData"/>
            </w:pPr>
          </w:p>
        </w:tc>
      </w:tr>
      <w:tr w:rsidR="005C490C" w14:paraId="0709B211" w14:textId="77777777" w:rsidTr="005367A0">
        <w:tc>
          <w:tcPr>
            <w:tcW w:w="7675" w:type="dxa"/>
          </w:tcPr>
          <w:p w14:paraId="22F08C8F" w14:textId="77777777" w:rsidR="005C490C" w:rsidRDefault="005C490C" w:rsidP="003F4513">
            <w:pPr>
              <w:pStyle w:val="TableData"/>
            </w:pPr>
            <w:r>
              <w:t>9</w:t>
            </w:r>
            <w:r w:rsidRPr="008C6DEC">
              <w:t>.</w:t>
            </w:r>
            <w:r>
              <w:tab/>
            </w:r>
            <w:r w:rsidRPr="00EF0337">
              <w:t xml:space="preserve">Attachment </w:t>
            </w:r>
            <w:r w:rsidR="00E204F6" w:rsidRPr="00EF0337">
              <w:t>F</w:t>
            </w:r>
            <w:r w:rsidRPr="00EF0337">
              <w:t xml:space="preserve"> – </w:t>
            </w:r>
            <w:r w:rsidR="003F4513" w:rsidRPr="00EF0337">
              <w:t xml:space="preserve">Covered </w:t>
            </w:r>
            <w:r w:rsidRPr="00EF0337">
              <w:t>Television Equipment Recycling Facility</w:t>
            </w:r>
            <w:r>
              <w:t xml:space="preserve"> </w:t>
            </w:r>
          </w:p>
        </w:tc>
        <w:tc>
          <w:tcPr>
            <w:tcW w:w="785" w:type="dxa"/>
          </w:tcPr>
          <w:p w14:paraId="014D2178" w14:textId="77777777" w:rsidR="005C490C" w:rsidRDefault="005C490C" w:rsidP="00FD6555">
            <w:pPr>
              <w:pStyle w:val="TableData"/>
            </w:pPr>
          </w:p>
        </w:tc>
      </w:tr>
      <w:tr w:rsidR="00E204F6" w14:paraId="3C33F452" w14:textId="77777777" w:rsidTr="005367A0">
        <w:tc>
          <w:tcPr>
            <w:tcW w:w="7675" w:type="dxa"/>
          </w:tcPr>
          <w:p w14:paraId="1A00F5DE" w14:textId="77777777" w:rsidR="00E204F6" w:rsidRDefault="00E204F6" w:rsidP="00E204F6">
            <w:pPr>
              <w:pStyle w:val="TableData"/>
            </w:pPr>
            <w:r>
              <w:t>9</w:t>
            </w:r>
            <w:r w:rsidRPr="008C6DEC">
              <w:t>.</w:t>
            </w:r>
            <w:r>
              <w:tab/>
            </w:r>
            <w:r w:rsidRPr="008C6DEC">
              <w:t xml:space="preserve">Attachment </w:t>
            </w:r>
            <w:r>
              <w:t>G</w:t>
            </w:r>
            <w:r w:rsidRPr="008C6DEC">
              <w:t xml:space="preserve"> – Alternative Compliance Demonstration</w:t>
            </w:r>
          </w:p>
        </w:tc>
        <w:tc>
          <w:tcPr>
            <w:tcW w:w="785" w:type="dxa"/>
          </w:tcPr>
          <w:p w14:paraId="31E513C3" w14:textId="77777777" w:rsidR="00E204F6" w:rsidRDefault="00E204F6" w:rsidP="00FD6555">
            <w:pPr>
              <w:pStyle w:val="TableData"/>
            </w:pPr>
          </w:p>
        </w:tc>
      </w:tr>
    </w:tbl>
    <w:p w14:paraId="3030D322" w14:textId="77777777" w:rsidR="001761F9" w:rsidRPr="001761F9" w:rsidRDefault="001761F9" w:rsidP="001761F9">
      <w:pPr>
        <w:pStyle w:val="ListNumber"/>
      </w:pPr>
      <w:r w:rsidRPr="001761F9">
        <w:t>Submittal</w:t>
      </w:r>
    </w:p>
    <w:p w14:paraId="5C207958" w14:textId="77777777" w:rsidR="000E4B03" w:rsidRPr="00443C2B" w:rsidRDefault="000E4B03" w:rsidP="001761F9">
      <w:pPr>
        <w:pStyle w:val="ListContinue"/>
        <w:rPr>
          <w:rStyle w:val="Strong"/>
          <w:b w:val="0"/>
        </w:rPr>
      </w:pPr>
      <w:r w:rsidRPr="00443C2B">
        <w:rPr>
          <w:rStyle w:val="Strong"/>
          <w:b w:val="0"/>
        </w:rPr>
        <w:t xml:space="preserve">Submit the original </w:t>
      </w:r>
      <w:r w:rsidR="00443C2B">
        <w:rPr>
          <w:rStyle w:val="Strong"/>
          <w:b w:val="0"/>
        </w:rPr>
        <w:t xml:space="preserve">NOI </w:t>
      </w:r>
      <w:r w:rsidRPr="00443C2B">
        <w:rPr>
          <w:rStyle w:val="Strong"/>
          <w:b w:val="0"/>
        </w:rPr>
        <w:t xml:space="preserve">form, attachments, and any tables </w:t>
      </w:r>
      <w:r w:rsidRPr="005E6842">
        <w:rPr>
          <w:rStyle w:val="Strong"/>
          <w:b w:val="0"/>
        </w:rPr>
        <w:t xml:space="preserve">prior to commencing operations. </w:t>
      </w:r>
      <w:r w:rsidR="00443C2B">
        <w:rPr>
          <w:rStyle w:val="Strong"/>
          <w:b w:val="0"/>
        </w:rPr>
        <w:t xml:space="preserve"> </w:t>
      </w:r>
      <w:r w:rsidRPr="00443C2B">
        <w:rPr>
          <w:rStyle w:val="Strong"/>
          <w:b w:val="0"/>
        </w:rPr>
        <w:t>If combustible material will be stored outdoors or if the ED determines that the facility poses a significant risk to public health and safety, a cost estimate for financial assurance must be submitted at least 90 days prior to receiving materials and a signed financial assurance mechanism must be provided prior to receipt of materials.</w:t>
      </w:r>
      <w:r w:rsidR="0073672C" w:rsidRPr="00443C2B">
        <w:rPr>
          <w:rStyle w:val="Strong"/>
          <w:b w:val="0"/>
        </w:rPr>
        <w:t xml:space="preserve"> If your facility is located in Bexar County and produces mulch or compost, you are required to submit this form at least 90 days prior to commencing new operations.</w:t>
      </w:r>
    </w:p>
    <w:p w14:paraId="64DC156F" w14:textId="77777777" w:rsidR="000E4B03" w:rsidRDefault="00BF41AF" w:rsidP="000E00ED">
      <w:pPr>
        <w:pStyle w:val="ListContinue2"/>
      </w:pPr>
      <w:r w:rsidRPr="00842C24">
        <w:rPr>
          <w:rStyle w:val="Strong"/>
        </w:rPr>
        <w:t xml:space="preserve">Submit </w:t>
      </w:r>
      <w:r w:rsidR="000E4B03" w:rsidRPr="00842C24">
        <w:rPr>
          <w:rStyle w:val="Strong"/>
        </w:rPr>
        <w:t>to:</w:t>
      </w:r>
      <w:r w:rsidR="009978E8">
        <w:rPr>
          <w:rStyle w:val="Strong"/>
        </w:rPr>
        <w:tab/>
      </w:r>
      <w:r w:rsidR="000E4B03">
        <w:t>Municipal Solid Waste Permits Section</w:t>
      </w:r>
      <w:r w:rsidR="009978E8">
        <w:t xml:space="preserve"> MC 124</w:t>
      </w:r>
      <w:r w:rsidR="009978E8">
        <w:br/>
        <w:t>Texas Commission on Environmental Quality</w:t>
      </w:r>
      <w:r w:rsidR="009978E8">
        <w:br/>
      </w:r>
      <w:r w:rsidR="00842C24">
        <w:t>P</w:t>
      </w:r>
      <w:r w:rsidR="000E4B03" w:rsidRPr="00FE2ABA">
        <w:t>. O. Box 13087</w:t>
      </w:r>
      <w:r w:rsidR="009978E8">
        <w:br/>
      </w:r>
      <w:r w:rsidR="000E4B03" w:rsidRPr="00FE2ABA">
        <w:t>Austin, Texas  78711-3087</w:t>
      </w:r>
    </w:p>
    <w:p w14:paraId="6A2F35D0" w14:textId="77777777" w:rsidR="000E4B03" w:rsidRPr="00FD0BD4" w:rsidRDefault="00BD2D5A" w:rsidP="009978E8">
      <w:pPr>
        <w:pStyle w:val="Heading1"/>
      </w:pPr>
      <w:r w:rsidRPr="00FD0BD4">
        <w:t>O</w:t>
      </w:r>
      <w:r>
        <w:t>wner</w:t>
      </w:r>
      <w:r w:rsidRPr="00FD0BD4">
        <w:t>/Operator’s Certification Statement</w:t>
      </w:r>
      <w:r w:rsidR="008B5287">
        <w:t>s</w:t>
      </w:r>
    </w:p>
    <w:p w14:paraId="30305B62" w14:textId="77777777" w:rsidR="000E4B03" w:rsidRDefault="00E204F6" w:rsidP="00BD2D5A">
      <w:pPr>
        <w:pStyle w:val="BodyText"/>
      </w:pPr>
      <w:r>
        <w:t xml:space="preserve">The following </w:t>
      </w:r>
      <w:r w:rsidR="000E4B03">
        <w:t>statement</w:t>
      </w:r>
      <w:r>
        <w:t>s</w:t>
      </w:r>
      <w:r w:rsidR="000E4B03">
        <w:t xml:space="preserve"> must be signed and submitted with the NOI form.</w:t>
      </w:r>
    </w:p>
    <w:p w14:paraId="4A2E8AE1" w14:textId="77777777" w:rsidR="005367A0" w:rsidRDefault="005367A0" w:rsidP="00BD2D5A">
      <w:pPr>
        <w:pStyle w:val="BodyText"/>
      </w:pPr>
      <w:r w:rsidRPr="005E6842">
        <w:t>I certify that closure will be completed within 180 days following the most recent acceptance of processed or unprocessed materials and that all processed and unprocessed materials will be collected and transported to an authorized facility for disposition.</w:t>
      </w:r>
    </w:p>
    <w:p w14:paraId="7692B021" w14:textId="77777777" w:rsidR="000E4B03" w:rsidRPr="008F3CCF" w:rsidRDefault="000E4B03" w:rsidP="00BD2D5A">
      <w:pPr>
        <w:pStyle w:val="BodyText"/>
      </w:pPr>
      <w:r w:rsidRPr="008F3CCF">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Look w:val="04A0" w:firstRow="1" w:lastRow="0" w:firstColumn="1" w:lastColumn="0" w:noHBand="0" w:noVBand="1"/>
      </w:tblPr>
      <w:tblGrid>
        <w:gridCol w:w="3250"/>
        <w:gridCol w:w="6254"/>
      </w:tblGrid>
      <w:tr w:rsidR="00D208C2" w14:paraId="1E9BF43E" w14:textId="77777777" w:rsidTr="0095551C">
        <w:trPr>
          <w:trHeight w:hRule="exact" w:val="504"/>
        </w:trPr>
        <w:tc>
          <w:tcPr>
            <w:tcW w:w="3258" w:type="dxa"/>
            <w:tcBorders>
              <w:top w:val="nil"/>
              <w:left w:val="nil"/>
              <w:bottom w:val="nil"/>
              <w:right w:val="nil"/>
            </w:tcBorders>
            <w:vAlign w:val="bottom"/>
          </w:tcPr>
          <w:p w14:paraId="747BCC62" w14:textId="77777777" w:rsidR="004A1FC0" w:rsidRDefault="00D208C2" w:rsidP="004A1FC0">
            <w:pPr>
              <w:pStyle w:val="TableData"/>
            </w:pPr>
            <w:r>
              <w:t>Signature of Owner/Operator:</w:t>
            </w:r>
          </w:p>
        </w:tc>
        <w:tc>
          <w:tcPr>
            <w:tcW w:w="6300" w:type="dxa"/>
            <w:tcBorders>
              <w:top w:val="nil"/>
              <w:left w:val="nil"/>
              <w:bottom w:val="single" w:sz="4" w:space="0" w:color="auto"/>
              <w:right w:val="nil"/>
            </w:tcBorders>
            <w:vAlign w:val="bottom"/>
          </w:tcPr>
          <w:p w14:paraId="4C5CC91B" w14:textId="77777777" w:rsidR="004A1FC0" w:rsidRDefault="004A1FC0" w:rsidP="004A1FC0">
            <w:pPr>
              <w:pStyle w:val="TableData"/>
            </w:pPr>
          </w:p>
        </w:tc>
      </w:tr>
      <w:tr w:rsidR="00D208C2" w14:paraId="13849ACD" w14:textId="77777777" w:rsidTr="0095551C">
        <w:trPr>
          <w:trHeight w:hRule="exact" w:val="523"/>
        </w:trPr>
        <w:tc>
          <w:tcPr>
            <w:tcW w:w="3258" w:type="dxa"/>
            <w:tcBorders>
              <w:top w:val="nil"/>
              <w:left w:val="nil"/>
              <w:bottom w:val="nil"/>
              <w:right w:val="nil"/>
            </w:tcBorders>
            <w:vAlign w:val="bottom"/>
          </w:tcPr>
          <w:p w14:paraId="5FF5A36C" w14:textId="77777777" w:rsidR="004A1FC0" w:rsidRDefault="00D208C2" w:rsidP="004A1FC0">
            <w:pPr>
              <w:pStyle w:val="TableData"/>
            </w:pPr>
            <w:r>
              <w:t>Printed Name:</w:t>
            </w:r>
          </w:p>
        </w:tc>
        <w:tc>
          <w:tcPr>
            <w:tcW w:w="6300" w:type="dxa"/>
            <w:tcBorders>
              <w:left w:val="nil"/>
              <w:right w:val="nil"/>
            </w:tcBorders>
            <w:vAlign w:val="bottom"/>
          </w:tcPr>
          <w:p w14:paraId="6D8B4936" w14:textId="77777777" w:rsidR="004A1FC0" w:rsidRDefault="004A1FC0" w:rsidP="004A1FC0">
            <w:pPr>
              <w:pStyle w:val="TableData"/>
            </w:pPr>
          </w:p>
        </w:tc>
      </w:tr>
      <w:tr w:rsidR="00D208C2" w14:paraId="1251E63B" w14:textId="77777777" w:rsidTr="0095551C">
        <w:trPr>
          <w:trHeight w:hRule="exact" w:val="523"/>
        </w:trPr>
        <w:tc>
          <w:tcPr>
            <w:tcW w:w="3258" w:type="dxa"/>
            <w:tcBorders>
              <w:top w:val="nil"/>
              <w:left w:val="nil"/>
              <w:bottom w:val="nil"/>
              <w:right w:val="nil"/>
            </w:tcBorders>
            <w:vAlign w:val="bottom"/>
          </w:tcPr>
          <w:p w14:paraId="61335973" w14:textId="77777777" w:rsidR="00D208C2" w:rsidRDefault="001C2EB6" w:rsidP="00D208C2">
            <w:pPr>
              <w:pStyle w:val="TableData"/>
            </w:pPr>
            <w:r>
              <w:t>Title:</w:t>
            </w:r>
          </w:p>
        </w:tc>
        <w:tc>
          <w:tcPr>
            <w:tcW w:w="6300" w:type="dxa"/>
            <w:tcBorders>
              <w:left w:val="nil"/>
              <w:right w:val="nil"/>
            </w:tcBorders>
            <w:vAlign w:val="bottom"/>
          </w:tcPr>
          <w:p w14:paraId="09FB8CB6" w14:textId="77777777" w:rsidR="004A1FC0" w:rsidRDefault="004A1FC0" w:rsidP="004A1FC0">
            <w:pPr>
              <w:pStyle w:val="TableData"/>
            </w:pPr>
          </w:p>
        </w:tc>
      </w:tr>
      <w:tr w:rsidR="001C2EB6" w14:paraId="291AB4A9" w14:textId="77777777" w:rsidTr="0095551C">
        <w:trPr>
          <w:trHeight w:hRule="exact" w:val="523"/>
        </w:trPr>
        <w:tc>
          <w:tcPr>
            <w:tcW w:w="3258" w:type="dxa"/>
            <w:tcBorders>
              <w:top w:val="nil"/>
              <w:left w:val="nil"/>
              <w:bottom w:val="nil"/>
              <w:right w:val="nil"/>
            </w:tcBorders>
            <w:vAlign w:val="bottom"/>
          </w:tcPr>
          <w:p w14:paraId="6AFA1D2E" w14:textId="77777777" w:rsidR="001C2EB6" w:rsidRDefault="001C2EB6" w:rsidP="00D208C2">
            <w:pPr>
              <w:pStyle w:val="TableData"/>
            </w:pPr>
            <w:r>
              <w:t>Date:</w:t>
            </w:r>
          </w:p>
        </w:tc>
        <w:tc>
          <w:tcPr>
            <w:tcW w:w="6300" w:type="dxa"/>
            <w:tcBorders>
              <w:left w:val="nil"/>
              <w:right w:val="nil"/>
            </w:tcBorders>
            <w:vAlign w:val="bottom"/>
          </w:tcPr>
          <w:p w14:paraId="183E4CF3" w14:textId="77777777" w:rsidR="001C2EB6" w:rsidRDefault="001C2EB6" w:rsidP="00D208C2">
            <w:pPr>
              <w:pStyle w:val="TableData"/>
            </w:pPr>
          </w:p>
        </w:tc>
      </w:tr>
    </w:tbl>
    <w:p w14:paraId="00917B95" w14:textId="77777777" w:rsidR="004A1FC0" w:rsidRDefault="000E4B03" w:rsidP="004A1FC0">
      <w:pPr>
        <w:pStyle w:val="Heading3"/>
      </w:pPr>
      <w:r w:rsidRPr="00BD2D5A">
        <w:br w:type="page"/>
      </w:r>
      <w:r w:rsidRPr="006E0116">
        <w:lastRenderedPageBreak/>
        <w:t>Attachment</w:t>
      </w:r>
      <w:r w:rsidR="0095551C">
        <w:t xml:space="preserve"> Requirements</w:t>
      </w:r>
    </w:p>
    <w:p w14:paraId="683EC1D7" w14:textId="77777777" w:rsidR="004A1FC0" w:rsidRDefault="00BD2D5A" w:rsidP="004A1FC0">
      <w:pPr>
        <w:pStyle w:val="Heading4"/>
      </w:pPr>
      <w:r w:rsidRPr="00F3778C">
        <w:t xml:space="preserve">Attachment </w:t>
      </w:r>
      <w:r w:rsidR="000E4B03" w:rsidRPr="00F3778C">
        <w:t>A</w:t>
      </w:r>
      <w:r w:rsidR="000E4B03" w:rsidRPr="00C23862">
        <w:t xml:space="preserve"> – Map of Site Location</w:t>
      </w:r>
    </w:p>
    <w:p w14:paraId="4A9F5695" w14:textId="77777777" w:rsidR="000E4B03" w:rsidRPr="00C23862" w:rsidRDefault="000E4B03" w:rsidP="00BD2D5A">
      <w:pPr>
        <w:pStyle w:val="BodyText"/>
      </w:pPr>
      <w:r w:rsidRPr="00C23862">
        <w:t xml:space="preserve">Indicate the site location on a city or county roadway map with the site outlined and labeled. </w:t>
      </w:r>
      <w:r w:rsidR="00E204F6">
        <w:t xml:space="preserve"> Please </w:t>
      </w:r>
      <w:r w:rsidR="00A22682">
        <w:t xml:space="preserve">ensure that roads are clearly identified and that </w:t>
      </w:r>
      <w:r w:rsidR="00A73F37">
        <w:t>a scale and north arrow is</w:t>
      </w:r>
      <w:r w:rsidR="00A22682">
        <w:t xml:space="preserve"> included.</w:t>
      </w:r>
    </w:p>
    <w:p w14:paraId="5DC972A3" w14:textId="77777777" w:rsidR="004A1FC0" w:rsidRDefault="00BD2D5A" w:rsidP="004A1FC0">
      <w:pPr>
        <w:pStyle w:val="Heading4"/>
      </w:pPr>
      <w:r w:rsidRPr="00C23862">
        <w:t xml:space="preserve">Attachment </w:t>
      </w:r>
      <w:r w:rsidR="000E4B03" w:rsidRPr="00C23862">
        <w:t>B –</w:t>
      </w:r>
      <w:r w:rsidR="005B01DE">
        <w:t xml:space="preserve"> </w:t>
      </w:r>
      <w:r w:rsidR="000E4B03" w:rsidRPr="00C23862">
        <w:t>Description of Storage and Recycling Operations</w:t>
      </w:r>
    </w:p>
    <w:p w14:paraId="143FAF42" w14:textId="77777777" w:rsidR="000518F8" w:rsidRDefault="004E1FE1" w:rsidP="00BD2D5A">
      <w:pPr>
        <w:pStyle w:val="BodyText"/>
      </w:pPr>
      <w:r>
        <w:t xml:space="preserve">Identify the operation below </w:t>
      </w:r>
      <w:r w:rsidR="00F2621C">
        <w:t xml:space="preserve">(Options 1-4) </w:t>
      </w:r>
      <w:r>
        <w:t>that is the most similar to your</w:t>
      </w:r>
      <w:r w:rsidR="000E4B03" w:rsidRPr="00C23862">
        <w:t xml:space="preserve"> facility</w:t>
      </w:r>
      <w:r>
        <w:t xml:space="preserve"> and then provide a</w:t>
      </w:r>
      <w:r w:rsidR="000E4B03" w:rsidRPr="00C23862">
        <w:t xml:space="preserve"> full description</w:t>
      </w:r>
      <w:r>
        <w:t xml:space="preserve"> of your facility</w:t>
      </w:r>
      <w:r w:rsidR="000E4B03" w:rsidRPr="00C23862">
        <w:t>.</w:t>
      </w:r>
      <w:r w:rsidRPr="00BD2D5A">
        <w:t xml:space="preserve"> </w:t>
      </w:r>
      <w:r w:rsidR="00443C2B">
        <w:t xml:space="preserve"> </w:t>
      </w:r>
      <w:r w:rsidR="009E4048">
        <w:t>D</w:t>
      </w:r>
      <w:r w:rsidR="009E4048" w:rsidRPr="00C23862">
        <w:t>escribe the facility including</w:t>
      </w:r>
      <w:r w:rsidR="000518F8">
        <w:t>:</w:t>
      </w:r>
      <w:r w:rsidR="009E4048" w:rsidRPr="00C23862">
        <w:t xml:space="preserve"> </w:t>
      </w:r>
    </w:p>
    <w:p w14:paraId="6A333ADC" w14:textId="77777777" w:rsidR="000518F8" w:rsidRDefault="009E4048" w:rsidP="000E00ED">
      <w:pPr>
        <w:pStyle w:val="ListBullet"/>
      </w:pPr>
      <w:r>
        <w:t xml:space="preserve">a list of each </w:t>
      </w:r>
      <w:r w:rsidRPr="00C23862">
        <w:t>type of material to be accepted for recycling</w:t>
      </w:r>
      <w:r w:rsidR="000518F8">
        <w:t>;</w:t>
      </w:r>
    </w:p>
    <w:p w14:paraId="4A65F97D" w14:textId="77777777" w:rsidR="000518F8" w:rsidRDefault="009E4048" w:rsidP="000E00ED">
      <w:pPr>
        <w:pStyle w:val="ListBullet"/>
      </w:pPr>
      <w:r w:rsidRPr="00C23862">
        <w:t>any storage of materials prior to recycling</w:t>
      </w:r>
      <w:r w:rsidR="000518F8">
        <w:t>; and</w:t>
      </w:r>
    </w:p>
    <w:p w14:paraId="45211C02" w14:textId="77777777" w:rsidR="000518F8" w:rsidRDefault="009E4048" w:rsidP="000E00ED">
      <w:pPr>
        <w:pStyle w:val="ListBullet"/>
      </w:pPr>
      <w:r w:rsidRPr="00C23862">
        <w:t>how</w:t>
      </w:r>
      <w:r>
        <w:t xml:space="preserve"> each</w:t>
      </w:r>
      <w:r w:rsidRPr="00C23862">
        <w:t xml:space="preserve"> </w:t>
      </w:r>
      <w:r>
        <w:t>type of</w:t>
      </w:r>
      <w:r w:rsidRPr="00C23862">
        <w:t xml:space="preserve"> material will be recycled</w:t>
      </w:r>
      <w:r w:rsidR="000518F8" w:rsidRPr="00C23862">
        <w:t>.</w:t>
      </w:r>
    </w:p>
    <w:p w14:paraId="223C4C46" w14:textId="77777777" w:rsidR="004E1FE1" w:rsidRPr="00BD2D5A" w:rsidRDefault="0095551C" w:rsidP="00BD2D5A">
      <w:pPr>
        <w:pStyle w:val="BodyText"/>
      </w:pPr>
      <w:r>
        <w:t>T</w:t>
      </w:r>
      <w:r w:rsidRPr="009E4048">
        <w:t xml:space="preserve">he </w:t>
      </w:r>
      <w:r w:rsidR="003D6CA1">
        <w:t>NOI form and submitted information</w:t>
      </w:r>
      <w:r w:rsidRPr="009E4048">
        <w:t xml:space="preserve"> will be evaluated to determine if the operation meets the requirements for authorization by notice and whether financial assurance will be required before the facility may receive material.</w:t>
      </w:r>
      <w:r>
        <w:t xml:space="preserve">  </w:t>
      </w:r>
      <w:r w:rsidR="00F2621C">
        <w:t>T</w:t>
      </w:r>
      <w:r w:rsidR="004E1FE1" w:rsidRPr="009E4048">
        <w:t>he TCEQ will issue an authorization number and letter acknowledging that the agency has been properly notified.</w:t>
      </w:r>
    </w:p>
    <w:p w14:paraId="7E46E135" w14:textId="77777777" w:rsidR="004E1FE1" w:rsidRPr="00525D26" w:rsidRDefault="004E1FE1" w:rsidP="00BD2D5A">
      <w:pPr>
        <w:pStyle w:val="ListBullet"/>
      </w:pPr>
      <w:r w:rsidRPr="00BD2D5A">
        <w:rPr>
          <w:rStyle w:val="Strong"/>
        </w:rPr>
        <w:t>Option 1:  Recycling Facility</w:t>
      </w:r>
      <w:r w:rsidRPr="00525D26">
        <w:t xml:space="preserve"> – The facility will receive “incidental amounts of non-recyclable waste”</w:t>
      </w:r>
      <w:r w:rsidRPr="00BD2D5A">
        <w:t xml:space="preserve"> </w:t>
      </w:r>
      <w:r w:rsidRPr="00525D26">
        <w:t>accompanying the recyclable material.  See the definition of “incidental amounts of non-recyclable waste” in 30 TAC §328.2(3).</w:t>
      </w:r>
    </w:p>
    <w:p w14:paraId="003AAEE9" w14:textId="77777777" w:rsidR="004E1FE1" w:rsidRPr="00525D26" w:rsidRDefault="004E1FE1" w:rsidP="00BD2D5A">
      <w:pPr>
        <w:pStyle w:val="ListBullet"/>
      </w:pPr>
      <w:r w:rsidRPr="00BD2D5A">
        <w:rPr>
          <w:rStyle w:val="Strong"/>
        </w:rPr>
        <w:t>Option 2.  Composting Facility for Source Separated Yard Trimmings, Clean Wood Material, Vegetative Material, Paper, and Manure</w:t>
      </w:r>
      <w:r w:rsidRPr="00525D26">
        <w:t xml:space="preserve"> – The facility will be an exempt composting operation that is authorized under 30 TAC §332.3(d)(1)(A) – exempt from facility notification, registration, and permit requirements, but subject to the requirements of 30 TAC §</w:t>
      </w:r>
      <w:r>
        <w:t>§</w:t>
      </w:r>
      <w:r w:rsidRPr="00525D26">
        <w:t xml:space="preserve">328.4 </w:t>
      </w:r>
      <w:r>
        <w:t>and</w:t>
      </w:r>
      <w:r w:rsidRPr="00525D26">
        <w:t xml:space="preserve"> 328.5.</w:t>
      </w:r>
    </w:p>
    <w:p w14:paraId="6654CF79" w14:textId="77777777" w:rsidR="004E1FE1" w:rsidRPr="00525D26" w:rsidRDefault="004E1FE1" w:rsidP="00BD2D5A">
      <w:pPr>
        <w:pStyle w:val="ListBullet"/>
      </w:pPr>
      <w:r w:rsidRPr="00BD2D5A">
        <w:rPr>
          <w:rStyle w:val="Strong"/>
        </w:rPr>
        <w:t>Option 3.  Composting Facility for Source Separated Industrial Materials Including Clean Wood Material, Vegetative Material, Paper, Manure (Including Paunch Manure), and Yard Trimmings</w:t>
      </w:r>
      <w:r w:rsidRPr="00525D26">
        <w:t xml:space="preserve"> – The facility will be an exempt composting operation that is authorized under 30 TAC §332.3(d)(1)(B) – exempt from facility notification, registration, and permit requirements, but subject to the requirements of 30 TAC </w:t>
      </w:r>
      <w:r>
        <w:t>§</w:t>
      </w:r>
      <w:r w:rsidRPr="00525D26">
        <w:t xml:space="preserve">§328.4 </w:t>
      </w:r>
      <w:r>
        <w:t xml:space="preserve">and </w:t>
      </w:r>
      <w:r w:rsidRPr="00525D26">
        <w:t>328.5.</w:t>
      </w:r>
    </w:p>
    <w:p w14:paraId="5EA842F4" w14:textId="77777777" w:rsidR="004E1FE1" w:rsidRDefault="004E1FE1" w:rsidP="00BD2D5A">
      <w:pPr>
        <w:pStyle w:val="ListBullet"/>
        <w:rPr>
          <w:szCs w:val="22"/>
        </w:rPr>
      </w:pPr>
      <w:r w:rsidRPr="00BD2D5A">
        <w:rPr>
          <w:rStyle w:val="Strong"/>
        </w:rPr>
        <w:t>Option 4.  Mulching Facility – The facility will be an exempt mulching operation that is authorized under 30 TAC §332.3(d)(3)</w:t>
      </w:r>
      <w:r w:rsidRPr="00525D26">
        <w:t xml:space="preserve"> – exempt from facility notification, registration, and permit requirements, but subject to the requirements of 30 TAC §</w:t>
      </w:r>
      <w:r>
        <w:t>§</w:t>
      </w:r>
      <w:r w:rsidRPr="00525D26">
        <w:t xml:space="preserve">328.4 </w:t>
      </w:r>
      <w:r>
        <w:t xml:space="preserve">and </w:t>
      </w:r>
      <w:r w:rsidRPr="00525D26">
        <w:t>328.5</w:t>
      </w:r>
      <w:r w:rsidR="009E4048">
        <w:t>.</w:t>
      </w:r>
    </w:p>
    <w:p w14:paraId="781D6560" w14:textId="77777777" w:rsidR="004A1FC0" w:rsidRDefault="00BD2D5A" w:rsidP="004A1FC0">
      <w:pPr>
        <w:pStyle w:val="Heading4"/>
      </w:pPr>
      <w:r w:rsidRPr="00C23862">
        <w:t xml:space="preserve">Attachment </w:t>
      </w:r>
      <w:r w:rsidR="000E4B03" w:rsidRPr="00C23862">
        <w:t>C – Identification of Markets for Processed Materials</w:t>
      </w:r>
    </w:p>
    <w:p w14:paraId="1AC712CE" w14:textId="77777777" w:rsidR="00881B2E" w:rsidRDefault="009C4CA5" w:rsidP="00BD2D5A">
      <w:pPr>
        <w:pStyle w:val="BodyText"/>
      </w:pPr>
      <w:r>
        <w:t xml:space="preserve">For each type of material that will be accumulated or stored, include documentation to show that it is potentially recyclable.  </w:t>
      </w:r>
      <w:r w:rsidR="000E4B03" w:rsidRPr="00C23862">
        <w:t>Examples of specific types of acceptable evidence to substantiate that a type of material is potentially recyclable and has an economically feasible means of being recycled include published market indexes for a particular material and region, sales receipts or price quotations from buyers, and  evidence of the recycler’s ability to process the material to market specifications.</w:t>
      </w:r>
    </w:p>
    <w:p w14:paraId="62293749" w14:textId="77777777" w:rsidR="00881B2E" w:rsidRDefault="00881B2E" w:rsidP="000E00ED">
      <w:pPr>
        <w:pStyle w:val="BodyText"/>
      </w:pPr>
      <w:r>
        <w:br w:type="page"/>
      </w:r>
    </w:p>
    <w:p w14:paraId="623ACC2D" w14:textId="77777777" w:rsidR="004A1FC0" w:rsidRDefault="00BD2D5A" w:rsidP="004A1FC0">
      <w:pPr>
        <w:pStyle w:val="Heading4"/>
      </w:pPr>
      <w:r w:rsidRPr="00C23862">
        <w:lastRenderedPageBreak/>
        <w:t xml:space="preserve">Attachment </w:t>
      </w:r>
      <w:r w:rsidR="000E4B03" w:rsidRPr="00C23862">
        <w:t>D – Cost Estimates for Financial Assurance</w:t>
      </w:r>
    </w:p>
    <w:p w14:paraId="04B7C054" w14:textId="77777777" w:rsidR="000E4B03" w:rsidRPr="00C23862" w:rsidRDefault="000E4B03" w:rsidP="00BD2462">
      <w:pPr>
        <w:pStyle w:val="BodyText"/>
      </w:pPr>
      <w:r w:rsidRPr="00C23862">
        <w:t xml:space="preserve">An owner or operator of a recycling facility that stores combustible material outdoors shall provide a written cost estimate, in current dollars, showing the cost of hiring a third party to close the facility by disposition of all the processed and unprocessed materials in accordance with all applicable regulations. </w:t>
      </w:r>
      <w:r w:rsidR="00443C2B">
        <w:t xml:space="preserve"> </w:t>
      </w:r>
      <w:r w:rsidRPr="00C23862">
        <w:t xml:space="preserve">Please refer to TCEQ Publication, </w:t>
      </w:r>
      <w:r w:rsidRPr="00BD2D5A">
        <w:rPr>
          <w:rStyle w:val="Strong"/>
        </w:rPr>
        <w:t>Guidelines for Complying with Financial Assurance Requirements for Recycling, Composting, and Mulching Facilities,</w:t>
      </w:r>
      <w:r w:rsidRPr="00C23862">
        <w:t xml:space="preserve"> at the following</w:t>
      </w:r>
      <w:r w:rsidR="003E0329">
        <w:t xml:space="preserve"> Internet</w:t>
      </w:r>
      <w:r w:rsidRPr="00C23862">
        <w:t xml:space="preserve"> link:</w:t>
      </w:r>
    </w:p>
    <w:p w14:paraId="185A1229" w14:textId="739DD17E" w:rsidR="00055B32" w:rsidRDefault="00205A23" w:rsidP="00BD2D5A">
      <w:pPr>
        <w:pStyle w:val="BodyText"/>
        <w:rPr>
          <w:szCs w:val="16"/>
        </w:rPr>
      </w:pPr>
      <w:hyperlink r:id="rId12" w:history="1">
        <w:r>
          <w:rPr>
            <w:rStyle w:val="Hyperlink"/>
            <w:szCs w:val="16"/>
          </w:rPr>
          <w:t>http://www.tceq.texas.gov/downloads/permittin</w:t>
        </w:r>
        <w:r>
          <w:rPr>
            <w:rStyle w:val="Hyperlink"/>
            <w:szCs w:val="16"/>
          </w:rPr>
          <w:t>g</w:t>
        </w:r>
        <w:r>
          <w:rPr>
            <w:rStyle w:val="Hyperlink"/>
            <w:szCs w:val="16"/>
          </w:rPr>
          <w:t>/waste-permits/msw/docs/recycling_fa_guide.pdf</w:t>
        </w:r>
      </w:hyperlink>
    </w:p>
    <w:p w14:paraId="527778D9" w14:textId="77777777" w:rsidR="00055C4D" w:rsidRDefault="000E4B03" w:rsidP="00BD2D5A">
      <w:pPr>
        <w:pStyle w:val="BodyText"/>
      </w:pPr>
      <w:r w:rsidRPr="00055C4D">
        <w:t xml:space="preserve">If a third-party quote is used for cost estimates, please include a statement confirming that the </w:t>
      </w:r>
      <w:r w:rsidR="00C23862" w:rsidRPr="00055C4D">
        <w:t>owner or operator</w:t>
      </w:r>
      <w:r w:rsidRPr="00055C4D">
        <w:t xml:space="preserve"> of the facility and the third party providing the quote are not affiliated.  Two entities are considered to be affiliated if at least one of them owns or controls at least 20% of the voting interest, fair market value, profits, proceeds, or capital gains of the oth</w:t>
      </w:r>
      <w:r w:rsidR="009E4048" w:rsidRPr="00055C4D">
        <w:t>er.</w:t>
      </w:r>
    </w:p>
    <w:p w14:paraId="4C640163" w14:textId="77777777" w:rsidR="004A1FC0" w:rsidRDefault="00BD2D5A" w:rsidP="004A1FC0">
      <w:pPr>
        <w:pStyle w:val="Heading4"/>
      </w:pPr>
      <w:r w:rsidRPr="00F60107">
        <w:t xml:space="preserve">Attachment </w:t>
      </w:r>
      <w:r w:rsidR="00A22682">
        <w:t>E</w:t>
      </w:r>
      <w:r w:rsidR="00A22682" w:rsidRPr="00F60107">
        <w:t xml:space="preserve"> </w:t>
      </w:r>
      <w:r w:rsidR="00F60107" w:rsidRPr="00F60107">
        <w:t>– Bexar County Mulch or Compost Facility</w:t>
      </w:r>
    </w:p>
    <w:p w14:paraId="339603AA" w14:textId="77777777" w:rsidR="00213F81" w:rsidRDefault="00213F81" w:rsidP="00BD2D5A">
      <w:pPr>
        <w:pStyle w:val="BodyText"/>
      </w:pPr>
      <w:r>
        <w:t xml:space="preserve">Facilities located in Bexar County that produce mulch or compost are required to comply with 30 TAC </w:t>
      </w:r>
      <w:r w:rsidR="004A6825">
        <w:t>§328.4(g) and</w:t>
      </w:r>
      <w:r w:rsidR="00D21BB6">
        <w:t xml:space="preserve"> to</w:t>
      </w:r>
      <w:r w:rsidR="004A6825">
        <w:t xml:space="preserve"> provide the following information.</w:t>
      </w:r>
    </w:p>
    <w:p w14:paraId="1D175C4A" w14:textId="77777777" w:rsidR="004A6825" w:rsidRDefault="004A6825" w:rsidP="00BD2D5A">
      <w:pPr>
        <w:pStyle w:val="ListBullet"/>
      </w:pPr>
      <w:r>
        <w:t xml:space="preserve">If you are going to keep track </w:t>
      </w:r>
      <w:r w:rsidR="00D21BB6">
        <w:t xml:space="preserve">of </w:t>
      </w:r>
      <w:r>
        <w:t xml:space="preserve">material by volume instead of by weight to </w:t>
      </w:r>
      <w:r w:rsidR="00E13862">
        <w:t xml:space="preserve">demonstrate compliance with how long materials may be stored, you must </w:t>
      </w:r>
      <w:r>
        <w:t>specify an appropriate conversion factor to convert volumes of incoming material to equivalent volumes of outgoing material.</w:t>
      </w:r>
    </w:p>
    <w:p w14:paraId="243C39F5" w14:textId="77777777" w:rsidR="00E13862" w:rsidRDefault="00E13862" w:rsidP="00BD2D5A">
      <w:pPr>
        <w:pStyle w:val="ListBullet"/>
      </w:pPr>
      <w:r>
        <w:t>Specify the maximum amount of unprocessed and processed combustible material that will be stored at the facility.</w:t>
      </w:r>
    </w:p>
    <w:p w14:paraId="358832E3" w14:textId="77777777" w:rsidR="00E13862" w:rsidRDefault="00E13862" w:rsidP="00BD2D5A">
      <w:pPr>
        <w:pStyle w:val="ListBullet"/>
      </w:pPr>
      <w:r>
        <w:t>Specify the maximum number of piles of combustible materials that will be located at the facility.</w:t>
      </w:r>
    </w:p>
    <w:p w14:paraId="451501DC" w14:textId="77777777" w:rsidR="00D21BB6" w:rsidRDefault="005676F4" w:rsidP="00BD2D5A">
      <w:pPr>
        <w:pStyle w:val="BodyText"/>
      </w:pPr>
      <w:r>
        <w:t xml:space="preserve">Please review </w:t>
      </w:r>
      <w:r w:rsidR="00E13862">
        <w:t>30 TAC §328.4(g)</w:t>
      </w:r>
      <w:r>
        <w:t xml:space="preserve"> for requirements related to how long materials may be stored, how much material may be stored, how much time you have to process material and to what size, </w:t>
      </w:r>
      <w:r w:rsidR="00D21BB6">
        <w:t xml:space="preserve">limits on </w:t>
      </w:r>
      <w:r>
        <w:t xml:space="preserve">pile sizes, </w:t>
      </w:r>
      <w:r w:rsidR="00D21BB6">
        <w:t xml:space="preserve">limits on </w:t>
      </w:r>
      <w:r>
        <w:t xml:space="preserve">number of piles, fire lanes, buffer zones, facilities located in a recharge or transition zone of the Edwards Aquifer, and record keeping. </w:t>
      </w:r>
    </w:p>
    <w:p w14:paraId="51F53521" w14:textId="77777777" w:rsidR="00A22682" w:rsidRDefault="00CC7DCC" w:rsidP="00BD2D5A">
      <w:pPr>
        <w:pStyle w:val="BodyText"/>
      </w:pPr>
      <w:r>
        <w:t xml:space="preserve">You may request alternative compliance to store material for more time or </w:t>
      </w:r>
      <w:r w:rsidR="00D21BB6">
        <w:t xml:space="preserve">to </w:t>
      </w:r>
      <w:r>
        <w:t>take longer to process material than the limits specified in the rules</w:t>
      </w:r>
      <w:r w:rsidR="005034CC">
        <w:rPr>
          <w:rFonts w:eastAsia="Batang"/>
          <w:noProof/>
        </w:rPr>
        <w:t>.</w:t>
      </w:r>
      <w:r w:rsidR="00D21BB6">
        <w:rPr>
          <w:rFonts w:eastAsia="Batang"/>
          <w:noProof/>
        </w:rPr>
        <w:t xml:space="preserve"> </w:t>
      </w:r>
      <w:r w:rsidR="00443C2B">
        <w:rPr>
          <w:rFonts w:eastAsia="Batang"/>
          <w:noProof/>
        </w:rPr>
        <w:t xml:space="preserve"> </w:t>
      </w:r>
      <w:r w:rsidR="005034CC">
        <w:t>For alternative storage time limits, provide a technical justification</w:t>
      </w:r>
      <w:r w:rsidR="00D21BB6">
        <w:t xml:space="preserve"> </w:t>
      </w:r>
      <w:r w:rsidR="00843BBC">
        <w:t xml:space="preserve">for </w:t>
      </w:r>
      <w:r w:rsidR="005034CC">
        <w:t xml:space="preserve">why additional </w:t>
      </w:r>
      <w:r w:rsidR="00D21BB6">
        <w:t xml:space="preserve">time is </w:t>
      </w:r>
      <w:r w:rsidR="005034CC">
        <w:t>needed</w:t>
      </w:r>
      <w:r w:rsidR="00D21BB6">
        <w:t xml:space="preserve"> and specify how much time is needed.</w:t>
      </w:r>
      <w:r w:rsidR="005034CC">
        <w:t xml:space="preserve">  For alternative processing time limits, describe the circumstances that make it impractical to grind materials within 90 days of receipt</w:t>
      </w:r>
      <w:r w:rsidR="00D21BB6">
        <w:t xml:space="preserve"> and specify h</w:t>
      </w:r>
      <w:r w:rsidR="005034CC">
        <w:t>ow much time is needed</w:t>
      </w:r>
      <w:r w:rsidR="00D21BB6">
        <w:t>.</w:t>
      </w:r>
      <w:r w:rsidR="005034CC">
        <w:t xml:space="preserve"> </w:t>
      </w:r>
    </w:p>
    <w:p w14:paraId="47041585" w14:textId="77777777" w:rsidR="00A22682" w:rsidRDefault="00A22682" w:rsidP="000E00ED">
      <w:pPr>
        <w:pStyle w:val="BodyText"/>
      </w:pPr>
      <w:r>
        <w:br w:type="page"/>
      </w:r>
    </w:p>
    <w:p w14:paraId="02BA63B1" w14:textId="77777777" w:rsidR="004A1FC0" w:rsidRDefault="008B6D00" w:rsidP="004A1FC0">
      <w:pPr>
        <w:pStyle w:val="Heading4"/>
      </w:pPr>
      <w:r w:rsidRPr="00F2621C">
        <w:lastRenderedPageBreak/>
        <w:t xml:space="preserve">Attachment </w:t>
      </w:r>
      <w:r w:rsidR="00A22682" w:rsidRPr="00F2621C">
        <w:t>F</w:t>
      </w:r>
      <w:r w:rsidRPr="00F2621C">
        <w:t xml:space="preserve"> – </w:t>
      </w:r>
      <w:r w:rsidR="003F4513" w:rsidRPr="00F2621C">
        <w:t xml:space="preserve">Covered </w:t>
      </w:r>
      <w:r w:rsidR="00100DAD" w:rsidRPr="00F2621C">
        <w:t>Television Equipment Recycling Facility</w:t>
      </w:r>
      <w:r w:rsidR="00100DAD">
        <w:t xml:space="preserve"> </w:t>
      </w:r>
    </w:p>
    <w:p w14:paraId="438F1EA5" w14:textId="77777777" w:rsidR="009143AB" w:rsidRDefault="00100DAD">
      <w:pPr>
        <w:pStyle w:val="BodyText"/>
      </w:pPr>
      <w:r>
        <w:t xml:space="preserve">In accordance with </w:t>
      </w:r>
      <w:hyperlink r:id="rId13" w:history="1">
        <w:r w:rsidRPr="00942CB8">
          <w:rPr>
            <w:rStyle w:val="Hyperlink"/>
          </w:rPr>
          <w:t>30 TAC §328.181</w:t>
        </w:r>
        <w:r w:rsidR="00A1029B" w:rsidRPr="00942CB8">
          <w:rPr>
            <w:rStyle w:val="Hyperlink"/>
          </w:rPr>
          <w:t xml:space="preserve"> (relating to Recycler </w:t>
        </w:r>
        <w:r w:rsidR="00E801D4" w:rsidRPr="00942CB8">
          <w:rPr>
            <w:rStyle w:val="Hyperlink"/>
          </w:rPr>
          <w:t>Responsibilities</w:t>
        </w:r>
        <w:r w:rsidR="00A1029B" w:rsidRPr="00942CB8">
          <w:rPr>
            <w:rStyle w:val="Hyperlink"/>
          </w:rPr>
          <w:t>)</w:t>
        </w:r>
      </w:hyperlink>
      <w:r>
        <w:t xml:space="preserve">, a person who is engaged in the business of recycling covered television equipment must register with the agency and certify </w:t>
      </w:r>
      <w:r w:rsidR="009A172C">
        <w:t xml:space="preserve">that </w:t>
      </w:r>
      <w:r w:rsidR="002F2AEA">
        <w:t>they are</w:t>
      </w:r>
      <w:r>
        <w:t xml:space="preserve"> in compliance with the standards adopted under </w:t>
      </w:r>
      <w:r w:rsidRPr="00942CB8">
        <w:t>30 TAC</w:t>
      </w:r>
      <w:r w:rsidR="002F2AEA" w:rsidRPr="00942CB8">
        <w:t xml:space="preserve"> §328.193 (relating to Management of Collected Television Equipment)</w:t>
      </w:r>
      <w:r w:rsidR="002F2AEA">
        <w:t>.</w:t>
      </w:r>
    </w:p>
    <w:p w14:paraId="64977343" w14:textId="77777777" w:rsidR="004A1FC0" w:rsidRPr="00A10192" w:rsidRDefault="009143AB">
      <w:pPr>
        <w:pStyle w:val="BodyText"/>
      </w:pPr>
      <w:r w:rsidRPr="00A10192">
        <w:t>For the purpose of this authorization, a television recycler is defined in 30 TAC §328.165(6) as:</w:t>
      </w:r>
    </w:p>
    <w:p w14:paraId="212DC196" w14:textId="77777777" w:rsidR="009143AB" w:rsidRDefault="009143AB" w:rsidP="000E00ED">
      <w:pPr>
        <w:pStyle w:val="BodyText3"/>
      </w:pPr>
      <w:r w:rsidRPr="00A10192">
        <w:t>“A person who separates collected equipment and refurbishes that equipment for reuse, or processes equipment to be returned to use in the form of raw materials or products. The term does not include an entity that solely collects or sorts television equipment prior to shipment for recycling.”</w:t>
      </w:r>
    </w:p>
    <w:p w14:paraId="73684EB6" w14:textId="77777777" w:rsidR="00D763E6" w:rsidRDefault="00D763E6" w:rsidP="00D763E6">
      <w:pPr>
        <w:pStyle w:val="BodyText"/>
      </w:pPr>
      <w:r w:rsidRPr="00D763E6">
        <w:rPr>
          <w:rStyle w:val="Strong"/>
        </w:rPr>
        <w:t>Note:</w:t>
      </w:r>
      <w:r>
        <w:t xml:space="preserve"> If your business only collects or sorts television equipment prior to shipment for recycling, Attachment F requirements do not apply</w:t>
      </w:r>
      <w:r w:rsidR="00F32DB7">
        <w:t xml:space="preserve"> to your NOI request.</w:t>
      </w:r>
    </w:p>
    <w:p w14:paraId="03A0974E" w14:textId="77777777" w:rsidR="00A10192" w:rsidRDefault="00526A63" w:rsidP="00A10192">
      <w:pPr>
        <w:pStyle w:val="BodyText2"/>
      </w:pPr>
      <w:r>
        <w:t>Submit the following certification statement</w:t>
      </w:r>
      <w:r w:rsidR="00A10192">
        <w:t>:</w:t>
      </w:r>
    </w:p>
    <w:tbl>
      <w:tblPr>
        <w:tblStyle w:val="TableGrid"/>
        <w:tblW w:w="0" w:type="auto"/>
        <w:tblLook w:val="04A0" w:firstRow="1" w:lastRow="0" w:firstColumn="1" w:lastColumn="0" w:noHBand="0" w:noVBand="1"/>
      </w:tblPr>
      <w:tblGrid>
        <w:gridCol w:w="2358"/>
        <w:gridCol w:w="6455"/>
      </w:tblGrid>
      <w:tr w:rsidR="005E6842" w14:paraId="350D5B9E" w14:textId="77777777" w:rsidTr="00F2621C">
        <w:trPr>
          <w:trHeight w:val="413"/>
        </w:trPr>
        <w:tc>
          <w:tcPr>
            <w:tcW w:w="2358" w:type="dxa"/>
            <w:tcBorders>
              <w:top w:val="nil"/>
              <w:left w:val="nil"/>
              <w:bottom w:val="nil"/>
              <w:right w:val="nil"/>
            </w:tcBorders>
            <w:vAlign w:val="bottom"/>
          </w:tcPr>
          <w:p w14:paraId="42D93020" w14:textId="77777777" w:rsidR="005E6842" w:rsidRDefault="005E6842" w:rsidP="005E6842">
            <w:pPr>
              <w:pStyle w:val="TableData"/>
            </w:pPr>
            <w:r w:rsidRPr="006B3BB8">
              <w:rPr>
                <w:rStyle w:val="Strong"/>
                <w:b w:val="0"/>
                <w:bCs w:val="0"/>
              </w:rPr>
              <w:t>Facility</w:t>
            </w:r>
            <w:r>
              <w:rPr>
                <w:rStyle w:val="Strong"/>
                <w:b w:val="0"/>
                <w:bCs w:val="0"/>
              </w:rPr>
              <w:t xml:space="preserve"> Name:</w:t>
            </w:r>
          </w:p>
        </w:tc>
        <w:tc>
          <w:tcPr>
            <w:tcW w:w="6455" w:type="dxa"/>
            <w:tcBorders>
              <w:top w:val="nil"/>
              <w:left w:val="nil"/>
              <w:bottom w:val="single" w:sz="4" w:space="0" w:color="auto"/>
              <w:right w:val="nil"/>
            </w:tcBorders>
            <w:vAlign w:val="bottom"/>
          </w:tcPr>
          <w:p w14:paraId="21181C96" w14:textId="77777777" w:rsidR="005E6842" w:rsidRPr="005E6842" w:rsidRDefault="005E6842" w:rsidP="005E6842">
            <w:pPr>
              <w:pStyle w:val="TableData"/>
              <w:rPr>
                <w:b/>
              </w:rPr>
            </w:pPr>
          </w:p>
        </w:tc>
      </w:tr>
      <w:tr w:rsidR="005E6842" w14:paraId="5DB0A1E7" w14:textId="77777777" w:rsidTr="00F2621C">
        <w:trPr>
          <w:trHeight w:val="422"/>
        </w:trPr>
        <w:tc>
          <w:tcPr>
            <w:tcW w:w="2358" w:type="dxa"/>
            <w:tcBorders>
              <w:top w:val="nil"/>
              <w:left w:val="nil"/>
              <w:bottom w:val="nil"/>
              <w:right w:val="nil"/>
            </w:tcBorders>
            <w:vAlign w:val="bottom"/>
          </w:tcPr>
          <w:p w14:paraId="5C808DEB" w14:textId="77777777" w:rsidR="005E6842" w:rsidRDefault="005E6842" w:rsidP="005E6842">
            <w:pPr>
              <w:pStyle w:val="TableData"/>
            </w:pPr>
            <w:r w:rsidRPr="006B3BB8">
              <w:rPr>
                <w:rStyle w:val="Strong"/>
                <w:b w:val="0"/>
                <w:bCs w:val="0"/>
              </w:rPr>
              <w:t>MSW</w:t>
            </w:r>
            <w:r>
              <w:rPr>
                <w:rStyle w:val="Strong"/>
                <w:b w:val="0"/>
                <w:bCs w:val="0"/>
              </w:rPr>
              <w:t xml:space="preserve"> Facility ID No: </w:t>
            </w:r>
          </w:p>
        </w:tc>
        <w:tc>
          <w:tcPr>
            <w:tcW w:w="6455" w:type="dxa"/>
            <w:tcBorders>
              <w:left w:val="nil"/>
              <w:right w:val="nil"/>
            </w:tcBorders>
            <w:vAlign w:val="bottom"/>
          </w:tcPr>
          <w:p w14:paraId="4AD16230" w14:textId="77777777" w:rsidR="005E6842" w:rsidRPr="005E6842" w:rsidRDefault="005E6842" w:rsidP="005E6842">
            <w:pPr>
              <w:pStyle w:val="TableData"/>
              <w:rPr>
                <w:b/>
              </w:rPr>
            </w:pPr>
          </w:p>
        </w:tc>
      </w:tr>
    </w:tbl>
    <w:p w14:paraId="5C400C48" w14:textId="77777777" w:rsidR="004A1FC0" w:rsidRDefault="002F2AEA">
      <w:pPr>
        <w:pStyle w:val="BodyText"/>
      </w:pPr>
      <w:r w:rsidRPr="009A172C">
        <w:t xml:space="preserve">"I certify that </w:t>
      </w:r>
      <w:r w:rsidR="004A1FC0" w:rsidRPr="004A1FC0">
        <w:rPr>
          <w:rStyle w:val="Strong"/>
        </w:rPr>
        <w:t>(insert name of person who is engaged in the business of recycling covered television equipment in this state)</w:t>
      </w:r>
      <w:r w:rsidRPr="009A172C">
        <w:t xml:space="preserve"> is in complian</w:t>
      </w:r>
      <w:r w:rsidR="004A1FC0" w:rsidRPr="004A1FC0">
        <w:t>ce with the standards adopted under Title 30 of the Texas Administrative Code §328.193 (relating to Management of Collected Television Equipment). I certify under penalty of law that this document and any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tbl>
      <w:tblPr>
        <w:tblStyle w:val="TableGrid"/>
        <w:tblW w:w="0" w:type="auto"/>
        <w:tblLook w:val="04A0" w:firstRow="1" w:lastRow="0" w:firstColumn="1" w:lastColumn="0" w:noHBand="0" w:noVBand="1"/>
      </w:tblPr>
      <w:tblGrid>
        <w:gridCol w:w="3225"/>
        <w:gridCol w:w="6279"/>
      </w:tblGrid>
      <w:tr w:rsidR="009A172C" w14:paraId="7A24F30E" w14:textId="77777777" w:rsidTr="0095551C">
        <w:trPr>
          <w:trHeight w:hRule="exact" w:val="504"/>
        </w:trPr>
        <w:tc>
          <w:tcPr>
            <w:tcW w:w="3258" w:type="dxa"/>
            <w:tcBorders>
              <w:top w:val="nil"/>
              <w:left w:val="nil"/>
              <w:bottom w:val="nil"/>
              <w:right w:val="nil"/>
            </w:tcBorders>
            <w:vAlign w:val="bottom"/>
          </w:tcPr>
          <w:p w14:paraId="20241F8B" w14:textId="77777777" w:rsidR="009A172C" w:rsidRDefault="009A172C" w:rsidP="00E178F7">
            <w:pPr>
              <w:pStyle w:val="TableData"/>
            </w:pPr>
            <w:r>
              <w:t xml:space="preserve">Signature of </w:t>
            </w:r>
            <w:r w:rsidR="00E178F7">
              <w:t>Recycler</w:t>
            </w:r>
            <w:r>
              <w:t>:</w:t>
            </w:r>
          </w:p>
        </w:tc>
        <w:tc>
          <w:tcPr>
            <w:tcW w:w="6390" w:type="dxa"/>
            <w:tcBorders>
              <w:top w:val="nil"/>
              <w:left w:val="nil"/>
              <w:bottom w:val="single" w:sz="4" w:space="0" w:color="auto"/>
              <w:right w:val="nil"/>
            </w:tcBorders>
            <w:vAlign w:val="bottom"/>
          </w:tcPr>
          <w:p w14:paraId="24DAD4DD" w14:textId="77777777" w:rsidR="009A172C" w:rsidRDefault="009A172C" w:rsidP="00046041">
            <w:pPr>
              <w:pStyle w:val="TableData"/>
            </w:pPr>
          </w:p>
        </w:tc>
      </w:tr>
      <w:tr w:rsidR="009A172C" w14:paraId="5D301FA2" w14:textId="77777777" w:rsidTr="0095551C">
        <w:trPr>
          <w:trHeight w:hRule="exact" w:val="487"/>
        </w:trPr>
        <w:tc>
          <w:tcPr>
            <w:tcW w:w="3258" w:type="dxa"/>
            <w:tcBorders>
              <w:top w:val="nil"/>
              <w:left w:val="nil"/>
              <w:bottom w:val="nil"/>
              <w:right w:val="nil"/>
            </w:tcBorders>
            <w:vAlign w:val="bottom"/>
          </w:tcPr>
          <w:p w14:paraId="768D58F1" w14:textId="77777777" w:rsidR="009A172C" w:rsidRDefault="009A172C" w:rsidP="00046041">
            <w:pPr>
              <w:pStyle w:val="TableData"/>
            </w:pPr>
            <w:r>
              <w:t>Printed Name:</w:t>
            </w:r>
          </w:p>
        </w:tc>
        <w:tc>
          <w:tcPr>
            <w:tcW w:w="6390" w:type="dxa"/>
            <w:tcBorders>
              <w:left w:val="nil"/>
              <w:right w:val="nil"/>
            </w:tcBorders>
            <w:vAlign w:val="bottom"/>
          </w:tcPr>
          <w:p w14:paraId="279A154E" w14:textId="77777777" w:rsidR="009A172C" w:rsidRDefault="009A172C" w:rsidP="00046041">
            <w:pPr>
              <w:pStyle w:val="TableData"/>
            </w:pPr>
          </w:p>
        </w:tc>
      </w:tr>
      <w:tr w:rsidR="009A172C" w14:paraId="0007FC42" w14:textId="77777777" w:rsidTr="0095551C">
        <w:trPr>
          <w:trHeight w:hRule="exact" w:val="442"/>
        </w:trPr>
        <w:tc>
          <w:tcPr>
            <w:tcW w:w="3258" w:type="dxa"/>
            <w:tcBorders>
              <w:top w:val="nil"/>
              <w:left w:val="nil"/>
              <w:bottom w:val="nil"/>
              <w:right w:val="nil"/>
            </w:tcBorders>
            <w:vAlign w:val="bottom"/>
          </w:tcPr>
          <w:p w14:paraId="1A3A82F0" w14:textId="77777777" w:rsidR="009A172C" w:rsidRDefault="009A172C" w:rsidP="00046041">
            <w:pPr>
              <w:pStyle w:val="TableData"/>
            </w:pPr>
            <w:r>
              <w:t>Title:</w:t>
            </w:r>
          </w:p>
        </w:tc>
        <w:tc>
          <w:tcPr>
            <w:tcW w:w="6390" w:type="dxa"/>
            <w:tcBorders>
              <w:left w:val="nil"/>
              <w:right w:val="nil"/>
            </w:tcBorders>
            <w:vAlign w:val="bottom"/>
          </w:tcPr>
          <w:p w14:paraId="51BDF90B" w14:textId="77777777" w:rsidR="009A172C" w:rsidRDefault="009A172C" w:rsidP="00046041">
            <w:pPr>
              <w:pStyle w:val="TableData"/>
            </w:pPr>
          </w:p>
        </w:tc>
      </w:tr>
      <w:tr w:rsidR="009A172C" w14:paraId="2881457E" w14:textId="77777777" w:rsidTr="0095551C">
        <w:trPr>
          <w:trHeight w:hRule="exact" w:val="433"/>
        </w:trPr>
        <w:tc>
          <w:tcPr>
            <w:tcW w:w="3258" w:type="dxa"/>
            <w:tcBorders>
              <w:top w:val="nil"/>
              <w:left w:val="nil"/>
              <w:bottom w:val="nil"/>
              <w:right w:val="nil"/>
            </w:tcBorders>
            <w:vAlign w:val="bottom"/>
          </w:tcPr>
          <w:p w14:paraId="4D651A9C" w14:textId="77777777" w:rsidR="009A172C" w:rsidRDefault="009A172C" w:rsidP="00046041">
            <w:pPr>
              <w:pStyle w:val="TableData"/>
            </w:pPr>
            <w:r>
              <w:t>Date:</w:t>
            </w:r>
          </w:p>
        </w:tc>
        <w:tc>
          <w:tcPr>
            <w:tcW w:w="6390" w:type="dxa"/>
            <w:tcBorders>
              <w:left w:val="nil"/>
              <w:right w:val="nil"/>
            </w:tcBorders>
            <w:vAlign w:val="bottom"/>
          </w:tcPr>
          <w:p w14:paraId="3ABABA13" w14:textId="77777777" w:rsidR="009A172C" w:rsidRDefault="009A172C" w:rsidP="00046041">
            <w:pPr>
              <w:pStyle w:val="TableData"/>
            </w:pPr>
          </w:p>
        </w:tc>
      </w:tr>
    </w:tbl>
    <w:p w14:paraId="0253BD68" w14:textId="77777777" w:rsidR="006E213E" w:rsidRPr="00CA072A" w:rsidRDefault="001B24C5" w:rsidP="00CA072A">
      <w:pPr>
        <w:pStyle w:val="BodyText"/>
        <w:rPr>
          <w:rStyle w:val="Strong"/>
        </w:rPr>
      </w:pPr>
      <w:r w:rsidRPr="00CA072A">
        <w:rPr>
          <w:rStyle w:val="Strong"/>
        </w:rPr>
        <w:t>Additional r</w:t>
      </w:r>
      <w:r w:rsidR="006E213E" w:rsidRPr="00CA072A">
        <w:rPr>
          <w:rStyle w:val="Strong"/>
        </w:rPr>
        <w:t>equire</w:t>
      </w:r>
      <w:r w:rsidR="00CA072A" w:rsidRPr="00CA072A">
        <w:rPr>
          <w:rStyle w:val="Strong"/>
        </w:rPr>
        <w:t>ments</w:t>
      </w:r>
      <w:r w:rsidR="006E213E" w:rsidRPr="00CA072A">
        <w:rPr>
          <w:rStyle w:val="Strong"/>
        </w:rPr>
        <w:t xml:space="preserve">: </w:t>
      </w:r>
    </w:p>
    <w:p w14:paraId="6195EEF5" w14:textId="77777777" w:rsidR="006E213E" w:rsidRPr="00A019F7" w:rsidRDefault="006E213E" w:rsidP="00A019F7">
      <w:pPr>
        <w:pStyle w:val="ListBullet"/>
      </w:pPr>
      <w:r w:rsidRPr="00A019F7">
        <w:t>TV recyclers must maintain a written log of the weight or volume of TVs received and their disposition (i.e. sent to another recycler</w:t>
      </w:r>
      <w:r w:rsidR="00C33A37">
        <w:t>,</w:t>
      </w:r>
      <w:r w:rsidRPr="00A019F7">
        <w:t xml:space="preserve"> sold as refurbished equipment</w:t>
      </w:r>
      <w:r w:rsidR="00C33A37">
        <w:t>, etc.</w:t>
      </w:r>
      <w:r w:rsidRPr="00A019F7">
        <w:t xml:space="preserve">). </w:t>
      </w:r>
    </w:p>
    <w:p w14:paraId="4FFD2557" w14:textId="77777777" w:rsidR="006E213E" w:rsidRPr="00A019F7" w:rsidRDefault="006E213E" w:rsidP="00A019F7">
      <w:pPr>
        <w:pStyle w:val="ListBullet"/>
      </w:pPr>
      <w:r w:rsidRPr="00A019F7">
        <w:t>Beginning Jan</w:t>
      </w:r>
      <w:r w:rsidR="00942CB8">
        <w:t>uary</w:t>
      </w:r>
      <w:r w:rsidRPr="00A019F7">
        <w:t xml:space="preserve"> 31, 2014, TV recyclers must annually report the total weight or volume of TVs received, recycled, and disposed of in the preceding calendar year.  The agency will provide a report form</w:t>
      </w:r>
      <w:r w:rsidR="00A019F7" w:rsidRPr="00A019F7">
        <w:t xml:space="preserve"> for facilities to submit</w:t>
      </w:r>
      <w:r w:rsidRPr="00A019F7">
        <w:t>.</w:t>
      </w:r>
    </w:p>
    <w:p w14:paraId="3D8E6082" w14:textId="77777777" w:rsidR="006E213E" w:rsidRPr="006A6235" w:rsidRDefault="006E213E" w:rsidP="00A019F7">
      <w:pPr>
        <w:pStyle w:val="ListBullet"/>
        <w:rPr>
          <w:rStyle w:val="Strong"/>
          <w:b w:val="0"/>
          <w:bCs w:val="0"/>
        </w:rPr>
      </w:pPr>
      <w:r w:rsidRPr="00A019F7">
        <w:rPr>
          <w:rStyle w:val="Strong"/>
          <w:rFonts w:eastAsiaTheme="majorEastAsia"/>
          <w:b w:val="0"/>
          <w:bCs w:val="0"/>
        </w:rPr>
        <w:t xml:space="preserve">Beginning January 31, 2014, TV recyclers must annually renew their registration and compliance certification.  </w:t>
      </w:r>
      <w:r w:rsidR="00A019F7" w:rsidRPr="00A019F7">
        <w:rPr>
          <w:rStyle w:val="Strong"/>
          <w:rFonts w:eastAsiaTheme="majorEastAsia"/>
          <w:b w:val="0"/>
          <w:bCs w:val="0"/>
        </w:rPr>
        <w:t xml:space="preserve">Facilities will be able to meet this requirement with </w:t>
      </w:r>
      <w:r w:rsidR="00A019F7">
        <w:rPr>
          <w:rStyle w:val="Strong"/>
          <w:rFonts w:eastAsiaTheme="majorEastAsia"/>
          <w:b w:val="0"/>
          <w:bCs w:val="0"/>
        </w:rPr>
        <w:t xml:space="preserve">their </w:t>
      </w:r>
      <w:r w:rsidR="00A019F7" w:rsidRPr="00A019F7">
        <w:rPr>
          <w:rStyle w:val="Strong"/>
          <w:rFonts w:eastAsiaTheme="majorEastAsia"/>
          <w:b w:val="0"/>
          <w:bCs w:val="0"/>
        </w:rPr>
        <w:t>annual report</w:t>
      </w:r>
      <w:r w:rsidR="00A019F7">
        <w:rPr>
          <w:rStyle w:val="Strong"/>
          <w:rFonts w:eastAsiaTheme="majorEastAsia"/>
          <w:b w:val="0"/>
          <w:bCs w:val="0"/>
        </w:rPr>
        <w:t xml:space="preserve"> </w:t>
      </w:r>
      <w:r w:rsidR="00A019F7" w:rsidRPr="00A019F7">
        <w:rPr>
          <w:rStyle w:val="Strong"/>
          <w:rFonts w:eastAsiaTheme="majorEastAsia"/>
          <w:b w:val="0"/>
          <w:bCs w:val="0"/>
        </w:rPr>
        <w:t>submittal</w:t>
      </w:r>
      <w:r w:rsidR="00A019F7">
        <w:rPr>
          <w:rStyle w:val="Strong"/>
          <w:rFonts w:eastAsiaTheme="majorEastAsia"/>
          <w:b w:val="0"/>
          <w:bCs w:val="0"/>
        </w:rPr>
        <w:t xml:space="preserve">. </w:t>
      </w:r>
      <w:r w:rsidR="00C21AFC">
        <w:rPr>
          <w:rStyle w:val="Strong"/>
          <w:rFonts w:eastAsiaTheme="majorEastAsia"/>
          <w:b w:val="0"/>
          <w:bCs w:val="0"/>
        </w:rPr>
        <w:t xml:space="preserve"> </w:t>
      </w:r>
      <w:r w:rsidR="00A019F7">
        <w:rPr>
          <w:rStyle w:val="Strong"/>
          <w:rFonts w:eastAsiaTheme="majorEastAsia"/>
          <w:b w:val="0"/>
          <w:bCs w:val="0"/>
        </w:rPr>
        <w:t>A</w:t>
      </w:r>
      <w:r w:rsidR="002F057C">
        <w:rPr>
          <w:rStyle w:val="Strong"/>
          <w:rFonts w:eastAsiaTheme="majorEastAsia"/>
          <w:b w:val="0"/>
          <w:bCs w:val="0"/>
        </w:rPr>
        <w:t>n</w:t>
      </w:r>
      <w:r w:rsidR="00A019F7">
        <w:rPr>
          <w:rStyle w:val="Strong"/>
          <w:rFonts w:eastAsiaTheme="majorEastAsia"/>
          <w:b w:val="0"/>
          <w:bCs w:val="0"/>
        </w:rPr>
        <w:t xml:space="preserve"> </w:t>
      </w:r>
      <w:r w:rsidR="002F057C">
        <w:rPr>
          <w:rStyle w:val="Strong"/>
          <w:rFonts w:eastAsiaTheme="majorEastAsia"/>
          <w:b w:val="0"/>
          <w:bCs w:val="0"/>
        </w:rPr>
        <w:t>updated</w:t>
      </w:r>
      <w:r w:rsidR="00A019F7">
        <w:rPr>
          <w:rStyle w:val="Strong"/>
          <w:rFonts w:eastAsiaTheme="majorEastAsia"/>
          <w:b w:val="0"/>
          <w:bCs w:val="0"/>
        </w:rPr>
        <w:t xml:space="preserve"> NOI form will</w:t>
      </w:r>
      <w:r w:rsidR="002F057C">
        <w:rPr>
          <w:rStyle w:val="Strong"/>
          <w:rFonts w:eastAsiaTheme="majorEastAsia"/>
          <w:b w:val="0"/>
          <w:bCs w:val="0"/>
        </w:rPr>
        <w:t xml:space="preserve"> not be required.</w:t>
      </w:r>
    </w:p>
    <w:p w14:paraId="1A193644" w14:textId="77777777" w:rsidR="006A6235" w:rsidRDefault="006A6235" w:rsidP="008320CD">
      <w:pPr>
        <w:pStyle w:val="BodyText"/>
      </w:pPr>
      <w:r>
        <w:t>For more information regarding the Television Equipment Recycling Program, please visit &lt;</w:t>
      </w:r>
      <w:hyperlink r:id="rId14" w:history="1">
        <w:r w:rsidRPr="00472448">
          <w:rPr>
            <w:rStyle w:val="Hyperlink"/>
          </w:rPr>
          <w:t>www.TexasRecyclesTVs.org</w:t>
        </w:r>
      </w:hyperlink>
      <w:r>
        <w:t>&gt;</w:t>
      </w:r>
      <w:r w:rsidRPr="00472448">
        <w:t xml:space="preserve"> or call</w:t>
      </w:r>
      <w:r>
        <w:t xml:space="preserve"> </w:t>
      </w:r>
      <w:r w:rsidR="008320CD">
        <w:t>the TCEQ’s Pollution Prevention and Education Section</w:t>
      </w:r>
      <w:r>
        <w:t xml:space="preserve"> at</w:t>
      </w:r>
      <w:r w:rsidRPr="00472448">
        <w:t xml:space="preserve"> </w:t>
      </w:r>
      <w:r w:rsidRPr="008320CD">
        <w:rPr>
          <w:rFonts w:eastAsiaTheme="majorEastAsia"/>
        </w:rPr>
        <w:t>512-239-3143</w:t>
      </w:r>
      <w:r w:rsidRPr="008320CD">
        <w:rPr>
          <w:b/>
        </w:rPr>
        <w:t>.</w:t>
      </w:r>
    </w:p>
    <w:p w14:paraId="54439CC7" w14:textId="77777777" w:rsidR="00DC6716" w:rsidRPr="000E00ED" w:rsidRDefault="00A22682" w:rsidP="000E00ED">
      <w:pPr>
        <w:pStyle w:val="BodyText"/>
        <w:rPr>
          <w:rFonts w:eastAsiaTheme="majorEastAsia"/>
        </w:rPr>
      </w:pPr>
      <w:r>
        <w:br w:type="page"/>
      </w:r>
    </w:p>
    <w:p w14:paraId="40E26279" w14:textId="77777777" w:rsidR="008B5287" w:rsidRDefault="008B5287" w:rsidP="008B5287">
      <w:pPr>
        <w:pStyle w:val="Heading4"/>
      </w:pPr>
      <w:r>
        <w:lastRenderedPageBreak/>
        <w:t>Attachment G – Alternative Compliance Demonstration</w:t>
      </w:r>
    </w:p>
    <w:p w14:paraId="47E8902D" w14:textId="77777777" w:rsidR="008B5287" w:rsidRDefault="008B5287" w:rsidP="008B5287">
      <w:pPr>
        <w:pStyle w:val="BodyText"/>
      </w:pPr>
      <w:r>
        <w:t xml:space="preserve">For an Owner/Operator who may not be able to comply with the limits on amounts of incidental waste received (30 TAC §328.2(3)) or the accumulation time limits (30 TAC §328.4(b)(2) and (3)), an Alternative Compliance Demonstration must be included with the NOI form.  </w:t>
      </w:r>
      <w:r w:rsidRPr="009D7598">
        <w:t xml:space="preserve">Requests for Alternative Compliance must be approved by the </w:t>
      </w:r>
      <w:r>
        <w:t>ED</w:t>
      </w:r>
      <w:r w:rsidRPr="009D7598">
        <w:t xml:space="preserve"> before a facility may operate under alternative requirements.  Request</w:t>
      </w:r>
      <w:r>
        <w:t>s</w:t>
      </w:r>
      <w:r w:rsidRPr="009D7598">
        <w:t xml:space="preserve"> for alternative compliance will be evaluated on a case-by-case basis in accordance with 30 TAC §§328.4(c)</w:t>
      </w:r>
      <w:r>
        <w:t>,</w:t>
      </w:r>
      <w:r w:rsidR="00985B62">
        <w:t xml:space="preserve"> </w:t>
      </w:r>
      <w:r w:rsidRPr="009D7598">
        <w:t>(e) and (f).</w:t>
      </w:r>
    </w:p>
    <w:p w14:paraId="3FEFEE7B" w14:textId="77777777" w:rsidR="008B5287" w:rsidRPr="00B51ABF" w:rsidRDefault="008B5287" w:rsidP="008B5287">
      <w:pPr>
        <w:pStyle w:val="BodyText"/>
        <w:rPr>
          <w:rStyle w:val="Strong"/>
        </w:rPr>
      </w:pPr>
      <w:r w:rsidRPr="00B51ABF">
        <w:rPr>
          <w:rStyle w:val="Strong"/>
        </w:rPr>
        <w:t>All operators requesting alternative compliance must respond to Items 1 thru 5</w:t>
      </w:r>
      <w:r>
        <w:rPr>
          <w:rStyle w:val="Strong"/>
        </w:rPr>
        <w:t xml:space="preserve"> below:</w:t>
      </w:r>
    </w:p>
    <w:p w14:paraId="729CC03E" w14:textId="77777777" w:rsidR="008B5287" w:rsidRDefault="008B5287" w:rsidP="008B5287">
      <w:pPr>
        <w:pStyle w:val="List"/>
      </w:pPr>
      <w:r>
        <w:t xml:space="preserve">Identify the </w:t>
      </w:r>
      <w:r w:rsidRPr="00B51ABF">
        <w:t>desired</w:t>
      </w:r>
      <w:r>
        <w:t xml:space="preserve"> activity from the descriptions below.</w:t>
      </w:r>
    </w:p>
    <w:p w14:paraId="02880962" w14:textId="77777777" w:rsidR="008B5287" w:rsidRDefault="008B5287" w:rsidP="008B5287">
      <w:pPr>
        <w:pStyle w:val="ListBullet"/>
      </w:pPr>
      <w:r w:rsidRPr="00BD2D5A">
        <w:rPr>
          <w:rStyle w:val="Strong"/>
        </w:rPr>
        <w:t>Exceed Incidental Amounts</w:t>
      </w:r>
      <w:r>
        <w:rPr>
          <w:rStyle w:val="Strong"/>
        </w:rPr>
        <w:t xml:space="preserve"> </w:t>
      </w:r>
      <w:r>
        <w:t>(Despite efforts to reduce incidental waste, the limits specified in the rule cannot be met.)</w:t>
      </w:r>
    </w:p>
    <w:p w14:paraId="37DC95A5" w14:textId="77777777" w:rsidR="008B5287" w:rsidRPr="00B51ABF" w:rsidRDefault="008B5287" w:rsidP="008B5287">
      <w:pPr>
        <w:pStyle w:val="ListBullet"/>
        <w:rPr>
          <w:szCs w:val="22"/>
        </w:rPr>
      </w:pPr>
      <w:r w:rsidRPr="00BD2D5A">
        <w:rPr>
          <w:rStyle w:val="Strong"/>
        </w:rPr>
        <w:t>Exceed Accumulation Time Limit</w:t>
      </w:r>
      <w:r>
        <w:rPr>
          <w:rStyle w:val="Strong"/>
        </w:rPr>
        <w:t xml:space="preserve"> </w:t>
      </w:r>
      <w:r>
        <w:t>(Circumstances do not allow recycling or transfer of accumulated material within required time limits.)</w:t>
      </w:r>
    </w:p>
    <w:p w14:paraId="2465B8C2" w14:textId="77777777" w:rsidR="008B5287" w:rsidRDefault="008B5287" w:rsidP="008B5287">
      <w:pPr>
        <w:pStyle w:val="List"/>
      </w:pPr>
      <w:r>
        <w:t>What is the prevalence of the practice on an industry-wide basis, or on the basis of other similar facilities recycling the same kind of material?</w:t>
      </w:r>
    </w:p>
    <w:p w14:paraId="6D6D9E79" w14:textId="77777777" w:rsidR="008B5287" w:rsidRDefault="008B5287" w:rsidP="008B5287">
      <w:pPr>
        <w:pStyle w:val="List"/>
      </w:pPr>
      <w:r>
        <w:t>Provide reasons why alternative compliance would be protective of the environment and human health and safety.</w:t>
      </w:r>
    </w:p>
    <w:p w14:paraId="21658A69" w14:textId="77777777" w:rsidR="008B5287" w:rsidRDefault="008B5287" w:rsidP="008B5287">
      <w:pPr>
        <w:pStyle w:val="List"/>
      </w:pPr>
      <w:r>
        <w:t>Provide any other relevant information in support of the alternative compliance request.</w:t>
      </w:r>
    </w:p>
    <w:p w14:paraId="4F7B9AC3" w14:textId="77777777" w:rsidR="008B5287" w:rsidRDefault="008B5287" w:rsidP="008B5287">
      <w:pPr>
        <w:pStyle w:val="List"/>
      </w:pPr>
      <w:r>
        <w:t>Describe why you cannot comply with the limits on amounts of incidental waste received or the accumulation time limits.</w:t>
      </w:r>
    </w:p>
    <w:p w14:paraId="53ED02A8" w14:textId="77777777" w:rsidR="008B5287" w:rsidRPr="00B51ABF" w:rsidRDefault="008B5287" w:rsidP="008B5287">
      <w:pPr>
        <w:pStyle w:val="BodyText"/>
        <w:rPr>
          <w:rStyle w:val="Strong"/>
        </w:rPr>
      </w:pPr>
      <w:r w:rsidRPr="00B51ABF">
        <w:rPr>
          <w:rStyle w:val="Strong"/>
        </w:rPr>
        <w:t>Requests to exceed incidental amounts</w:t>
      </w:r>
      <w:r w:rsidR="005D5E66">
        <w:rPr>
          <w:rStyle w:val="Strong"/>
        </w:rPr>
        <w:t xml:space="preserve"> must </w:t>
      </w:r>
      <w:r w:rsidRPr="00B51ABF">
        <w:rPr>
          <w:rStyle w:val="Strong"/>
        </w:rPr>
        <w:t>address applicable Items 6 thru 10</w:t>
      </w:r>
      <w:r>
        <w:rPr>
          <w:rStyle w:val="Strong"/>
        </w:rPr>
        <w:t>:</w:t>
      </w:r>
    </w:p>
    <w:p w14:paraId="468BBC60" w14:textId="77777777" w:rsidR="008B5287" w:rsidRDefault="008B5287" w:rsidP="008B5287">
      <w:pPr>
        <w:pStyle w:val="List"/>
      </w:pPr>
      <w:r>
        <w:t>What alternative maximum percentage, by volume or scale weight, of each incoming load, will be non-recyclable waste?  What alternative maximum percentage, by volume or scale weight of materials received in each six-month period, will be non-recyclable waste?</w:t>
      </w:r>
    </w:p>
    <w:p w14:paraId="79C68471" w14:textId="77777777" w:rsidR="008B5287" w:rsidRDefault="008B5287" w:rsidP="008B5287">
      <w:pPr>
        <w:pStyle w:val="List"/>
      </w:pPr>
      <w:r>
        <w:t>If applicable, specify the maximum amount of, and reasons for, unavoidable damage to incoming material during collection, unloading, and sorting that renders the material unmarketable.</w:t>
      </w:r>
    </w:p>
    <w:p w14:paraId="4FD3CD86" w14:textId="77777777" w:rsidR="008B5287" w:rsidRDefault="008B5287" w:rsidP="008B5287">
      <w:pPr>
        <w:pStyle w:val="List"/>
      </w:pPr>
      <w:r>
        <w:t>If applicable, explain why data on tramp or damaged materials cannot be separated from data on other non-recyclable waste.</w:t>
      </w:r>
    </w:p>
    <w:p w14:paraId="0B806BDE" w14:textId="77777777" w:rsidR="008B5287" w:rsidRDefault="008B5287" w:rsidP="008B5287">
      <w:pPr>
        <w:pStyle w:val="List"/>
      </w:pPr>
      <w:r>
        <w:t>Describe the efforts made in the operation to maintain and enforce source separation.  Identify any limitations on the ability to maintain and enforce source-separation at the facility.</w:t>
      </w:r>
    </w:p>
    <w:p w14:paraId="58B6E37C" w14:textId="77777777" w:rsidR="008B5287" w:rsidRDefault="008B5287" w:rsidP="008B5287">
      <w:pPr>
        <w:pStyle w:val="List"/>
      </w:pPr>
      <w:r>
        <w:t>How will waste be disposed?  What is the maximum amount of time between receiving the waste and disposal?</w:t>
      </w:r>
    </w:p>
    <w:p w14:paraId="7B4202F4" w14:textId="77777777" w:rsidR="008B5287" w:rsidRPr="00B51ABF" w:rsidRDefault="008B5287" w:rsidP="008B5287">
      <w:pPr>
        <w:pStyle w:val="BodyText"/>
        <w:rPr>
          <w:rStyle w:val="Strong"/>
        </w:rPr>
      </w:pPr>
      <w:r w:rsidRPr="00B51ABF">
        <w:rPr>
          <w:rStyle w:val="Strong"/>
        </w:rPr>
        <w:t>Requests to exceed accumulation time limits must address Items 11 and 12</w:t>
      </w:r>
      <w:r>
        <w:rPr>
          <w:rStyle w:val="Strong"/>
        </w:rPr>
        <w:t>:</w:t>
      </w:r>
    </w:p>
    <w:p w14:paraId="2E7854F6" w14:textId="77777777" w:rsidR="008B5287" w:rsidRDefault="008B5287" w:rsidP="008B5287">
      <w:pPr>
        <w:pStyle w:val="List"/>
      </w:pPr>
      <w:r>
        <w:t>Describe the circumstances that limit the facility’s ability to comply with the material turnover percentage requirements specified in 30 TAC §328.4(b) and what alternative turnover rate is being requested.</w:t>
      </w:r>
    </w:p>
    <w:p w14:paraId="596020D5" w14:textId="77777777" w:rsidR="008B5287" w:rsidRDefault="008B5287" w:rsidP="00840C3B">
      <w:pPr>
        <w:pStyle w:val="List"/>
      </w:pPr>
      <w:r>
        <w:t>If applicable, provide the volume needed in order to obtain grinding service and the estimated maximum length of time needed to accumulate that volume.</w:t>
      </w:r>
    </w:p>
    <w:sectPr w:rsidR="008B5287" w:rsidSect="005E6842">
      <w:footerReference w:type="even" r:id="rId15"/>
      <w:footerReference w:type="default" r:id="rId16"/>
      <w:pgSz w:w="12240" w:h="15840" w:code="1"/>
      <w:pgMar w:top="900" w:right="1296" w:bottom="720" w:left="1296" w:header="720" w:footer="432" w:gutter="14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6D9B" w14:textId="77777777" w:rsidR="00040A1D" w:rsidRDefault="00040A1D">
      <w:r>
        <w:separator/>
      </w:r>
    </w:p>
  </w:endnote>
  <w:endnote w:type="continuationSeparator" w:id="0">
    <w:p w14:paraId="1518152B" w14:textId="77777777" w:rsidR="00040A1D" w:rsidRDefault="0004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A729" w14:textId="77777777" w:rsidR="008228BC" w:rsidRDefault="007F1DA8" w:rsidP="0018462C">
    <w:pPr>
      <w:pStyle w:val="Footer"/>
      <w:framePr w:wrap="around" w:vAnchor="text" w:hAnchor="margin" w:xAlign="right" w:y="1"/>
      <w:rPr>
        <w:rStyle w:val="PageNumber"/>
      </w:rPr>
    </w:pPr>
    <w:r>
      <w:rPr>
        <w:rStyle w:val="PageNumber"/>
      </w:rPr>
      <w:fldChar w:fldCharType="begin"/>
    </w:r>
    <w:r w:rsidR="008228BC">
      <w:rPr>
        <w:rStyle w:val="PageNumber"/>
      </w:rPr>
      <w:instrText xml:space="preserve">PAGE  </w:instrText>
    </w:r>
    <w:r>
      <w:rPr>
        <w:rStyle w:val="PageNumber"/>
      </w:rPr>
      <w:fldChar w:fldCharType="separate"/>
    </w:r>
    <w:r w:rsidR="008228BC">
      <w:rPr>
        <w:rStyle w:val="PageNumber"/>
        <w:noProof/>
      </w:rPr>
      <w:t>8</w:t>
    </w:r>
    <w:r>
      <w:rPr>
        <w:rStyle w:val="PageNumber"/>
      </w:rPr>
      <w:fldChar w:fldCharType="end"/>
    </w:r>
  </w:p>
  <w:p w14:paraId="6DE6A89B" w14:textId="77777777" w:rsidR="008228BC" w:rsidRDefault="008228BC" w:rsidP="0018462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6933" w14:textId="77777777" w:rsidR="008228BC" w:rsidRPr="00C93F89" w:rsidRDefault="008228BC" w:rsidP="009E7940">
    <w:pPr>
      <w:pStyle w:val="Footer"/>
      <w:tabs>
        <w:tab w:val="right" w:pos="9360"/>
      </w:tabs>
      <w:ind w:right="360"/>
      <w:rPr>
        <w:rFonts w:ascii="Arial" w:hAnsi="Arial" w:cs="Arial"/>
        <w:sz w:val="16"/>
        <w:szCs w:val="16"/>
      </w:rPr>
    </w:pPr>
    <w:r w:rsidRPr="00C93F89">
      <w:rPr>
        <w:rFonts w:ascii="Arial" w:hAnsi="Arial" w:cs="Arial"/>
        <w:sz w:val="16"/>
        <w:szCs w:val="16"/>
      </w:rPr>
      <w:t>TCEQ-</w:t>
    </w:r>
    <w:r>
      <w:rPr>
        <w:rFonts w:ascii="Arial" w:hAnsi="Arial" w:cs="Arial"/>
        <w:sz w:val="16"/>
        <w:szCs w:val="16"/>
      </w:rPr>
      <w:t xml:space="preserve">20049, </w:t>
    </w:r>
    <w:r w:rsidRPr="009E7940">
      <w:rPr>
        <w:rFonts w:ascii="Arial" w:hAnsi="Arial" w:cs="Arial"/>
        <w:sz w:val="16"/>
        <w:szCs w:val="16"/>
      </w:rPr>
      <w:t>Notice of Intent to Operate a Recycling Facility</w:t>
    </w:r>
    <w:r>
      <w:rPr>
        <w:rFonts w:ascii="Arial" w:hAnsi="Arial" w:cs="Arial"/>
        <w:sz w:val="16"/>
        <w:szCs w:val="16"/>
      </w:rPr>
      <w:t xml:space="preserve"> (Rev. 10/</w:t>
    </w:r>
    <w:r w:rsidR="0065014B">
      <w:rPr>
        <w:rFonts w:ascii="Arial" w:hAnsi="Arial" w:cs="Arial"/>
        <w:sz w:val="16"/>
        <w:szCs w:val="16"/>
      </w:rPr>
      <w:t>9</w:t>
    </w:r>
    <w:r>
      <w:rPr>
        <w:rFonts w:ascii="Arial" w:hAnsi="Arial" w:cs="Arial"/>
        <w:sz w:val="16"/>
        <w:szCs w:val="16"/>
      </w:rPr>
      <w:t>/2012)</w:t>
    </w:r>
    <w:r>
      <w:rPr>
        <w:rFonts w:ascii="Arial" w:hAnsi="Arial" w:cs="Arial"/>
        <w:sz w:val="16"/>
        <w:szCs w:val="16"/>
      </w:rPr>
      <w:tab/>
    </w:r>
    <w:r>
      <w:rPr>
        <w:rFonts w:ascii="Arial" w:hAnsi="Arial" w:cs="Arial"/>
        <w:sz w:val="16"/>
        <w:szCs w:val="16"/>
      </w:rPr>
      <w:tab/>
    </w:r>
    <w:r w:rsidRPr="00250D97">
      <w:rPr>
        <w:rFonts w:ascii="Arial" w:hAnsi="Arial" w:cs="Arial"/>
        <w:sz w:val="16"/>
        <w:szCs w:val="16"/>
      </w:rPr>
      <w:t xml:space="preserve">Page </w:t>
    </w:r>
    <w:r w:rsidR="007F1DA8" w:rsidRPr="00250D97">
      <w:rPr>
        <w:rStyle w:val="PageNumber"/>
        <w:rFonts w:ascii="Arial" w:hAnsi="Arial"/>
        <w:sz w:val="16"/>
      </w:rPr>
      <w:fldChar w:fldCharType="begin"/>
    </w:r>
    <w:r w:rsidRPr="00250D97">
      <w:rPr>
        <w:rStyle w:val="PageNumber"/>
        <w:rFonts w:ascii="Arial" w:hAnsi="Arial"/>
        <w:sz w:val="16"/>
      </w:rPr>
      <w:instrText xml:space="preserve"> PAGE </w:instrText>
    </w:r>
    <w:r w:rsidR="007F1DA8" w:rsidRPr="00250D97">
      <w:rPr>
        <w:rStyle w:val="PageNumber"/>
        <w:rFonts w:ascii="Arial" w:hAnsi="Arial"/>
        <w:sz w:val="16"/>
      </w:rPr>
      <w:fldChar w:fldCharType="separate"/>
    </w:r>
    <w:r w:rsidR="00AF6E5C">
      <w:rPr>
        <w:rStyle w:val="PageNumber"/>
        <w:rFonts w:ascii="Arial" w:hAnsi="Arial"/>
        <w:noProof/>
        <w:sz w:val="16"/>
      </w:rPr>
      <w:t>8</w:t>
    </w:r>
    <w:r w:rsidR="007F1DA8" w:rsidRPr="00250D97">
      <w:rPr>
        <w:rStyle w:val="PageNumber"/>
        <w:rFonts w:ascii="Arial" w:hAnsi="Arial"/>
        <w:sz w:val="16"/>
      </w:rPr>
      <w:fldChar w:fldCharType="end"/>
    </w:r>
    <w:r w:rsidRPr="00250D97">
      <w:rPr>
        <w:rStyle w:val="PageNumber"/>
        <w:rFonts w:ascii="Arial" w:hAnsi="Arial"/>
        <w:sz w:val="16"/>
      </w:rPr>
      <w:t xml:space="preserve"> of </w:t>
    </w:r>
    <w:r w:rsidR="007F1DA8" w:rsidRPr="00250D97">
      <w:rPr>
        <w:rStyle w:val="PageNumber"/>
        <w:rFonts w:ascii="Arial" w:hAnsi="Arial"/>
        <w:sz w:val="16"/>
      </w:rPr>
      <w:fldChar w:fldCharType="begin"/>
    </w:r>
    <w:r w:rsidRPr="00250D97">
      <w:rPr>
        <w:rStyle w:val="PageNumber"/>
        <w:rFonts w:ascii="Arial" w:hAnsi="Arial"/>
        <w:sz w:val="16"/>
      </w:rPr>
      <w:instrText xml:space="preserve"> NUMPAGES </w:instrText>
    </w:r>
    <w:r w:rsidR="007F1DA8" w:rsidRPr="00250D97">
      <w:rPr>
        <w:rStyle w:val="PageNumber"/>
        <w:rFonts w:ascii="Arial" w:hAnsi="Arial"/>
        <w:sz w:val="16"/>
      </w:rPr>
      <w:fldChar w:fldCharType="separate"/>
    </w:r>
    <w:r w:rsidR="00AF6E5C">
      <w:rPr>
        <w:rStyle w:val="PageNumber"/>
        <w:rFonts w:ascii="Arial" w:hAnsi="Arial"/>
        <w:noProof/>
        <w:sz w:val="16"/>
      </w:rPr>
      <w:t>8</w:t>
    </w:r>
    <w:r w:rsidR="007F1DA8" w:rsidRPr="00250D97">
      <w:rPr>
        <w:rStyle w:val="PageNumber"/>
        <w:rFonts w:ascii="Arial" w:hAnsi="Arial"/>
        <w:sz w:val="16"/>
      </w:rPr>
      <w:fldChar w:fldCharType="end"/>
    </w:r>
    <w:r>
      <w:rPr>
        <w:rFonts w:ascii="Arial" w:hAnsi="Arial" w:cs="Arial"/>
        <w:sz w:val="16"/>
        <w:szCs w:val="16"/>
      </w:rPr>
      <w:t xml:space="preserve"> </w:t>
    </w:r>
    <w:r>
      <w:rPr>
        <w:rFonts w:ascii="Arial" w:hAnsi="Arial"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171E" w14:textId="77777777" w:rsidR="00040A1D" w:rsidRDefault="00040A1D">
      <w:r>
        <w:separator/>
      </w:r>
    </w:p>
  </w:footnote>
  <w:footnote w:type="continuationSeparator" w:id="0">
    <w:p w14:paraId="5B94BC75" w14:textId="77777777" w:rsidR="00040A1D" w:rsidRDefault="00040A1D">
      <w:r>
        <w:continuationSeparator/>
      </w:r>
    </w:p>
  </w:footnote>
  <w:footnote w:id="1">
    <w:p w14:paraId="5FA38CA8" w14:textId="77777777" w:rsidR="008228BC" w:rsidRDefault="008228BC">
      <w:pPr>
        <w:pStyle w:val="FootnoteText"/>
      </w:pPr>
      <w:r w:rsidRPr="00EF0337">
        <w:rPr>
          <w:rStyle w:val="FootnoteReference"/>
        </w:rPr>
        <w:footnoteRef/>
      </w:r>
      <w:r w:rsidRPr="00EF0337">
        <w:t xml:space="preserve"> </w:t>
      </w:r>
      <w:r w:rsidRPr="00EF0337">
        <w:rPr>
          <w:rFonts w:ascii="Georgia" w:hAnsi="Georgia" w:cs="Arial"/>
        </w:rPr>
        <w:t xml:space="preserve">Recyclers of covered television equipment are not exempt from </w:t>
      </w:r>
      <w:r w:rsidRPr="00EF0337">
        <w:rPr>
          <w:rFonts w:ascii="Georgia" w:hAnsi="Georgia"/>
        </w:rPr>
        <w:t>30 TAC §§328.4(a) and 328.5(a)</w:t>
      </w:r>
      <w:r w:rsidRPr="00EF0337">
        <w:rPr>
          <w:rFonts w:ascii="Georgia" w:hAnsi="Georgia"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1AA7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1C43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C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183C3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794E3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5A1F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405F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18AF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2E4E52"/>
    <w:lvl w:ilvl="0">
      <w:start w:val="1"/>
      <w:numFmt w:val="decimal"/>
      <w:pStyle w:val="ListNumber"/>
      <w:lvlText w:val="%1."/>
      <w:lvlJc w:val="left"/>
      <w:pPr>
        <w:tabs>
          <w:tab w:val="num" w:pos="2700"/>
        </w:tabs>
        <w:ind w:left="2700" w:hanging="360"/>
      </w:pPr>
    </w:lvl>
  </w:abstractNum>
  <w:abstractNum w:abstractNumId="9" w15:restartNumberingAfterBreak="0">
    <w:nsid w:val="FFFFFF89"/>
    <w:multiLevelType w:val="singleLevel"/>
    <w:tmpl w:val="4CDAA9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403F82"/>
    <w:multiLevelType w:val="hybridMultilevel"/>
    <w:tmpl w:val="57003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D7F8A"/>
    <w:multiLevelType w:val="hybridMultilevel"/>
    <w:tmpl w:val="5870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95064"/>
    <w:multiLevelType w:val="hybridMultilevel"/>
    <w:tmpl w:val="A2F07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F005C"/>
    <w:multiLevelType w:val="hybridMultilevel"/>
    <w:tmpl w:val="0A08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45233"/>
    <w:multiLevelType w:val="hybridMultilevel"/>
    <w:tmpl w:val="6EC88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F3A09"/>
    <w:multiLevelType w:val="hybridMultilevel"/>
    <w:tmpl w:val="A2BC996C"/>
    <w:lvl w:ilvl="0" w:tplc="63EE15CC">
      <w:start w:val="1"/>
      <w:numFmt w:val="decimal"/>
      <w:lvlText w:val="%1."/>
      <w:lvlJc w:val="left"/>
      <w:pPr>
        <w:tabs>
          <w:tab w:val="num" w:pos="360"/>
        </w:tabs>
        <w:ind w:left="360" w:hanging="360"/>
      </w:pPr>
      <w:rPr>
        <w:rFonts w:hint="default"/>
        <w:b/>
      </w:rPr>
    </w:lvl>
    <w:lvl w:ilvl="1" w:tplc="A1F60958">
      <w:start w:val="1"/>
      <w:numFmt w:val="upperRoman"/>
      <w:lvlText w:val="%2."/>
      <w:lvlJc w:val="left"/>
      <w:pPr>
        <w:tabs>
          <w:tab w:val="num" w:pos="1440"/>
        </w:tabs>
        <w:ind w:left="144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B41FF1"/>
    <w:multiLevelType w:val="hybridMultilevel"/>
    <w:tmpl w:val="529A3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E93215"/>
    <w:multiLevelType w:val="hybridMultilevel"/>
    <w:tmpl w:val="0078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40743"/>
    <w:multiLevelType w:val="hybridMultilevel"/>
    <w:tmpl w:val="C9AA3A44"/>
    <w:lvl w:ilvl="0" w:tplc="2E62E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FA0B28"/>
    <w:multiLevelType w:val="hybridMultilevel"/>
    <w:tmpl w:val="41EC7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E5B96"/>
    <w:multiLevelType w:val="hybridMultilevel"/>
    <w:tmpl w:val="CC3A81A6"/>
    <w:lvl w:ilvl="0" w:tplc="3C2CD1BE">
      <w:numFmt w:val="bullet"/>
      <w:lvlText w:val="$"/>
      <w:legacy w:legacy="1" w:legacySpace="0" w:legacyIndent="540"/>
      <w:lvlJc w:val="left"/>
      <w:pPr>
        <w:ind w:left="1620" w:hanging="540"/>
      </w:pPr>
      <w:rPr>
        <w:rFonts w:ascii="WP TypographicSymbols" w:hAnsi="WP TypographicSymbol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C414EFE"/>
    <w:multiLevelType w:val="hybridMultilevel"/>
    <w:tmpl w:val="1AF453C0"/>
    <w:lvl w:ilvl="0" w:tplc="3D14B534">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214BB"/>
    <w:multiLevelType w:val="hybridMultilevel"/>
    <w:tmpl w:val="06A89E50"/>
    <w:lvl w:ilvl="0" w:tplc="3C2CD1BE">
      <w:numFmt w:val="bullet"/>
      <w:lvlText w:val="$"/>
      <w:legacy w:legacy="1" w:legacySpace="0" w:legacyIndent="540"/>
      <w:lvlJc w:val="left"/>
      <w:pPr>
        <w:ind w:left="1080" w:hanging="54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43AFE"/>
    <w:multiLevelType w:val="hybridMultilevel"/>
    <w:tmpl w:val="32EA9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6"/>
  </w:num>
  <w:num w:numId="7">
    <w:abstractNumId w:val="12"/>
  </w:num>
  <w:num w:numId="8">
    <w:abstractNumId w:val="2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8"/>
    <w:lvlOverride w:ilvl="0">
      <w:startOverride w:val="1"/>
    </w:lvlOverride>
  </w:num>
  <w:num w:numId="28">
    <w:abstractNumId w:val="3"/>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8"/>
    <w:lvlOverride w:ilvl="0">
      <w:startOverride w:val="1"/>
    </w:lvlOverride>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03"/>
    <w:rsid w:val="00007B88"/>
    <w:rsid w:val="00017513"/>
    <w:rsid w:val="000305F8"/>
    <w:rsid w:val="00031435"/>
    <w:rsid w:val="00035BEE"/>
    <w:rsid w:val="00040A1D"/>
    <w:rsid w:val="0004519F"/>
    <w:rsid w:val="00046041"/>
    <w:rsid w:val="000518F8"/>
    <w:rsid w:val="0005225C"/>
    <w:rsid w:val="00053FCA"/>
    <w:rsid w:val="000555BA"/>
    <w:rsid w:val="00055B32"/>
    <w:rsid w:val="00055C4D"/>
    <w:rsid w:val="000565FC"/>
    <w:rsid w:val="000761CD"/>
    <w:rsid w:val="0007785B"/>
    <w:rsid w:val="000820F2"/>
    <w:rsid w:val="00084949"/>
    <w:rsid w:val="000A4317"/>
    <w:rsid w:val="000A691C"/>
    <w:rsid w:val="000C31E5"/>
    <w:rsid w:val="000C3803"/>
    <w:rsid w:val="000C3BDD"/>
    <w:rsid w:val="000C508A"/>
    <w:rsid w:val="000D18DB"/>
    <w:rsid w:val="000E00ED"/>
    <w:rsid w:val="000E149A"/>
    <w:rsid w:val="000E4B03"/>
    <w:rsid w:val="001004D7"/>
    <w:rsid w:val="00100DAD"/>
    <w:rsid w:val="001022CA"/>
    <w:rsid w:val="0010248A"/>
    <w:rsid w:val="00120EF7"/>
    <w:rsid w:val="0012223F"/>
    <w:rsid w:val="0014736D"/>
    <w:rsid w:val="00162C44"/>
    <w:rsid w:val="00171A1C"/>
    <w:rsid w:val="00172CE6"/>
    <w:rsid w:val="001753AF"/>
    <w:rsid w:val="001761F9"/>
    <w:rsid w:val="0018462C"/>
    <w:rsid w:val="00186998"/>
    <w:rsid w:val="00186A64"/>
    <w:rsid w:val="001A3D27"/>
    <w:rsid w:val="001A4C53"/>
    <w:rsid w:val="001B24C5"/>
    <w:rsid w:val="001C1905"/>
    <w:rsid w:val="001C2EB6"/>
    <w:rsid w:val="001C50A7"/>
    <w:rsid w:val="001E53E1"/>
    <w:rsid w:val="001F0D99"/>
    <w:rsid w:val="001F5F4C"/>
    <w:rsid w:val="001F6311"/>
    <w:rsid w:val="00205A23"/>
    <w:rsid w:val="00213F81"/>
    <w:rsid w:val="00215569"/>
    <w:rsid w:val="0022446F"/>
    <w:rsid w:val="002371A9"/>
    <w:rsid w:val="00242057"/>
    <w:rsid w:val="0025058E"/>
    <w:rsid w:val="00255218"/>
    <w:rsid w:val="002620D5"/>
    <w:rsid w:val="00270419"/>
    <w:rsid w:val="0028425D"/>
    <w:rsid w:val="002844A5"/>
    <w:rsid w:val="00294DD6"/>
    <w:rsid w:val="002A621C"/>
    <w:rsid w:val="002B4369"/>
    <w:rsid w:val="002C24C6"/>
    <w:rsid w:val="002C3DB4"/>
    <w:rsid w:val="002C5550"/>
    <w:rsid w:val="002D0D7D"/>
    <w:rsid w:val="002E1DD2"/>
    <w:rsid w:val="002E33CB"/>
    <w:rsid w:val="002E6B70"/>
    <w:rsid w:val="002F057C"/>
    <w:rsid w:val="002F2AEA"/>
    <w:rsid w:val="003033B3"/>
    <w:rsid w:val="0031178C"/>
    <w:rsid w:val="00323C9F"/>
    <w:rsid w:val="00325E73"/>
    <w:rsid w:val="00333318"/>
    <w:rsid w:val="00351E44"/>
    <w:rsid w:val="00376DCF"/>
    <w:rsid w:val="00391E84"/>
    <w:rsid w:val="003A06A9"/>
    <w:rsid w:val="003A3A09"/>
    <w:rsid w:val="003C10A0"/>
    <w:rsid w:val="003C1C2A"/>
    <w:rsid w:val="003D1CDD"/>
    <w:rsid w:val="003D6CA1"/>
    <w:rsid w:val="003E0329"/>
    <w:rsid w:val="003E7182"/>
    <w:rsid w:val="003F2976"/>
    <w:rsid w:val="003F4513"/>
    <w:rsid w:val="0040654A"/>
    <w:rsid w:val="004073D4"/>
    <w:rsid w:val="00417712"/>
    <w:rsid w:val="00417760"/>
    <w:rsid w:val="00432091"/>
    <w:rsid w:val="00437BC1"/>
    <w:rsid w:val="00443C2B"/>
    <w:rsid w:val="00444E92"/>
    <w:rsid w:val="00445EA7"/>
    <w:rsid w:val="00496336"/>
    <w:rsid w:val="004A1FC0"/>
    <w:rsid w:val="004A6825"/>
    <w:rsid w:val="004B0441"/>
    <w:rsid w:val="004C0B37"/>
    <w:rsid w:val="004C1120"/>
    <w:rsid w:val="004C4CD7"/>
    <w:rsid w:val="004C6760"/>
    <w:rsid w:val="004D54B8"/>
    <w:rsid w:val="004E1FE1"/>
    <w:rsid w:val="004E6271"/>
    <w:rsid w:val="004F57EB"/>
    <w:rsid w:val="004F7BAA"/>
    <w:rsid w:val="00502D77"/>
    <w:rsid w:val="005034CC"/>
    <w:rsid w:val="005072E4"/>
    <w:rsid w:val="00520074"/>
    <w:rsid w:val="00524E7B"/>
    <w:rsid w:val="00526A63"/>
    <w:rsid w:val="0053217C"/>
    <w:rsid w:val="005367A0"/>
    <w:rsid w:val="0054627E"/>
    <w:rsid w:val="00551070"/>
    <w:rsid w:val="00560852"/>
    <w:rsid w:val="00562A9E"/>
    <w:rsid w:val="005676F4"/>
    <w:rsid w:val="00571192"/>
    <w:rsid w:val="00575271"/>
    <w:rsid w:val="00590EAD"/>
    <w:rsid w:val="00591597"/>
    <w:rsid w:val="00595D4C"/>
    <w:rsid w:val="0059610E"/>
    <w:rsid w:val="005A1C45"/>
    <w:rsid w:val="005B01DE"/>
    <w:rsid w:val="005B2B53"/>
    <w:rsid w:val="005B6880"/>
    <w:rsid w:val="005C490C"/>
    <w:rsid w:val="005D5E66"/>
    <w:rsid w:val="005E6842"/>
    <w:rsid w:val="006069DE"/>
    <w:rsid w:val="0061760F"/>
    <w:rsid w:val="00623958"/>
    <w:rsid w:val="0065014B"/>
    <w:rsid w:val="00696352"/>
    <w:rsid w:val="006A385C"/>
    <w:rsid w:val="006A6235"/>
    <w:rsid w:val="006A6A00"/>
    <w:rsid w:val="006B3BB8"/>
    <w:rsid w:val="006B500E"/>
    <w:rsid w:val="006B5BB3"/>
    <w:rsid w:val="006C0E9E"/>
    <w:rsid w:val="006C1B3D"/>
    <w:rsid w:val="006D33C9"/>
    <w:rsid w:val="006D6CE7"/>
    <w:rsid w:val="006E213E"/>
    <w:rsid w:val="006E2FB2"/>
    <w:rsid w:val="006E6D8C"/>
    <w:rsid w:val="00702C22"/>
    <w:rsid w:val="007212F1"/>
    <w:rsid w:val="00735064"/>
    <w:rsid w:val="0073672C"/>
    <w:rsid w:val="00752C9C"/>
    <w:rsid w:val="00767388"/>
    <w:rsid w:val="00783BDA"/>
    <w:rsid w:val="00785DF9"/>
    <w:rsid w:val="007A4E1E"/>
    <w:rsid w:val="007B0DCF"/>
    <w:rsid w:val="007B1ABC"/>
    <w:rsid w:val="007B3811"/>
    <w:rsid w:val="007C29ED"/>
    <w:rsid w:val="007C4DC9"/>
    <w:rsid w:val="007E44A6"/>
    <w:rsid w:val="007F06CD"/>
    <w:rsid w:val="007F1DA8"/>
    <w:rsid w:val="007F5A09"/>
    <w:rsid w:val="00800254"/>
    <w:rsid w:val="00816CDE"/>
    <w:rsid w:val="00821FCC"/>
    <w:rsid w:val="008228BC"/>
    <w:rsid w:val="00824BA5"/>
    <w:rsid w:val="00826987"/>
    <w:rsid w:val="008320CD"/>
    <w:rsid w:val="00840C3B"/>
    <w:rsid w:val="00842C24"/>
    <w:rsid w:val="00843BBC"/>
    <w:rsid w:val="008636A7"/>
    <w:rsid w:val="00881B2E"/>
    <w:rsid w:val="008852D1"/>
    <w:rsid w:val="00895D80"/>
    <w:rsid w:val="008A1B0E"/>
    <w:rsid w:val="008B06AC"/>
    <w:rsid w:val="008B1408"/>
    <w:rsid w:val="008B17FE"/>
    <w:rsid w:val="008B2689"/>
    <w:rsid w:val="008B5287"/>
    <w:rsid w:val="008B6D00"/>
    <w:rsid w:val="008E2784"/>
    <w:rsid w:val="008F415A"/>
    <w:rsid w:val="009060A3"/>
    <w:rsid w:val="009143AB"/>
    <w:rsid w:val="00922482"/>
    <w:rsid w:val="00932CD8"/>
    <w:rsid w:val="00942CB8"/>
    <w:rsid w:val="009441D0"/>
    <w:rsid w:val="00950908"/>
    <w:rsid w:val="0095551C"/>
    <w:rsid w:val="00967881"/>
    <w:rsid w:val="00975ABC"/>
    <w:rsid w:val="00985B62"/>
    <w:rsid w:val="009972C2"/>
    <w:rsid w:val="009978E8"/>
    <w:rsid w:val="009A172C"/>
    <w:rsid w:val="009B3CCB"/>
    <w:rsid w:val="009B5A4A"/>
    <w:rsid w:val="009C4CA5"/>
    <w:rsid w:val="009D0516"/>
    <w:rsid w:val="009D19BE"/>
    <w:rsid w:val="009D1E41"/>
    <w:rsid w:val="009D2A71"/>
    <w:rsid w:val="009D7598"/>
    <w:rsid w:val="009E1DC3"/>
    <w:rsid w:val="009E4048"/>
    <w:rsid w:val="009E48DC"/>
    <w:rsid w:val="009E7940"/>
    <w:rsid w:val="00A019F7"/>
    <w:rsid w:val="00A03920"/>
    <w:rsid w:val="00A06D2D"/>
    <w:rsid w:val="00A10192"/>
    <w:rsid w:val="00A1029B"/>
    <w:rsid w:val="00A17AA5"/>
    <w:rsid w:val="00A22682"/>
    <w:rsid w:val="00A35ED0"/>
    <w:rsid w:val="00A37EE1"/>
    <w:rsid w:val="00A40686"/>
    <w:rsid w:val="00A5334F"/>
    <w:rsid w:val="00A6508E"/>
    <w:rsid w:val="00A653D5"/>
    <w:rsid w:val="00A67E19"/>
    <w:rsid w:val="00A73F37"/>
    <w:rsid w:val="00A74B6A"/>
    <w:rsid w:val="00A77657"/>
    <w:rsid w:val="00A8325D"/>
    <w:rsid w:val="00A87F40"/>
    <w:rsid w:val="00A90793"/>
    <w:rsid w:val="00AB45D9"/>
    <w:rsid w:val="00AC1D56"/>
    <w:rsid w:val="00AC4A01"/>
    <w:rsid w:val="00AD42A3"/>
    <w:rsid w:val="00AD570E"/>
    <w:rsid w:val="00AD6C6E"/>
    <w:rsid w:val="00AE13A8"/>
    <w:rsid w:val="00AF6E5C"/>
    <w:rsid w:val="00AF7147"/>
    <w:rsid w:val="00B0746A"/>
    <w:rsid w:val="00B117C1"/>
    <w:rsid w:val="00B1328D"/>
    <w:rsid w:val="00B14722"/>
    <w:rsid w:val="00B25009"/>
    <w:rsid w:val="00B51ABF"/>
    <w:rsid w:val="00B639C0"/>
    <w:rsid w:val="00B67993"/>
    <w:rsid w:val="00B92B4D"/>
    <w:rsid w:val="00B952DB"/>
    <w:rsid w:val="00B977BC"/>
    <w:rsid w:val="00BB0E79"/>
    <w:rsid w:val="00BC65EA"/>
    <w:rsid w:val="00BD2462"/>
    <w:rsid w:val="00BD2D5A"/>
    <w:rsid w:val="00BE1CAE"/>
    <w:rsid w:val="00BE2F94"/>
    <w:rsid w:val="00BE3AB3"/>
    <w:rsid w:val="00BE47A3"/>
    <w:rsid w:val="00BF20EE"/>
    <w:rsid w:val="00BF41AF"/>
    <w:rsid w:val="00BF570D"/>
    <w:rsid w:val="00C15D23"/>
    <w:rsid w:val="00C21AFC"/>
    <w:rsid w:val="00C23862"/>
    <w:rsid w:val="00C247FF"/>
    <w:rsid w:val="00C33A37"/>
    <w:rsid w:val="00C34556"/>
    <w:rsid w:val="00C34B1D"/>
    <w:rsid w:val="00C37E1F"/>
    <w:rsid w:val="00C4471F"/>
    <w:rsid w:val="00C46F6B"/>
    <w:rsid w:val="00C53BC1"/>
    <w:rsid w:val="00C648D5"/>
    <w:rsid w:val="00C66C8D"/>
    <w:rsid w:val="00C8062E"/>
    <w:rsid w:val="00C80E3F"/>
    <w:rsid w:val="00C838D9"/>
    <w:rsid w:val="00C86E27"/>
    <w:rsid w:val="00C972E4"/>
    <w:rsid w:val="00C97D06"/>
    <w:rsid w:val="00CA072A"/>
    <w:rsid w:val="00CA72ED"/>
    <w:rsid w:val="00CC7DCC"/>
    <w:rsid w:val="00CF34E4"/>
    <w:rsid w:val="00D02F00"/>
    <w:rsid w:val="00D1448F"/>
    <w:rsid w:val="00D20833"/>
    <w:rsid w:val="00D208C2"/>
    <w:rsid w:val="00D21BB6"/>
    <w:rsid w:val="00D25A7C"/>
    <w:rsid w:val="00D34FC2"/>
    <w:rsid w:val="00D42A6F"/>
    <w:rsid w:val="00D43751"/>
    <w:rsid w:val="00D540EE"/>
    <w:rsid w:val="00D763E6"/>
    <w:rsid w:val="00D80515"/>
    <w:rsid w:val="00D8462A"/>
    <w:rsid w:val="00D94757"/>
    <w:rsid w:val="00D94C17"/>
    <w:rsid w:val="00D96E3B"/>
    <w:rsid w:val="00DA1DB3"/>
    <w:rsid w:val="00DC6716"/>
    <w:rsid w:val="00DC7A32"/>
    <w:rsid w:val="00DD5A90"/>
    <w:rsid w:val="00DE5148"/>
    <w:rsid w:val="00DF1C21"/>
    <w:rsid w:val="00E01583"/>
    <w:rsid w:val="00E13862"/>
    <w:rsid w:val="00E1514B"/>
    <w:rsid w:val="00E178F7"/>
    <w:rsid w:val="00E204F6"/>
    <w:rsid w:val="00E32BA3"/>
    <w:rsid w:val="00E565A2"/>
    <w:rsid w:val="00E57A34"/>
    <w:rsid w:val="00E64E08"/>
    <w:rsid w:val="00E712EB"/>
    <w:rsid w:val="00E773DE"/>
    <w:rsid w:val="00E7791F"/>
    <w:rsid w:val="00E801D4"/>
    <w:rsid w:val="00E80378"/>
    <w:rsid w:val="00E97769"/>
    <w:rsid w:val="00EA5573"/>
    <w:rsid w:val="00EE579F"/>
    <w:rsid w:val="00EE71CB"/>
    <w:rsid w:val="00EF0337"/>
    <w:rsid w:val="00F119E5"/>
    <w:rsid w:val="00F13C17"/>
    <w:rsid w:val="00F16F09"/>
    <w:rsid w:val="00F2621C"/>
    <w:rsid w:val="00F32DB7"/>
    <w:rsid w:val="00F33F49"/>
    <w:rsid w:val="00F3778C"/>
    <w:rsid w:val="00F60107"/>
    <w:rsid w:val="00F625C7"/>
    <w:rsid w:val="00F63D2B"/>
    <w:rsid w:val="00F64A7B"/>
    <w:rsid w:val="00F71805"/>
    <w:rsid w:val="00F773F7"/>
    <w:rsid w:val="00F936A4"/>
    <w:rsid w:val="00F962B5"/>
    <w:rsid w:val="00FB7196"/>
    <w:rsid w:val="00FC3085"/>
    <w:rsid w:val="00FC7A34"/>
    <w:rsid w:val="00FD1A06"/>
    <w:rsid w:val="00FD6555"/>
    <w:rsid w:val="00FF33D5"/>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33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CB8"/>
    <w:rPr>
      <w:sz w:val="24"/>
      <w:szCs w:val="24"/>
    </w:rPr>
  </w:style>
  <w:style w:type="paragraph" w:styleId="Heading1">
    <w:name w:val="heading 1"/>
    <w:next w:val="BodyText"/>
    <w:link w:val="Heading1Char"/>
    <w:qFormat/>
    <w:rsid w:val="00A653D5"/>
    <w:pPr>
      <w:keepNext/>
      <w:spacing w:before="480" w:after="120"/>
      <w:outlineLvl w:val="0"/>
    </w:pPr>
    <w:rPr>
      <w:rFonts w:ascii="Georgia" w:eastAsiaTheme="majorEastAsia" w:hAnsi="Georgia" w:cstheme="majorBidi"/>
      <w:b/>
      <w:bCs/>
      <w:kern w:val="32"/>
      <w:sz w:val="24"/>
      <w:szCs w:val="32"/>
    </w:rPr>
  </w:style>
  <w:style w:type="paragraph" w:styleId="Heading2">
    <w:name w:val="heading 2"/>
    <w:basedOn w:val="Normal"/>
    <w:next w:val="Normal"/>
    <w:link w:val="Heading2Char"/>
    <w:unhideWhenUsed/>
    <w:qFormat/>
    <w:rsid w:val="000305F8"/>
    <w:pPr>
      <w:keepNext/>
      <w:spacing w:before="240" w:after="120"/>
      <w:outlineLvl w:val="1"/>
    </w:pPr>
    <w:rPr>
      <w:rFonts w:ascii="Georgia" w:eastAsiaTheme="majorEastAsia" w:hAnsi="Georgia" w:cstheme="majorBidi"/>
      <w:b/>
      <w:bCs/>
      <w:iCs/>
      <w:sz w:val="22"/>
      <w:szCs w:val="28"/>
    </w:rPr>
  </w:style>
  <w:style w:type="paragraph" w:styleId="Heading3">
    <w:name w:val="heading 3"/>
    <w:basedOn w:val="Normal"/>
    <w:next w:val="Normal"/>
    <w:link w:val="Heading3Char"/>
    <w:unhideWhenUsed/>
    <w:qFormat/>
    <w:rsid w:val="00A73F37"/>
    <w:pPr>
      <w:keepNext/>
      <w:keepLines/>
      <w:spacing w:before="200"/>
      <w:jc w:val="center"/>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A6508E"/>
    <w:pPr>
      <w:keepNext/>
      <w:keepLines/>
      <w:spacing w:before="200"/>
      <w:outlineLvl w:val="3"/>
    </w:pPr>
    <w:rPr>
      <w:rFonts w:ascii="Georgia" w:eastAsiaTheme="majorEastAsia" w:hAnsi="Georg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E5148"/>
    <w:pPr>
      <w:tabs>
        <w:tab w:val="center" w:pos="4320"/>
        <w:tab w:val="right" w:pos="8640"/>
      </w:tabs>
    </w:pPr>
    <w:rPr>
      <w:sz w:val="24"/>
      <w:szCs w:val="24"/>
    </w:rPr>
  </w:style>
  <w:style w:type="paragraph" w:styleId="Footer">
    <w:name w:val="footer"/>
    <w:rsid w:val="00DE5148"/>
    <w:pPr>
      <w:tabs>
        <w:tab w:val="center" w:pos="4320"/>
        <w:tab w:val="right" w:pos="8640"/>
      </w:tabs>
    </w:pPr>
    <w:rPr>
      <w:rFonts w:ascii="Verdana" w:hAnsi="Verdana"/>
      <w:szCs w:val="24"/>
    </w:rPr>
  </w:style>
  <w:style w:type="character" w:styleId="PageNumber">
    <w:name w:val="page number"/>
    <w:basedOn w:val="DefaultParagraphFont"/>
    <w:rsid w:val="000E4B03"/>
  </w:style>
  <w:style w:type="character" w:styleId="Hyperlink">
    <w:name w:val="Hyperlink"/>
    <w:basedOn w:val="DefaultParagraphFont"/>
    <w:uiPriority w:val="99"/>
    <w:rsid w:val="000E4B03"/>
    <w:rPr>
      <w:color w:val="0000FF"/>
      <w:u w:val="single"/>
    </w:rPr>
  </w:style>
  <w:style w:type="paragraph" w:styleId="BalloonText">
    <w:name w:val="Balloon Text"/>
    <w:basedOn w:val="Normal"/>
    <w:link w:val="BalloonTextChar"/>
    <w:rsid w:val="00DE5148"/>
    <w:rPr>
      <w:rFonts w:ascii="Tahoma" w:hAnsi="Tahoma" w:cs="Tahoma"/>
      <w:sz w:val="16"/>
      <w:szCs w:val="16"/>
    </w:rPr>
  </w:style>
  <w:style w:type="table" w:styleId="TableGrid">
    <w:name w:val="Table Grid"/>
    <w:basedOn w:val="TableNormal"/>
    <w:rsid w:val="00DE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25009"/>
    <w:rPr>
      <w:sz w:val="20"/>
      <w:szCs w:val="20"/>
    </w:rPr>
  </w:style>
  <w:style w:type="character" w:styleId="FootnoteReference">
    <w:name w:val="footnote reference"/>
    <w:basedOn w:val="DefaultParagraphFont"/>
    <w:semiHidden/>
    <w:rsid w:val="00B25009"/>
    <w:rPr>
      <w:vertAlign w:val="superscript"/>
    </w:rPr>
  </w:style>
  <w:style w:type="character" w:styleId="FollowedHyperlink">
    <w:name w:val="FollowedHyperlink"/>
    <w:basedOn w:val="DefaultParagraphFont"/>
    <w:rsid w:val="00AD6C6E"/>
    <w:rPr>
      <w:color w:val="800080"/>
      <w:u w:val="single"/>
    </w:rPr>
  </w:style>
  <w:style w:type="paragraph" w:styleId="Title">
    <w:name w:val="Title"/>
    <w:next w:val="Heading1"/>
    <w:link w:val="TitleChar"/>
    <w:qFormat/>
    <w:rsid w:val="00E565A2"/>
    <w:pPr>
      <w:spacing w:after="1080"/>
      <w:jc w:val="center"/>
    </w:pPr>
    <w:rPr>
      <w:rFonts w:ascii="Georgia" w:eastAsiaTheme="majorEastAsia" w:hAnsi="Georgia" w:cstheme="majorBidi"/>
      <w:b/>
      <w:bCs/>
      <w:kern w:val="28"/>
      <w:sz w:val="28"/>
      <w:szCs w:val="32"/>
    </w:rPr>
  </w:style>
  <w:style w:type="character" w:customStyle="1" w:styleId="TitleChar">
    <w:name w:val="Title Char"/>
    <w:basedOn w:val="DefaultParagraphFont"/>
    <w:link w:val="Title"/>
    <w:rsid w:val="00E565A2"/>
    <w:rPr>
      <w:rFonts w:ascii="Georgia" w:eastAsiaTheme="majorEastAsia" w:hAnsi="Georgia" w:cstheme="majorBidi"/>
      <w:b/>
      <w:bCs/>
      <w:kern w:val="28"/>
      <w:sz w:val="28"/>
      <w:szCs w:val="32"/>
    </w:rPr>
  </w:style>
  <w:style w:type="paragraph" w:styleId="Subtitle">
    <w:name w:val="Subtitle"/>
    <w:basedOn w:val="Normal"/>
    <w:next w:val="Normal"/>
    <w:link w:val="SubtitleChar"/>
    <w:qFormat/>
    <w:rsid w:val="00E7791F"/>
    <w:pPr>
      <w:spacing w:after="240"/>
      <w:jc w:val="center"/>
      <w:outlineLvl w:val="1"/>
    </w:pPr>
    <w:rPr>
      <w:rFonts w:ascii="Georgia" w:eastAsiaTheme="majorEastAsia" w:hAnsi="Georgia" w:cstheme="majorBidi"/>
      <w:b/>
    </w:rPr>
  </w:style>
  <w:style w:type="character" w:customStyle="1" w:styleId="SubtitleChar">
    <w:name w:val="Subtitle Char"/>
    <w:basedOn w:val="DefaultParagraphFont"/>
    <w:link w:val="Subtitle"/>
    <w:rsid w:val="00E7791F"/>
    <w:rPr>
      <w:rFonts w:ascii="Georgia" w:eastAsiaTheme="majorEastAsia" w:hAnsi="Georgia" w:cstheme="majorBidi"/>
      <w:b/>
      <w:sz w:val="24"/>
      <w:szCs w:val="24"/>
    </w:rPr>
  </w:style>
  <w:style w:type="paragraph" w:styleId="BodyText">
    <w:name w:val="Body Text"/>
    <w:link w:val="BodyTextChar"/>
    <w:rsid w:val="00551070"/>
    <w:pPr>
      <w:spacing w:before="120" w:after="120"/>
    </w:pPr>
    <w:rPr>
      <w:rFonts w:ascii="Georgia" w:hAnsi="Georgia"/>
      <w:sz w:val="22"/>
      <w:szCs w:val="24"/>
    </w:rPr>
  </w:style>
  <w:style w:type="character" w:customStyle="1" w:styleId="BodyTextChar">
    <w:name w:val="Body Text Char"/>
    <w:basedOn w:val="DefaultParagraphFont"/>
    <w:link w:val="BodyText"/>
    <w:rsid w:val="00551070"/>
    <w:rPr>
      <w:rFonts w:ascii="Georgia" w:hAnsi="Georgia"/>
      <w:sz w:val="22"/>
      <w:szCs w:val="24"/>
    </w:rPr>
  </w:style>
  <w:style w:type="paragraph" w:styleId="BodyTextFirstIndent">
    <w:name w:val="Body Text First Indent"/>
    <w:basedOn w:val="BodyText"/>
    <w:link w:val="BodyTextFirstIndentChar"/>
    <w:rsid w:val="00FD1A06"/>
    <w:pPr>
      <w:ind w:left="720"/>
    </w:pPr>
    <w:rPr>
      <w:szCs w:val="22"/>
    </w:rPr>
  </w:style>
  <w:style w:type="character" w:customStyle="1" w:styleId="BodyTextFirstIndentChar">
    <w:name w:val="Body Text First Indent Char"/>
    <w:basedOn w:val="BodyTextChar"/>
    <w:link w:val="BodyTextFirstIndent"/>
    <w:rsid w:val="00FD1A06"/>
    <w:rPr>
      <w:rFonts w:ascii="Georgia" w:hAnsi="Georgia"/>
      <w:sz w:val="22"/>
      <w:szCs w:val="22"/>
    </w:rPr>
  </w:style>
  <w:style w:type="paragraph" w:styleId="ListBullet2">
    <w:name w:val="List Bullet 2"/>
    <w:basedOn w:val="BodyText"/>
    <w:rsid w:val="00FD1A06"/>
    <w:pPr>
      <w:numPr>
        <w:numId w:val="17"/>
      </w:numPr>
      <w:spacing w:line="276" w:lineRule="auto"/>
      <w:ind w:left="1440"/>
      <w:contextualSpacing/>
    </w:pPr>
  </w:style>
  <w:style w:type="paragraph" w:styleId="ListNumber">
    <w:name w:val="List Number"/>
    <w:basedOn w:val="BodyText"/>
    <w:rsid w:val="00967881"/>
    <w:pPr>
      <w:keepNext/>
      <w:numPr>
        <w:numId w:val="33"/>
      </w:numPr>
      <w:tabs>
        <w:tab w:val="clear" w:pos="2700"/>
        <w:tab w:val="num" w:pos="360"/>
      </w:tabs>
      <w:spacing w:before="360"/>
      <w:ind w:left="360"/>
      <w:outlineLvl w:val="1"/>
    </w:pPr>
    <w:rPr>
      <w:b/>
    </w:rPr>
  </w:style>
  <w:style w:type="paragraph" w:styleId="ListContinue">
    <w:name w:val="List Continue"/>
    <w:basedOn w:val="ListNumber"/>
    <w:rsid w:val="00967881"/>
    <w:pPr>
      <w:keepNext w:val="0"/>
      <w:numPr>
        <w:numId w:val="0"/>
      </w:numPr>
      <w:spacing w:before="0"/>
      <w:ind w:left="360"/>
      <w:outlineLvl w:val="9"/>
    </w:pPr>
    <w:rPr>
      <w:b w:val="0"/>
    </w:rPr>
  </w:style>
  <w:style w:type="character" w:styleId="Strong">
    <w:name w:val="Strong"/>
    <w:basedOn w:val="DefaultParagraphFont"/>
    <w:qFormat/>
    <w:rsid w:val="00DE5148"/>
    <w:rPr>
      <w:b/>
      <w:bCs/>
    </w:rPr>
  </w:style>
  <w:style w:type="character" w:styleId="Emphasis">
    <w:name w:val="Emphasis"/>
    <w:basedOn w:val="DefaultParagraphFont"/>
    <w:qFormat/>
    <w:rsid w:val="00DE5148"/>
    <w:rPr>
      <w:i/>
      <w:iCs/>
    </w:rPr>
  </w:style>
  <w:style w:type="paragraph" w:styleId="ListContinue5">
    <w:name w:val="List Continue 5"/>
    <w:basedOn w:val="Normal"/>
    <w:rsid w:val="00842C24"/>
    <w:pPr>
      <w:spacing w:after="120"/>
      <w:ind w:left="1800"/>
      <w:contextualSpacing/>
    </w:pPr>
  </w:style>
  <w:style w:type="paragraph" w:styleId="BodyTextIndent">
    <w:name w:val="Body Text Indent"/>
    <w:basedOn w:val="Normal"/>
    <w:link w:val="BodyTextIndentChar"/>
    <w:rsid w:val="00842C24"/>
    <w:pPr>
      <w:spacing w:after="240"/>
      <w:ind w:left="1440"/>
    </w:pPr>
    <w:rPr>
      <w:rFonts w:ascii="Georgia" w:hAnsi="Georgia"/>
      <w:sz w:val="22"/>
    </w:rPr>
  </w:style>
  <w:style w:type="character" w:customStyle="1" w:styleId="BodyTextIndentChar">
    <w:name w:val="Body Text Indent Char"/>
    <w:basedOn w:val="DefaultParagraphFont"/>
    <w:link w:val="BodyTextIndent"/>
    <w:rsid w:val="00842C24"/>
    <w:rPr>
      <w:rFonts w:ascii="Georgia" w:hAnsi="Georgia"/>
      <w:sz w:val="22"/>
      <w:szCs w:val="24"/>
    </w:rPr>
  </w:style>
  <w:style w:type="paragraph" w:styleId="ListBullet">
    <w:name w:val="List Bullet"/>
    <w:basedOn w:val="Normal"/>
    <w:rsid w:val="00F64A7B"/>
    <w:pPr>
      <w:numPr>
        <w:numId w:val="16"/>
      </w:numPr>
      <w:spacing w:before="120" w:after="120"/>
      <w:ind w:left="720"/>
    </w:pPr>
    <w:rPr>
      <w:rFonts w:ascii="Georgia" w:hAnsi="Georgia"/>
      <w:sz w:val="22"/>
    </w:rPr>
  </w:style>
  <w:style w:type="paragraph" w:customStyle="1" w:styleId="TableHeadings">
    <w:name w:val="Table Headings"/>
    <w:qFormat/>
    <w:rsid w:val="00DE5148"/>
    <w:pPr>
      <w:jc w:val="center"/>
    </w:pPr>
    <w:rPr>
      <w:rFonts w:ascii="Verdana" w:hAnsi="Verdana"/>
      <w:b/>
      <w:sz w:val="22"/>
      <w:szCs w:val="22"/>
    </w:rPr>
  </w:style>
  <w:style w:type="paragraph" w:customStyle="1" w:styleId="TableData">
    <w:name w:val="Table Data"/>
    <w:basedOn w:val="TableHeadings"/>
    <w:uiPriority w:val="99"/>
    <w:qFormat/>
    <w:rsid w:val="00CA072A"/>
    <w:pPr>
      <w:ind w:left="288" w:hanging="288"/>
      <w:jc w:val="left"/>
    </w:pPr>
    <w:rPr>
      <w:rFonts w:ascii="Georgia" w:hAnsi="Georgia"/>
      <w:b w:val="0"/>
    </w:rPr>
  </w:style>
  <w:style w:type="character" w:customStyle="1" w:styleId="Heading2Char">
    <w:name w:val="Heading 2 Char"/>
    <w:basedOn w:val="DefaultParagraphFont"/>
    <w:link w:val="Heading2"/>
    <w:rsid w:val="000305F8"/>
    <w:rPr>
      <w:rFonts w:ascii="Georgia" w:eastAsiaTheme="majorEastAsia" w:hAnsi="Georgia" w:cstheme="majorBidi"/>
      <w:b/>
      <w:bCs/>
      <w:iCs/>
      <w:sz w:val="22"/>
      <w:szCs w:val="28"/>
    </w:rPr>
  </w:style>
  <w:style w:type="character" w:customStyle="1" w:styleId="Heading1Char">
    <w:name w:val="Heading 1 Char"/>
    <w:basedOn w:val="DefaultParagraphFont"/>
    <w:link w:val="Heading1"/>
    <w:rsid w:val="00A653D5"/>
    <w:rPr>
      <w:rFonts w:ascii="Georgia" w:eastAsiaTheme="majorEastAsia" w:hAnsi="Georgia" w:cstheme="majorBidi"/>
      <w:b/>
      <w:bCs/>
      <w:kern w:val="32"/>
      <w:sz w:val="24"/>
      <w:szCs w:val="32"/>
    </w:rPr>
  </w:style>
  <w:style w:type="paragraph" w:styleId="DocumentMap">
    <w:name w:val="Document Map"/>
    <w:basedOn w:val="Normal"/>
    <w:link w:val="DocumentMapChar"/>
    <w:rsid w:val="00DE5148"/>
    <w:rPr>
      <w:rFonts w:ascii="Tahoma" w:hAnsi="Tahoma" w:cs="Tahoma"/>
      <w:sz w:val="16"/>
      <w:szCs w:val="16"/>
    </w:rPr>
  </w:style>
  <w:style w:type="character" w:customStyle="1" w:styleId="DocumentMapChar">
    <w:name w:val="Document Map Char"/>
    <w:basedOn w:val="DefaultParagraphFont"/>
    <w:link w:val="DocumentMap"/>
    <w:rsid w:val="00DE5148"/>
    <w:rPr>
      <w:rFonts w:ascii="Tahoma" w:hAnsi="Tahoma" w:cs="Tahoma"/>
      <w:sz w:val="16"/>
      <w:szCs w:val="16"/>
    </w:rPr>
  </w:style>
  <w:style w:type="paragraph" w:styleId="BodyText2">
    <w:name w:val="Body Text 2"/>
    <w:basedOn w:val="BodyText"/>
    <w:link w:val="BodyText2Char"/>
    <w:rsid w:val="00CA72ED"/>
    <w:pPr>
      <w:spacing w:before="360" w:after="0" w:line="480" w:lineRule="auto"/>
      <w:ind w:left="907" w:hanging="907"/>
    </w:pPr>
    <w:rPr>
      <w:b/>
    </w:rPr>
  </w:style>
  <w:style w:type="character" w:customStyle="1" w:styleId="BodyText2Char">
    <w:name w:val="Body Text 2 Char"/>
    <w:basedOn w:val="DefaultParagraphFont"/>
    <w:link w:val="BodyText2"/>
    <w:rsid w:val="00CA72ED"/>
    <w:rPr>
      <w:rFonts w:ascii="Georgia" w:hAnsi="Georgia"/>
      <w:b/>
      <w:sz w:val="22"/>
      <w:szCs w:val="24"/>
    </w:rPr>
  </w:style>
  <w:style w:type="paragraph" w:styleId="List">
    <w:name w:val="List"/>
    <w:basedOn w:val="Normal"/>
    <w:rsid w:val="00B51ABF"/>
    <w:pPr>
      <w:numPr>
        <w:numId w:val="26"/>
      </w:numPr>
      <w:spacing w:before="120" w:after="120"/>
      <w:ind w:left="360"/>
    </w:pPr>
    <w:rPr>
      <w:rFonts w:ascii="Georgia" w:hAnsi="Georgia"/>
      <w:sz w:val="22"/>
    </w:rPr>
  </w:style>
  <w:style w:type="paragraph" w:styleId="ListContinue2">
    <w:name w:val="List Continue 2"/>
    <w:basedOn w:val="ListNumber2"/>
    <w:rsid w:val="000E00ED"/>
    <w:pPr>
      <w:numPr>
        <w:numId w:val="0"/>
      </w:numPr>
      <w:ind w:left="2520" w:hanging="1800"/>
    </w:pPr>
  </w:style>
  <w:style w:type="paragraph" w:styleId="BodyText3">
    <w:name w:val="Body Text 3"/>
    <w:basedOn w:val="BodyText2"/>
    <w:link w:val="BodyText3Char"/>
    <w:rsid w:val="000E00ED"/>
    <w:pPr>
      <w:spacing w:before="120" w:after="240" w:line="240" w:lineRule="auto"/>
      <w:ind w:left="720" w:firstLine="0"/>
    </w:pPr>
    <w:rPr>
      <w:b w:val="0"/>
      <w:szCs w:val="16"/>
    </w:rPr>
  </w:style>
  <w:style w:type="character" w:customStyle="1" w:styleId="BodyText3Char">
    <w:name w:val="Body Text 3 Char"/>
    <w:basedOn w:val="DefaultParagraphFont"/>
    <w:link w:val="BodyText3"/>
    <w:rsid w:val="000E00ED"/>
    <w:rPr>
      <w:rFonts w:ascii="Georgia" w:hAnsi="Georgia"/>
      <w:sz w:val="22"/>
      <w:szCs w:val="16"/>
    </w:rPr>
  </w:style>
  <w:style w:type="paragraph" w:customStyle="1" w:styleId="PretitleAgency-Div-SectionID">
    <w:name w:val="Pretitle Agency-Div-Section ID"/>
    <w:basedOn w:val="Title"/>
    <w:qFormat/>
    <w:rsid w:val="003F4513"/>
    <w:pPr>
      <w:spacing w:before="600" w:after="120" w:line="288" w:lineRule="auto"/>
      <w:contextualSpacing/>
    </w:pPr>
    <w:rPr>
      <w:sz w:val="32"/>
    </w:rPr>
  </w:style>
  <w:style w:type="character" w:customStyle="1" w:styleId="BalloonTextChar">
    <w:name w:val="Balloon Text Char"/>
    <w:basedOn w:val="DefaultParagraphFont"/>
    <w:link w:val="BalloonText"/>
    <w:rsid w:val="00DE5148"/>
    <w:rPr>
      <w:rFonts w:ascii="Tahoma" w:hAnsi="Tahoma" w:cs="Tahoma"/>
      <w:sz w:val="16"/>
      <w:szCs w:val="16"/>
    </w:rPr>
  </w:style>
  <w:style w:type="paragraph" w:styleId="ListNumber2">
    <w:name w:val="List Number 2"/>
    <w:basedOn w:val="ListNumber"/>
    <w:rsid w:val="00FD6555"/>
    <w:pPr>
      <w:numPr>
        <w:numId w:val="32"/>
      </w:numPr>
      <w:spacing w:before="120"/>
      <w:contextualSpacing/>
    </w:pPr>
    <w:rPr>
      <w:b w:val="0"/>
    </w:rPr>
  </w:style>
  <w:style w:type="paragraph" w:styleId="ListContinue3">
    <w:name w:val="List Continue 3"/>
    <w:basedOn w:val="ListNumber3"/>
    <w:rsid w:val="00DE5148"/>
  </w:style>
  <w:style w:type="paragraph" w:styleId="BlockText">
    <w:name w:val="Block Text"/>
    <w:basedOn w:val="BodyText"/>
    <w:rsid w:val="00DE5148"/>
    <w:pPr>
      <w:ind w:left="1440" w:right="1440"/>
    </w:pPr>
  </w:style>
  <w:style w:type="paragraph" w:customStyle="1" w:styleId="Seal">
    <w:name w:val="Seal"/>
    <w:basedOn w:val="BodyText"/>
    <w:rsid w:val="00DE5148"/>
    <w:pPr>
      <w:spacing w:before="600" w:after="840"/>
      <w:jc w:val="center"/>
    </w:pPr>
    <w:rPr>
      <w:szCs w:val="22"/>
    </w:rPr>
  </w:style>
  <w:style w:type="character" w:customStyle="1" w:styleId="Superscript">
    <w:name w:val="Superscript"/>
    <w:basedOn w:val="DefaultParagraphFont"/>
    <w:qFormat/>
    <w:rsid w:val="00DE5148"/>
    <w:rPr>
      <w:vertAlign w:val="superscript"/>
    </w:rPr>
  </w:style>
  <w:style w:type="character" w:customStyle="1" w:styleId="Underline">
    <w:name w:val="Underline"/>
    <w:basedOn w:val="DefaultParagraphFont"/>
    <w:uiPriority w:val="1"/>
    <w:qFormat/>
    <w:rsid w:val="00DE5148"/>
    <w:rPr>
      <w:dstrike w:val="0"/>
      <w:u w:val="single" w:color="000000" w:themeColor="text1"/>
      <w:bdr w:val="none" w:sz="0" w:space="0" w:color="auto"/>
      <w:vertAlign w:val="baseline"/>
    </w:rPr>
  </w:style>
  <w:style w:type="paragraph" w:styleId="ListNumber3">
    <w:name w:val="List Number 3"/>
    <w:basedOn w:val="ListNumber2"/>
    <w:rsid w:val="00DE5148"/>
    <w:pPr>
      <w:numPr>
        <w:numId w:val="23"/>
      </w:numPr>
    </w:pPr>
  </w:style>
  <w:style w:type="paragraph" w:customStyle="1" w:styleId="CertificationHeadings">
    <w:name w:val="Certification Headings"/>
    <w:basedOn w:val="BodyText"/>
    <w:rsid w:val="00DE5148"/>
  </w:style>
  <w:style w:type="character" w:styleId="CommentReference">
    <w:name w:val="annotation reference"/>
    <w:basedOn w:val="DefaultParagraphFont"/>
    <w:rsid w:val="0025058E"/>
    <w:rPr>
      <w:sz w:val="16"/>
      <w:szCs w:val="16"/>
    </w:rPr>
  </w:style>
  <w:style w:type="paragraph" w:styleId="CommentText">
    <w:name w:val="annotation text"/>
    <w:basedOn w:val="Normal"/>
    <w:link w:val="CommentTextChar"/>
    <w:rsid w:val="0025058E"/>
    <w:rPr>
      <w:sz w:val="20"/>
      <w:szCs w:val="20"/>
    </w:rPr>
  </w:style>
  <w:style w:type="character" w:customStyle="1" w:styleId="CommentTextChar">
    <w:name w:val="Comment Text Char"/>
    <w:basedOn w:val="DefaultParagraphFont"/>
    <w:link w:val="CommentText"/>
    <w:rsid w:val="0025058E"/>
  </w:style>
  <w:style w:type="paragraph" w:styleId="CommentSubject">
    <w:name w:val="annotation subject"/>
    <w:basedOn w:val="CommentText"/>
    <w:next w:val="CommentText"/>
    <w:link w:val="CommentSubjectChar"/>
    <w:rsid w:val="0025058E"/>
    <w:rPr>
      <w:b/>
      <w:bCs/>
    </w:rPr>
  </w:style>
  <w:style w:type="character" w:customStyle="1" w:styleId="CommentSubjectChar">
    <w:name w:val="Comment Subject Char"/>
    <w:basedOn w:val="CommentTextChar"/>
    <w:link w:val="CommentSubject"/>
    <w:rsid w:val="0025058E"/>
    <w:rPr>
      <w:b/>
      <w:bCs/>
    </w:rPr>
  </w:style>
  <w:style w:type="character" w:customStyle="1" w:styleId="StyleFootnoteReferenceVerdana9pt">
    <w:name w:val="Style Footnote Reference + Verdana 9 pt"/>
    <w:basedOn w:val="FootnoteReference"/>
    <w:rsid w:val="00031435"/>
    <w:rPr>
      <w:rFonts w:ascii="Verdana" w:hAnsi="Verdana"/>
      <w:sz w:val="18"/>
      <w:vertAlign w:val="superscript"/>
    </w:rPr>
  </w:style>
  <w:style w:type="character" w:customStyle="1" w:styleId="Heading3Char">
    <w:name w:val="Heading 3 Char"/>
    <w:basedOn w:val="DefaultParagraphFont"/>
    <w:link w:val="Heading3"/>
    <w:rsid w:val="00A73F37"/>
    <w:rPr>
      <w:rFonts w:ascii="Georgia" w:eastAsiaTheme="majorEastAsia" w:hAnsi="Georgia" w:cstheme="majorBidi"/>
      <w:b/>
      <w:bCs/>
      <w:sz w:val="28"/>
      <w:szCs w:val="24"/>
    </w:rPr>
  </w:style>
  <w:style w:type="character" w:customStyle="1" w:styleId="Heading4Char">
    <w:name w:val="Heading 4 Char"/>
    <w:basedOn w:val="DefaultParagraphFont"/>
    <w:link w:val="Heading4"/>
    <w:rsid w:val="00A6508E"/>
    <w:rPr>
      <w:rFonts w:ascii="Georgia" w:eastAsiaTheme="majorEastAsia" w:hAnsi="Georgia" w:cstheme="majorBidi"/>
      <w:b/>
      <w:bCs/>
      <w:iCs/>
      <w:sz w:val="22"/>
      <w:szCs w:val="24"/>
    </w:rPr>
  </w:style>
  <w:style w:type="paragraph" w:styleId="EndnoteText">
    <w:name w:val="endnote text"/>
    <w:basedOn w:val="Normal"/>
    <w:link w:val="EndnoteTextChar"/>
    <w:rsid w:val="0054627E"/>
    <w:rPr>
      <w:sz w:val="20"/>
      <w:szCs w:val="20"/>
    </w:rPr>
  </w:style>
  <w:style w:type="character" w:customStyle="1" w:styleId="EndnoteTextChar">
    <w:name w:val="Endnote Text Char"/>
    <w:basedOn w:val="DefaultParagraphFont"/>
    <w:link w:val="EndnoteText"/>
    <w:rsid w:val="0054627E"/>
  </w:style>
  <w:style w:type="character" w:styleId="EndnoteReference">
    <w:name w:val="endnote reference"/>
    <w:basedOn w:val="DefaultParagraphFont"/>
    <w:rsid w:val="0054627E"/>
    <w:rPr>
      <w:vertAlign w:val="superscript"/>
    </w:rPr>
  </w:style>
  <w:style w:type="paragraph" w:customStyle="1" w:styleId="StyleBodyTextBold">
    <w:name w:val="Style Body Text + Bold"/>
    <w:basedOn w:val="BodyText"/>
    <w:rsid w:val="00CA072A"/>
    <w:pPr>
      <w:spacing w:before="240"/>
    </w:pPr>
    <w:rPr>
      <w:b/>
      <w:bCs/>
    </w:rPr>
  </w:style>
  <w:style w:type="paragraph" w:customStyle="1" w:styleId="StyleBodyTextBold1">
    <w:name w:val="Style Body Text + Bold1"/>
    <w:basedOn w:val="BodyText"/>
    <w:rsid w:val="00CA072A"/>
    <w:pPr>
      <w:spacing w:before="240"/>
    </w:pPr>
    <w:rPr>
      <w:b/>
      <w:bCs/>
    </w:rPr>
  </w:style>
  <w:style w:type="paragraph" w:customStyle="1" w:styleId="StyleBodyText4">
    <w:name w:val="Style Body Text 4"/>
    <w:basedOn w:val="BodyText"/>
    <w:rsid w:val="00CA072A"/>
    <w:pPr>
      <w:spacing w:before="240"/>
    </w:pPr>
    <w:rPr>
      <w:b/>
      <w:bCs/>
    </w:rPr>
  </w:style>
  <w:style w:type="paragraph" w:customStyle="1" w:styleId="TextBox">
    <w:name w:val="Text Box"/>
    <w:basedOn w:val="BodyText"/>
    <w:qFormat/>
    <w:rsid w:val="008F415A"/>
    <w:pPr>
      <w:spacing w:before="20" w:after="0"/>
    </w:pPr>
    <w:rPr>
      <w:sz w:val="20"/>
    </w:rPr>
  </w:style>
  <w:style w:type="character" w:styleId="UnresolvedMention">
    <w:name w:val="Unresolved Mention"/>
    <w:basedOn w:val="DefaultParagraphFont"/>
    <w:uiPriority w:val="99"/>
    <w:semiHidden/>
    <w:unhideWhenUsed/>
    <w:rsid w:val="00FF3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20856">
      <w:bodyDiv w:val="1"/>
      <w:marLeft w:val="0"/>
      <w:marRight w:val="0"/>
      <w:marTop w:val="0"/>
      <w:marBottom w:val="0"/>
      <w:divBdr>
        <w:top w:val="none" w:sz="0" w:space="0" w:color="auto"/>
        <w:left w:val="none" w:sz="0" w:space="0" w:color="auto"/>
        <w:bottom w:val="none" w:sz="0" w:space="0" w:color="auto"/>
        <w:right w:val="none" w:sz="0" w:space="0" w:color="auto"/>
      </w:divBdr>
    </w:div>
    <w:div w:id="20492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xreg.sos.state.tx.us/public/readtac$ext.ViewTAC?tac_view=5&amp;ti=30&amp;pt=1&amp;ch=328&amp;sch=J&amp;r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downloads/permitting/waste-permits/msw/docs/recycling_fa_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permitting/central_registry/guidanc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ceq.texas.gov/agency/financial/fees/delin" TargetMode="External"/><Relationship Id="rId4" Type="http://schemas.openxmlformats.org/officeDocument/2006/relationships/settings" Target="settings.xml"/><Relationship Id="rId9" Type="http://schemas.openxmlformats.org/officeDocument/2006/relationships/hyperlink" Target="http://www.tceq.texas.gov/permitting/waste_permits/msw_permits/MSW_amIregulatedrecycling.html" TargetMode="External"/><Relationship Id="rId14" Type="http://schemas.openxmlformats.org/officeDocument/2006/relationships/hyperlink" Target="http://www.TexasRecyclesTV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EA0B-EEA0-4E32-9DAE-B3EDD268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3106</Words>
  <Characters>18093</Characters>
  <Application>Microsoft Office Word</Application>
  <DocSecurity>2</DocSecurity>
  <Lines>150</Lines>
  <Paragraphs>42</Paragraphs>
  <ScaleCrop>false</ScaleCrop>
  <HeadingPairs>
    <vt:vector size="2" baseType="variant">
      <vt:variant>
        <vt:lpstr>Title</vt:lpstr>
      </vt:variant>
      <vt:variant>
        <vt:i4>1</vt:i4>
      </vt:variant>
    </vt:vector>
  </HeadingPairs>
  <TitlesOfParts>
    <vt:vector size="1" baseType="lpstr">
      <vt:lpstr>Notice of Intent (NOI) to Operate a Recycling Facility Under 30 TAC Sections 328.4 and 328.5</vt:lpstr>
    </vt:vector>
  </TitlesOfParts>
  <LinksUpToDate>false</LinksUpToDate>
  <CharactersWithSpaces>21157</CharactersWithSpaces>
  <SharedDoc>false</SharedDoc>
  <HLinks>
    <vt:vector size="12" baseType="variant">
      <vt:variant>
        <vt:i4>4063276</vt:i4>
      </vt:variant>
      <vt:variant>
        <vt:i4>7</vt:i4>
      </vt:variant>
      <vt:variant>
        <vt:i4>0</vt:i4>
      </vt:variant>
      <vt:variant>
        <vt:i4>5</vt:i4>
      </vt:variant>
      <vt:variant>
        <vt:lpwstr>http://www.tceq.state.tx.us/assets/public/permitting/waste/msw/recycling_fa_guide.pdf</vt:lpwstr>
      </vt:variant>
      <vt:variant>
        <vt:lpwstr/>
      </vt:variant>
      <vt:variant>
        <vt:i4>6094906</vt:i4>
      </vt:variant>
      <vt:variant>
        <vt:i4>0</vt:i4>
      </vt:variant>
      <vt:variant>
        <vt:i4>0</vt:i4>
      </vt:variant>
      <vt:variant>
        <vt:i4>5</vt:i4>
      </vt:variant>
      <vt:variant>
        <vt:lpwstr>http://www.tceq.state.tx.us/permitting/central_registry/guidance.html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to Operate a Recycling Facility Under 30 TAC Sections 328.4 and 328.5</dc:title>
  <dc:creator/>
  <cp:lastModifiedBy/>
  <cp:revision>1</cp:revision>
  <cp:lastPrinted>2010-01-06T19:49:00Z</cp:lastPrinted>
  <dcterms:created xsi:type="dcterms:W3CDTF">2012-10-09T15:00:00Z</dcterms:created>
  <dcterms:modified xsi:type="dcterms:W3CDTF">2022-05-23T23:54:00Z</dcterms:modified>
</cp:coreProperties>
</file>