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Cs w:val="28"/>
        </w:rPr>
        <w:id w:val="1539007328"/>
        <w:lock w:val="contentLocked"/>
        <w:placeholder>
          <w:docPart w:val="DefaultPlaceholder_-1854013440"/>
        </w:placeholder>
        <w:group/>
      </w:sdtPr>
      <w:sdtEndPr>
        <w:rPr>
          <w:b w:val="0"/>
          <w:bCs w:val="0"/>
          <w:smallCaps w:val="0"/>
          <w:spacing w:val="0"/>
          <w:kern w:val="0"/>
          <w:sz w:val="22"/>
          <w:szCs w:val="22"/>
        </w:rPr>
      </w:sdtEndPr>
      <w:sdtContent>
        <w:p w14:paraId="65BA3509" w14:textId="38519C16" w:rsidR="001C2513" w:rsidRPr="0030638A" w:rsidRDefault="001D1495" w:rsidP="0030638A">
          <w:pPr>
            <w:pStyle w:val="Title"/>
            <w:jc w:val="center"/>
            <w:rPr>
              <w:rFonts w:ascii="Lucida Bright" w:hAnsi="Lucida Bright"/>
              <w:szCs w:val="28"/>
            </w:rPr>
          </w:pPr>
          <w:r w:rsidRPr="0030638A">
            <w:rPr>
              <w:rFonts w:ascii="Lucida Bright" w:hAnsi="Lucida Bright"/>
              <w:szCs w:val="28"/>
            </w:rPr>
            <w:fldChar w:fldCharType="begin"/>
          </w:r>
          <w:r w:rsidRPr="0030638A">
            <w:rPr>
              <w:rFonts w:ascii="Lucida Bright" w:hAnsi="Lucida Bright"/>
              <w:szCs w:val="28"/>
            </w:rPr>
            <w:instrText xml:space="preserve"> SEQ CHAPTER \h \r 1</w:instrText>
          </w:r>
          <w:r w:rsidRPr="0030638A">
            <w:rPr>
              <w:rFonts w:ascii="Lucida Bright" w:hAnsi="Lucida Bright"/>
              <w:szCs w:val="28"/>
            </w:rPr>
            <w:fldChar w:fldCharType="end"/>
          </w:r>
          <w:r w:rsidRPr="0030638A">
            <w:rPr>
              <w:rFonts w:ascii="Lucida Bright" w:hAnsi="Lucida Bright"/>
              <w:szCs w:val="28"/>
            </w:rPr>
            <w:t xml:space="preserve">Fact Sheet and Executive Director’s </w:t>
          </w:r>
          <w:r w:rsidR="00182E60">
            <w:rPr>
              <w:rFonts w:ascii="Lucida Bright" w:hAnsi="Lucida Bright"/>
              <w:szCs w:val="28"/>
            </w:rPr>
            <w:t>Final</w:t>
          </w:r>
          <w:r w:rsidR="00182E60" w:rsidRPr="0030638A">
            <w:rPr>
              <w:rFonts w:ascii="Lucida Bright" w:hAnsi="Lucida Bright"/>
              <w:szCs w:val="28"/>
            </w:rPr>
            <w:t xml:space="preserve"> </w:t>
          </w:r>
          <w:r w:rsidRPr="0030638A">
            <w:rPr>
              <w:rFonts w:ascii="Lucida Bright" w:hAnsi="Lucida Bright"/>
              <w:szCs w:val="28"/>
            </w:rPr>
            <w:t xml:space="preserve">Decision </w:t>
          </w:r>
        </w:p>
        <w:p w14:paraId="42DA23A8" w14:textId="5EDD759A" w:rsidR="0030638A" w:rsidRDefault="0030638A" w:rsidP="0030638A">
          <w:pPr>
            <w:pStyle w:val="Title"/>
            <w:jc w:val="center"/>
            <w:rPr>
              <w:rFonts w:ascii="Lucida Bright" w:hAnsi="Lucida Bright"/>
              <w:szCs w:val="28"/>
            </w:rPr>
          </w:pPr>
          <w:r>
            <w:rPr>
              <w:rFonts w:ascii="Lucida Bright" w:hAnsi="Lucida Bright"/>
              <w:szCs w:val="28"/>
            </w:rPr>
            <w:t>L</w:t>
          </w:r>
          <w:r w:rsidR="001C2513" w:rsidRPr="0030638A">
            <w:rPr>
              <w:rFonts w:ascii="Lucida Bright" w:hAnsi="Lucida Bright"/>
              <w:szCs w:val="28"/>
            </w:rPr>
            <w:t xml:space="preserve">ivestock </w:t>
          </w:r>
          <w:r>
            <w:rPr>
              <w:rFonts w:ascii="Lucida Bright" w:hAnsi="Lucida Bright"/>
              <w:szCs w:val="28"/>
            </w:rPr>
            <w:t>M</w:t>
          </w:r>
          <w:r w:rsidR="001C2513" w:rsidRPr="0030638A">
            <w:rPr>
              <w:rFonts w:ascii="Lucida Bright" w:hAnsi="Lucida Bright"/>
              <w:szCs w:val="28"/>
            </w:rPr>
            <w:t xml:space="preserve">anure </w:t>
          </w:r>
          <w:r>
            <w:rPr>
              <w:rFonts w:ascii="Lucida Bright" w:hAnsi="Lucida Bright"/>
              <w:szCs w:val="28"/>
            </w:rPr>
            <w:t>C</w:t>
          </w:r>
          <w:r w:rsidR="001C2513" w:rsidRPr="0030638A">
            <w:rPr>
              <w:rFonts w:ascii="Lucida Bright" w:hAnsi="Lucida Bright"/>
              <w:szCs w:val="28"/>
            </w:rPr>
            <w:t xml:space="preserve">ompost </w:t>
          </w:r>
        </w:p>
        <w:p w14:paraId="33919946" w14:textId="79AB7CA8" w:rsidR="001D1495" w:rsidRPr="0030638A" w:rsidRDefault="001D1495" w:rsidP="0030638A">
          <w:pPr>
            <w:pStyle w:val="Title"/>
            <w:jc w:val="center"/>
            <w:rPr>
              <w:rFonts w:ascii="Lucida Bright" w:hAnsi="Lucida Bright"/>
              <w:szCs w:val="28"/>
            </w:rPr>
          </w:pPr>
          <w:r w:rsidRPr="0030638A">
            <w:rPr>
              <w:rFonts w:ascii="Lucida Bright" w:hAnsi="Lucida Bright"/>
              <w:szCs w:val="28"/>
            </w:rPr>
            <w:t>General Permit WQG200000</w:t>
          </w:r>
        </w:p>
        <w:p w14:paraId="2C659B8F" w14:textId="77777777" w:rsidR="005D5EC2" w:rsidRDefault="00EC26CC" w:rsidP="0030638A">
          <w:pPr>
            <w:pStyle w:val="BodyText"/>
            <w:spacing w:after="0"/>
            <w:rPr>
              <w:rFonts w:ascii="Lucida Bright" w:hAnsi="Lucida Bright"/>
              <w:szCs w:val="22"/>
            </w:rPr>
          </w:pPr>
          <w:r w:rsidRPr="00AE3783">
            <w:rPr>
              <w:rFonts w:ascii="Lucida Bright" w:hAnsi="Lucida Bright"/>
              <w:szCs w:val="22"/>
            </w:rPr>
            <w:t>Issuing Office:</w:t>
          </w:r>
          <w:r w:rsidRPr="00AE3783">
            <w:rPr>
              <w:rFonts w:ascii="Lucida Bright" w:hAnsi="Lucida Bright"/>
              <w:szCs w:val="22"/>
            </w:rPr>
            <w:tab/>
          </w:r>
          <w:r w:rsidR="005D5EC2">
            <w:rPr>
              <w:rFonts w:ascii="Lucida Bright" w:hAnsi="Lucida Bright"/>
              <w:szCs w:val="22"/>
            </w:rPr>
            <w:t>Office of Water</w:t>
          </w:r>
        </w:p>
        <w:p w14:paraId="73B1E7B2" w14:textId="4F993714" w:rsidR="001D1495" w:rsidRPr="00AE3783" w:rsidRDefault="005D5EC2" w:rsidP="00B62E79">
          <w:pPr>
            <w:pStyle w:val="BodyText"/>
            <w:spacing w:after="0"/>
            <w:ind w:left="2160" w:hanging="2160"/>
            <w:rPr>
              <w:rFonts w:ascii="Lucida Bright" w:hAnsi="Lucida Bright"/>
              <w:szCs w:val="22"/>
            </w:rPr>
          </w:pPr>
          <w:r>
            <w:rPr>
              <w:rFonts w:ascii="Lucida Bright" w:hAnsi="Lucida Bright"/>
              <w:szCs w:val="22"/>
            </w:rPr>
            <w:tab/>
          </w:r>
          <w:r w:rsidR="001D1495" w:rsidRPr="00AE3783">
            <w:rPr>
              <w:rFonts w:ascii="Lucida Bright" w:hAnsi="Lucida Bright"/>
              <w:szCs w:val="22"/>
            </w:rPr>
            <w:t>Texas Commission on Environmental Quality</w:t>
          </w:r>
        </w:p>
        <w:p w14:paraId="0B128CA1" w14:textId="77777777" w:rsidR="001D1495" w:rsidRPr="00AE3783" w:rsidRDefault="001D1495" w:rsidP="0030638A">
          <w:pPr>
            <w:pStyle w:val="BodyText"/>
            <w:spacing w:after="0"/>
            <w:ind w:left="2160"/>
            <w:rPr>
              <w:rFonts w:ascii="Lucida Bright" w:hAnsi="Lucida Bright"/>
              <w:szCs w:val="22"/>
            </w:rPr>
          </w:pPr>
          <w:r w:rsidRPr="00AE3783">
            <w:rPr>
              <w:rFonts w:ascii="Lucida Bright" w:hAnsi="Lucida Bright"/>
              <w:szCs w:val="22"/>
            </w:rPr>
            <w:t>P.O. Box 13087</w:t>
          </w:r>
        </w:p>
        <w:p w14:paraId="61A9C4CB" w14:textId="77777777" w:rsidR="001D1495" w:rsidRPr="00AE3783" w:rsidRDefault="001D1495" w:rsidP="0030638A">
          <w:pPr>
            <w:pStyle w:val="BodyText"/>
            <w:ind w:left="2160"/>
            <w:rPr>
              <w:rFonts w:ascii="Lucida Bright" w:hAnsi="Lucida Bright"/>
              <w:szCs w:val="22"/>
            </w:rPr>
          </w:pPr>
          <w:r w:rsidRPr="00AE3783">
            <w:rPr>
              <w:rFonts w:ascii="Lucida Bright" w:hAnsi="Lucida Bright"/>
              <w:szCs w:val="22"/>
            </w:rPr>
            <w:t>Austin, TX 78711</w:t>
          </w:r>
        </w:p>
        <w:p w14:paraId="48EF8473" w14:textId="0CF210C0" w:rsidR="001D1495" w:rsidRPr="00AE3783" w:rsidRDefault="001C2513" w:rsidP="0030638A">
          <w:pPr>
            <w:pStyle w:val="BodyText"/>
            <w:tabs>
              <w:tab w:val="left" w:pos="2160"/>
            </w:tabs>
            <w:spacing w:after="0"/>
            <w:rPr>
              <w:rFonts w:ascii="Lucida Bright" w:hAnsi="Lucida Bright"/>
              <w:szCs w:val="22"/>
            </w:rPr>
          </w:pPr>
          <w:r w:rsidRPr="00AE3783">
            <w:rPr>
              <w:rFonts w:ascii="Lucida Bright" w:hAnsi="Lucida Bright"/>
              <w:szCs w:val="22"/>
            </w:rPr>
            <w:t>Prepared by:</w:t>
          </w:r>
          <w:r w:rsidRPr="00AE3783">
            <w:rPr>
              <w:rFonts w:ascii="Lucida Bright" w:hAnsi="Lucida Bright"/>
              <w:szCs w:val="22"/>
            </w:rPr>
            <w:tab/>
          </w:r>
          <w:r w:rsidR="001A6A01" w:rsidRPr="00AE3783">
            <w:rPr>
              <w:rFonts w:ascii="Lucida Bright" w:hAnsi="Lucida Bright"/>
              <w:szCs w:val="22"/>
            </w:rPr>
            <w:t>Shannon Gibson</w:t>
          </w:r>
        </w:p>
        <w:p w14:paraId="27B90E6A" w14:textId="77777777" w:rsidR="001D1495" w:rsidRPr="00AE3783" w:rsidRDefault="001D1495" w:rsidP="0030638A">
          <w:pPr>
            <w:pStyle w:val="BodyText"/>
            <w:spacing w:after="0"/>
            <w:ind w:left="2160"/>
            <w:rPr>
              <w:rFonts w:ascii="Lucida Bright" w:hAnsi="Lucida Bright"/>
              <w:szCs w:val="22"/>
            </w:rPr>
          </w:pPr>
          <w:r w:rsidRPr="00AE3783">
            <w:rPr>
              <w:rFonts w:ascii="Lucida Bright" w:hAnsi="Lucida Bright"/>
              <w:szCs w:val="22"/>
            </w:rPr>
            <w:t>Wastewater Permitting Section</w:t>
          </w:r>
        </w:p>
        <w:p w14:paraId="016ABBCC" w14:textId="77777777" w:rsidR="001D1495" w:rsidRPr="00AE3783" w:rsidRDefault="001D1495" w:rsidP="0030638A">
          <w:pPr>
            <w:pStyle w:val="BodyText"/>
            <w:spacing w:after="0"/>
            <w:ind w:left="2160"/>
            <w:rPr>
              <w:rFonts w:ascii="Lucida Bright" w:hAnsi="Lucida Bright"/>
              <w:szCs w:val="22"/>
            </w:rPr>
          </w:pPr>
          <w:r w:rsidRPr="00AE3783">
            <w:rPr>
              <w:rFonts w:ascii="Lucida Bright" w:hAnsi="Lucida Bright"/>
              <w:szCs w:val="22"/>
            </w:rPr>
            <w:t>Water Quality Division</w:t>
          </w:r>
        </w:p>
        <w:p w14:paraId="76B338EE" w14:textId="3D793DB0" w:rsidR="001D1495" w:rsidRPr="00AE3783" w:rsidRDefault="001D1495" w:rsidP="0030638A">
          <w:pPr>
            <w:pStyle w:val="BodyText"/>
            <w:ind w:left="2160"/>
            <w:rPr>
              <w:rFonts w:ascii="Lucida Bright" w:hAnsi="Lucida Bright"/>
              <w:szCs w:val="22"/>
            </w:rPr>
          </w:pPr>
          <w:r w:rsidRPr="00AE3783">
            <w:rPr>
              <w:rFonts w:ascii="Lucida Bright" w:hAnsi="Lucida Bright"/>
              <w:szCs w:val="22"/>
            </w:rPr>
            <w:t>(512) 239-</w:t>
          </w:r>
          <w:r w:rsidR="001A6A01" w:rsidRPr="00AE3783">
            <w:rPr>
              <w:rFonts w:ascii="Lucida Bright" w:hAnsi="Lucida Bright"/>
              <w:szCs w:val="22"/>
            </w:rPr>
            <w:t>4284</w:t>
          </w:r>
        </w:p>
        <w:p w14:paraId="549BE8AA" w14:textId="630ABE8F" w:rsidR="001D1495" w:rsidRPr="00AE3783" w:rsidRDefault="001D1495" w:rsidP="0030638A">
          <w:pPr>
            <w:pStyle w:val="BodyText"/>
            <w:tabs>
              <w:tab w:val="left" w:pos="2160"/>
            </w:tabs>
            <w:rPr>
              <w:rFonts w:ascii="Lucida Bright" w:hAnsi="Lucida Bright"/>
              <w:szCs w:val="22"/>
            </w:rPr>
          </w:pPr>
          <w:r w:rsidRPr="00AE3783">
            <w:rPr>
              <w:rFonts w:ascii="Lucida Bright" w:hAnsi="Lucida Bright"/>
              <w:szCs w:val="22"/>
            </w:rPr>
            <w:t>Date:</w:t>
          </w:r>
          <w:r w:rsidR="001C2513" w:rsidRPr="00AE3783">
            <w:rPr>
              <w:rFonts w:ascii="Lucida Bright" w:hAnsi="Lucida Bright"/>
              <w:szCs w:val="22"/>
            </w:rPr>
            <w:tab/>
          </w:r>
          <w:r w:rsidR="005D5EC2">
            <w:rPr>
              <w:rFonts w:ascii="Lucida Bright" w:hAnsi="Lucida Bright"/>
              <w:szCs w:val="22"/>
            </w:rPr>
            <w:t>September 8, 2023</w:t>
          </w:r>
        </w:p>
        <w:p w14:paraId="7C399DD7" w14:textId="77777777" w:rsidR="001D1495" w:rsidRPr="00AE3783" w:rsidRDefault="00EC26CC" w:rsidP="0030638A">
          <w:pPr>
            <w:pStyle w:val="BodyText"/>
            <w:tabs>
              <w:tab w:val="left" w:pos="2160"/>
            </w:tabs>
            <w:rPr>
              <w:rFonts w:ascii="Lucida Bright" w:hAnsi="Lucida Bright"/>
              <w:szCs w:val="22"/>
            </w:rPr>
          </w:pPr>
          <w:r w:rsidRPr="00AE3783">
            <w:rPr>
              <w:rFonts w:ascii="Lucida Bright" w:hAnsi="Lucida Bright"/>
              <w:szCs w:val="22"/>
            </w:rPr>
            <w:t>Permit Action:</w:t>
          </w:r>
          <w:r w:rsidRPr="00AE3783">
            <w:rPr>
              <w:rFonts w:ascii="Lucida Bright" w:hAnsi="Lucida Bright"/>
              <w:szCs w:val="22"/>
            </w:rPr>
            <w:tab/>
            <w:t>Renewal with Amendment</w:t>
          </w:r>
        </w:p>
        <w:p w14:paraId="49694A60" w14:textId="77777777" w:rsidR="0086433B" w:rsidRPr="00AE3783" w:rsidRDefault="00B9220D"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I.</w:t>
          </w:r>
          <w:r w:rsidRPr="00AE3783">
            <w:rPr>
              <w:rFonts w:ascii="Lucida Bright" w:hAnsi="Lucida Bright"/>
              <w:sz w:val="22"/>
              <w:szCs w:val="22"/>
            </w:rPr>
            <w:tab/>
          </w:r>
          <w:r w:rsidR="0086433B" w:rsidRPr="00AE3783">
            <w:rPr>
              <w:rFonts w:ascii="Lucida Bright" w:hAnsi="Lucida Bright"/>
              <w:sz w:val="22"/>
              <w:szCs w:val="22"/>
            </w:rPr>
            <w:t>Summary</w:t>
          </w:r>
        </w:p>
        <w:p w14:paraId="675715B8" w14:textId="33401712" w:rsidR="00B97EE2" w:rsidRPr="00AE3783" w:rsidRDefault="00BA67BF" w:rsidP="0030638A">
          <w:pPr>
            <w:widowControl/>
            <w:tabs>
              <w:tab w:val="left" w:pos="540"/>
            </w:tabs>
            <w:ind w:left="540"/>
            <w:rPr>
              <w:rFonts w:ascii="Lucida Bright" w:hAnsi="Lucida Bright"/>
              <w:sz w:val="22"/>
              <w:szCs w:val="22"/>
            </w:rPr>
          </w:pPr>
          <w:r w:rsidRPr="00AE3783">
            <w:rPr>
              <w:rFonts w:ascii="Lucida Bright" w:hAnsi="Lucida Bright"/>
              <w:sz w:val="22"/>
              <w:szCs w:val="22"/>
              <w:lang w:val="en-CA"/>
            </w:rPr>
            <w:fldChar w:fldCharType="begin"/>
          </w:r>
          <w:r w:rsidRPr="00AE3783">
            <w:rPr>
              <w:rFonts w:ascii="Lucida Bright" w:hAnsi="Lucida Bright"/>
              <w:sz w:val="22"/>
              <w:szCs w:val="22"/>
              <w:lang w:val="en-CA"/>
            </w:rPr>
            <w:instrText xml:space="preserve"> SEQ CHAPTER \h \r 1</w:instrText>
          </w:r>
          <w:r w:rsidRPr="00AE3783">
            <w:rPr>
              <w:rFonts w:ascii="Lucida Bright" w:hAnsi="Lucida Bright"/>
              <w:sz w:val="22"/>
              <w:szCs w:val="22"/>
              <w:lang w:val="en-CA"/>
            </w:rPr>
            <w:fldChar w:fldCharType="end"/>
          </w:r>
          <w:r w:rsidRPr="00AE3783">
            <w:rPr>
              <w:rFonts w:ascii="Lucida Bright" w:hAnsi="Lucida Bright"/>
              <w:sz w:val="22"/>
              <w:szCs w:val="22"/>
            </w:rPr>
            <w:t xml:space="preserve">The Texas Commission on Environmental Quality (TCEQ) is </w:t>
          </w:r>
          <w:r w:rsidR="001C2F92" w:rsidRPr="00AE3783">
            <w:rPr>
              <w:rFonts w:ascii="Lucida Bright" w:hAnsi="Lucida Bright"/>
              <w:sz w:val="22"/>
              <w:szCs w:val="22"/>
            </w:rPr>
            <w:t>reissu</w:t>
          </w:r>
          <w:r w:rsidR="00CF7D68">
            <w:rPr>
              <w:rFonts w:ascii="Lucida Bright" w:hAnsi="Lucida Bright"/>
              <w:sz w:val="22"/>
              <w:szCs w:val="22"/>
            </w:rPr>
            <w:t>ing</w:t>
          </w:r>
          <w:r w:rsidR="001C2F92" w:rsidRPr="00AE3783">
            <w:rPr>
              <w:rFonts w:ascii="Lucida Bright" w:hAnsi="Lucida Bright"/>
              <w:sz w:val="22"/>
              <w:szCs w:val="22"/>
            </w:rPr>
            <w:t xml:space="preserve"> </w:t>
          </w:r>
          <w:r w:rsidRPr="00AE3783">
            <w:rPr>
              <w:rFonts w:ascii="Lucida Bright" w:hAnsi="Lucida Bright"/>
              <w:sz w:val="22"/>
              <w:szCs w:val="22"/>
            </w:rPr>
            <w:t xml:space="preserve">General Permit </w:t>
          </w:r>
          <w:r w:rsidR="0046566F" w:rsidRPr="00AE3783">
            <w:rPr>
              <w:rFonts w:ascii="Lucida Bright" w:hAnsi="Lucida Bright"/>
              <w:sz w:val="22"/>
              <w:szCs w:val="22"/>
            </w:rPr>
            <w:t xml:space="preserve">No. </w:t>
          </w:r>
          <w:r w:rsidRPr="00AE3783">
            <w:rPr>
              <w:rFonts w:ascii="Lucida Bright" w:hAnsi="Lucida Bright"/>
              <w:sz w:val="22"/>
              <w:szCs w:val="22"/>
            </w:rPr>
            <w:t xml:space="preserve">WQG200000, which authorizes </w:t>
          </w:r>
          <w:r w:rsidR="002001D1" w:rsidRPr="00AE3783">
            <w:rPr>
              <w:rFonts w:ascii="Lucida Bright" w:hAnsi="Lucida Bright"/>
              <w:sz w:val="22"/>
              <w:szCs w:val="22"/>
            </w:rPr>
            <w:t>the disposal of wastewater by evaporation or beneficial irrigation adjacent to water in the state</w:t>
          </w:r>
          <w:r w:rsidRPr="00AE3783">
            <w:rPr>
              <w:rFonts w:ascii="Lucida Bright" w:hAnsi="Lucida Bright"/>
              <w:sz w:val="22"/>
              <w:szCs w:val="22"/>
            </w:rPr>
            <w:t xml:space="preserve"> from livestock manure compost operations.</w:t>
          </w:r>
          <w:r w:rsidR="00807B46" w:rsidRPr="00AE3783">
            <w:rPr>
              <w:rFonts w:ascii="Lucida Bright" w:hAnsi="Lucida Bright"/>
              <w:sz w:val="22"/>
              <w:szCs w:val="22"/>
            </w:rPr>
            <w:t xml:space="preserve"> </w:t>
          </w:r>
          <w:r w:rsidR="002001D1" w:rsidRPr="00AE3783">
            <w:rPr>
              <w:rFonts w:ascii="Lucida Bright" w:hAnsi="Lucida Bright"/>
              <w:sz w:val="22"/>
              <w:szCs w:val="22"/>
            </w:rPr>
            <w:t>This general permit does not authorize discharge of waste</w:t>
          </w:r>
          <w:r w:rsidR="006C310D" w:rsidRPr="00AE3783">
            <w:rPr>
              <w:rFonts w:ascii="Lucida Bright" w:hAnsi="Lucida Bright"/>
              <w:sz w:val="22"/>
              <w:szCs w:val="22"/>
            </w:rPr>
            <w:t>water</w:t>
          </w:r>
          <w:r w:rsidR="002001D1" w:rsidRPr="00AE3783">
            <w:rPr>
              <w:rFonts w:ascii="Lucida Bright" w:hAnsi="Lucida Bright"/>
              <w:sz w:val="22"/>
              <w:szCs w:val="22"/>
            </w:rPr>
            <w:t xml:space="preserve"> into surface </w:t>
          </w:r>
          <w:r w:rsidR="006C310D" w:rsidRPr="00AE3783">
            <w:rPr>
              <w:rFonts w:ascii="Lucida Bright" w:hAnsi="Lucida Bright"/>
              <w:sz w:val="22"/>
              <w:szCs w:val="22"/>
            </w:rPr>
            <w:t>water in the state</w:t>
          </w:r>
          <w:r w:rsidR="002001D1" w:rsidRPr="00AE3783">
            <w:rPr>
              <w:rFonts w:ascii="Lucida Bright" w:hAnsi="Lucida Bright"/>
              <w:sz w:val="22"/>
              <w:szCs w:val="22"/>
            </w:rPr>
            <w:t>.</w:t>
          </w:r>
          <w:r w:rsidR="00807B46" w:rsidRPr="00AE3783">
            <w:rPr>
              <w:rFonts w:ascii="Lucida Bright" w:hAnsi="Lucida Bright"/>
              <w:sz w:val="22"/>
              <w:szCs w:val="22"/>
            </w:rPr>
            <w:t xml:space="preserve"> </w:t>
          </w:r>
          <w:r w:rsidRPr="00AE3783">
            <w:rPr>
              <w:rFonts w:ascii="Lucida Bright" w:hAnsi="Lucida Bright"/>
              <w:sz w:val="22"/>
              <w:szCs w:val="22"/>
            </w:rPr>
            <w:t>The general permit specifies which facilities must obtain permit coverage, which are eligible for exclusion from permit requirements, and which may be required to obtain individual permit coverage</w:t>
          </w:r>
          <w:r w:rsidR="002001D1" w:rsidRPr="00AE3783">
            <w:rPr>
              <w:rFonts w:ascii="Lucida Bright" w:hAnsi="Lucida Bright"/>
              <w:sz w:val="22"/>
              <w:szCs w:val="22"/>
            </w:rPr>
            <w:t>.</w:t>
          </w:r>
        </w:p>
        <w:p w14:paraId="12E933AD" w14:textId="77777777" w:rsidR="004C4F80" w:rsidRPr="00AE3783" w:rsidRDefault="004C4F80"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II.</w:t>
          </w:r>
          <w:r w:rsidRPr="00AE3783">
            <w:rPr>
              <w:rFonts w:ascii="Lucida Bright" w:hAnsi="Lucida Bright"/>
              <w:sz w:val="22"/>
              <w:szCs w:val="22"/>
            </w:rPr>
            <w:tab/>
            <w:t>Executive Director’s Recommendation</w:t>
          </w:r>
        </w:p>
        <w:p w14:paraId="177022AE" w14:textId="54A37B1D" w:rsidR="00575D4C" w:rsidRPr="00AE3783" w:rsidRDefault="004C4F80" w:rsidP="0030638A">
          <w:pPr>
            <w:widowControl/>
            <w:tabs>
              <w:tab w:val="left" w:pos="540"/>
            </w:tabs>
            <w:ind w:left="540"/>
            <w:rPr>
              <w:rFonts w:ascii="Lucida Bright" w:hAnsi="Lucida Bright"/>
              <w:sz w:val="22"/>
              <w:szCs w:val="22"/>
            </w:rPr>
          </w:pPr>
          <w:r w:rsidRPr="00AE3783">
            <w:rPr>
              <w:rFonts w:ascii="Lucida Bright" w:hAnsi="Lucida Bright"/>
              <w:sz w:val="22"/>
              <w:szCs w:val="22"/>
            </w:rPr>
            <w:t xml:space="preserve">The </w:t>
          </w:r>
          <w:r w:rsidR="002F3868" w:rsidRPr="00AE3783">
            <w:rPr>
              <w:rFonts w:ascii="Lucida Bright" w:hAnsi="Lucida Bright"/>
              <w:sz w:val="22"/>
              <w:szCs w:val="22"/>
            </w:rPr>
            <w:t>e</w:t>
          </w:r>
          <w:r w:rsidRPr="00AE3783">
            <w:rPr>
              <w:rFonts w:ascii="Lucida Bright" w:hAnsi="Lucida Bright"/>
              <w:sz w:val="22"/>
              <w:szCs w:val="22"/>
            </w:rPr>
            <w:t xml:space="preserve">xecutive </w:t>
          </w:r>
          <w:r w:rsidR="002F3868" w:rsidRPr="00AE3783">
            <w:rPr>
              <w:rFonts w:ascii="Lucida Bright" w:hAnsi="Lucida Bright"/>
              <w:sz w:val="22"/>
              <w:szCs w:val="22"/>
            </w:rPr>
            <w:t>d</w:t>
          </w:r>
          <w:r w:rsidRPr="00AE3783">
            <w:rPr>
              <w:rFonts w:ascii="Lucida Bright" w:hAnsi="Lucida Bright"/>
              <w:sz w:val="22"/>
              <w:szCs w:val="22"/>
            </w:rPr>
            <w:t>irector has made a preliminary decision that this permit</w:t>
          </w:r>
          <w:r w:rsidR="00267D65" w:rsidRPr="00AE3783">
            <w:rPr>
              <w:rFonts w:ascii="Lucida Bright" w:hAnsi="Lucida Bright"/>
              <w:sz w:val="22"/>
              <w:szCs w:val="22"/>
            </w:rPr>
            <w:t>, if issued, meets all statutory and regulatory requirements.</w:t>
          </w:r>
          <w:r w:rsidR="00807B46" w:rsidRPr="00AE3783">
            <w:rPr>
              <w:rFonts w:ascii="Lucida Bright" w:hAnsi="Lucida Bright"/>
              <w:sz w:val="22"/>
              <w:szCs w:val="22"/>
            </w:rPr>
            <w:t xml:space="preserve"> </w:t>
          </w:r>
          <w:r w:rsidR="00267D65" w:rsidRPr="00AE3783">
            <w:rPr>
              <w:rFonts w:ascii="Lucida Bright" w:hAnsi="Lucida Bright"/>
              <w:sz w:val="22"/>
              <w:szCs w:val="22"/>
            </w:rPr>
            <w:t xml:space="preserve">It is proposed that the permit be issued to expire </w:t>
          </w:r>
          <w:r w:rsidR="00714A67" w:rsidRPr="00AE3783">
            <w:rPr>
              <w:rFonts w:ascii="Lucida Bright" w:hAnsi="Lucida Bright"/>
              <w:sz w:val="22"/>
              <w:szCs w:val="22"/>
            </w:rPr>
            <w:t xml:space="preserve">ten </w:t>
          </w:r>
          <w:r w:rsidR="00267D65" w:rsidRPr="00AE3783">
            <w:rPr>
              <w:rFonts w:ascii="Lucida Bright" w:hAnsi="Lucida Bright"/>
              <w:sz w:val="22"/>
              <w:szCs w:val="22"/>
            </w:rPr>
            <w:t xml:space="preserve">years from </w:t>
          </w:r>
          <w:r w:rsidR="00807B46" w:rsidRPr="00AE3783">
            <w:rPr>
              <w:rFonts w:ascii="Lucida Bright" w:hAnsi="Lucida Bright"/>
              <w:sz w:val="22"/>
              <w:szCs w:val="22"/>
            </w:rPr>
            <w:t>the effective date</w:t>
          </w:r>
          <w:r w:rsidR="00267D65" w:rsidRPr="00AE3783">
            <w:rPr>
              <w:rFonts w:ascii="Lucida Bright" w:hAnsi="Lucida Bright"/>
              <w:sz w:val="22"/>
              <w:szCs w:val="22"/>
            </w:rPr>
            <w:t xml:space="preserve"> following the requirements of 30 Texas Administrative Code (TAC) §</w:t>
          </w:r>
          <w:r w:rsidR="00DB5CD1" w:rsidRPr="00AE3783">
            <w:rPr>
              <w:rFonts w:ascii="Lucida Bright" w:hAnsi="Lucida Bright"/>
              <w:sz w:val="22"/>
              <w:szCs w:val="22"/>
            </w:rPr>
            <w:t xml:space="preserve"> </w:t>
          </w:r>
          <w:r w:rsidR="00A25AD3" w:rsidRPr="00AE3783">
            <w:rPr>
              <w:rFonts w:ascii="Lucida Bright" w:hAnsi="Lucida Bright"/>
              <w:sz w:val="22"/>
              <w:szCs w:val="22"/>
            </w:rPr>
            <w:t>305.127(1)(C)(ii)(III)</w:t>
          </w:r>
          <w:r w:rsidR="0046566F" w:rsidRPr="00AE3783">
            <w:rPr>
              <w:rFonts w:ascii="Lucida Bright" w:hAnsi="Lucida Bright"/>
              <w:sz w:val="22"/>
              <w:szCs w:val="22"/>
            </w:rPr>
            <w:t xml:space="preserve">, </w:t>
          </w:r>
          <w:r w:rsidR="0046566F" w:rsidRPr="00AE3783">
            <w:rPr>
              <w:rFonts w:ascii="Lucida Bright" w:hAnsi="Lucida Bright"/>
              <w:i/>
              <w:sz w:val="22"/>
              <w:szCs w:val="22"/>
            </w:rPr>
            <w:t xml:space="preserve">Permit </w:t>
          </w:r>
          <w:r w:rsidR="00A25AD3" w:rsidRPr="00AE3783">
            <w:rPr>
              <w:rFonts w:ascii="Lucida Bright" w:hAnsi="Lucida Bright"/>
              <w:i/>
              <w:sz w:val="22"/>
              <w:szCs w:val="22"/>
            </w:rPr>
            <w:t>Characteristics and Conditions</w:t>
          </w:r>
          <w:r w:rsidR="00267D65" w:rsidRPr="00AE3783">
            <w:rPr>
              <w:rFonts w:ascii="Lucida Bright" w:hAnsi="Lucida Bright"/>
              <w:sz w:val="22"/>
              <w:szCs w:val="22"/>
            </w:rPr>
            <w:t>.</w:t>
          </w:r>
        </w:p>
        <w:p w14:paraId="43EF34D8" w14:textId="77777777" w:rsidR="00BA67BF" w:rsidRPr="00AE3783" w:rsidRDefault="00575D4C"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III.</w:t>
          </w:r>
          <w:r w:rsidRPr="00AE3783">
            <w:rPr>
              <w:rFonts w:ascii="Lucida Bright" w:hAnsi="Lucida Bright"/>
              <w:sz w:val="22"/>
              <w:szCs w:val="22"/>
            </w:rPr>
            <w:tab/>
            <w:t>Permit Applicability</w:t>
          </w:r>
        </w:p>
        <w:p w14:paraId="4ACB0ED2" w14:textId="5EADB80A" w:rsidR="00575D4C" w:rsidRPr="00AE3783" w:rsidRDefault="004462F2" w:rsidP="0030638A">
          <w:pPr>
            <w:pStyle w:val="List"/>
            <w:widowControl/>
          </w:pPr>
          <w:r w:rsidRPr="00AE3783">
            <w:t xml:space="preserve">This general permit authorizes the disposal of wastewater generated from livestock manure composting operations and processes, including livestock manure composted with exempt compost materials as defined in 30 TAC </w:t>
          </w:r>
          <w:r w:rsidR="00821AC1" w:rsidRPr="00AE3783">
            <w:t>§</w:t>
          </w:r>
          <w:r w:rsidR="00DB5CD1" w:rsidRPr="00AE3783">
            <w:t xml:space="preserve"> </w:t>
          </w:r>
          <w:r w:rsidR="00821AC1" w:rsidRPr="00AE3783">
            <w:t>332.3</w:t>
          </w:r>
          <w:r w:rsidR="0046566F" w:rsidRPr="00AE3783">
            <w:t xml:space="preserve">, </w:t>
          </w:r>
          <w:r w:rsidR="0046566F" w:rsidRPr="00AE3783">
            <w:rPr>
              <w:i/>
              <w:iCs/>
            </w:rPr>
            <w:t>Applicability</w:t>
          </w:r>
          <w:r w:rsidR="00821AC1" w:rsidRPr="00AE3783">
            <w:t>.</w:t>
          </w:r>
          <w:r w:rsidR="00807B46" w:rsidRPr="00AE3783">
            <w:t xml:space="preserve"> </w:t>
          </w:r>
          <w:r w:rsidR="007E7CE6" w:rsidRPr="00AE3783">
            <w:t xml:space="preserve">Livestock manure is defined in the draft </w:t>
          </w:r>
          <w:r w:rsidR="00807B46" w:rsidRPr="00AE3783">
            <w:t xml:space="preserve">general </w:t>
          </w:r>
          <w:r w:rsidR="007E7CE6" w:rsidRPr="00AE3783">
            <w:t>permit as manure (feces and u</w:t>
          </w:r>
          <w:r w:rsidR="00333517" w:rsidRPr="00AE3783">
            <w:t xml:space="preserve">rine) </w:t>
          </w:r>
          <w:r w:rsidR="00E6008B" w:rsidRPr="00AE3783">
            <w:t xml:space="preserve">excreted by livestock and poultry. Manure includes </w:t>
          </w:r>
          <w:r w:rsidR="00333517" w:rsidRPr="00AE3783">
            <w:t xml:space="preserve">litter, bedding, </w:t>
          </w:r>
          <w:r w:rsidR="00E6008B" w:rsidRPr="00AE3783">
            <w:t>compost,</w:t>
          </w:r>
          <w:r w:rsidR="00333517" w:rsidRPr="00AE3783">
            <w:t xml:space="preserve"> feed</w:t>
          </w:r>
          <w:r w:rsidR="00E6008B" w:rsidRPr="00AE3783">
            <w:t>, and other raw materials commingled with</w:t>
          </w:r>
          <w:r w:rsidR="00333517" w:rsidRPr="00AE3783">
            <w:t xml:space="preserve"> </w:t>
          </w:r>
          <w:r w:rsidR="007E7CE6" w:rsidRPr="00AE3783">
            <w:t>waste from animal feeding operations.</w:t>
          </w:r>
          <w:r w:rsidR="00807B46" w:rsidRPr="00AE3783">
            <w:t xml:space="preserve"> </w:t>
          </w:r>
          <w:r w:rsidR="00575D4C" w:rsidRPr="00AE3783">
            <w:t xml:space="preserve">This authorization is inclusive of any </w:t>
          </w:r>
          <w:r w:rsidR="006C310D" w:rsidRPr="00AE3783">
            <w:t>retention facility, control facility, storage</w:t>
          </w:r>
          <w:r w:rsidR="00575D4C" w:rsidRPr="00AE3783">
            <w:t xml:space="preserve"> or processing areas for livestock manure, compost material derived from livestock manure, livestock </w:t>
          </w:r>
          <w:r w:rsidR="00575D4C" w:rsidRPr="00AE3783">
            <w:lastRenderedPageBreak/>
            <w:t>manure composted with exempt compost material, and storage of finished compost product.</w:t>
          </w:r>
        </w:p>
        <w:p w14:paraId="6B046BA6" w14:textId="21048B03" w:rsidR="00575D4C" w:rsidRPr="00AE3783" w:rsidRDefault="00821AC1" w:rsidP="0030638A">
          <w:pPr>
            <w:pStyle w:val="List"/>
            <w:widowControl/>
          </w:pPr>
          <w:r w:rsidRPr="00AE3783">
            <w:t xml:space="preserve">The following </w:t>
          </w:r>
          <w:r w:rsidR="00575D4C" w:rsidRPr="00AE3783">
            <w:t>are not eligi</w:t>
          </w:r>
          <w:r w:rsidR="00807B46" w:rsidRPr="00AE3783">
            <w:t>ble for general permit coverage:</w:t>
          </w:r>
        </w:p>
        <w:p w14:paraId="23A2A595" w14:textId="4655B9B9" w:rsidR="00575D4C" w:rsidRPr="00AE3783" w:rsidRDefault="00575D4C" w:rsidP="0030638A">
          <w:pPr>
            <w:pStyle w:val="List2"/>
          </w:pPr>
          <w:r w:rsidRPr="00AE3783">
            <w:t>No discharge is allowed into any surface water in the state.</w:t>
          </w:r>
          <w:r w:rsidR="00807B46" w:rsidRPr="00AE3783">
            <w:t xml:space="preserve"> </w:t>
          </w:r>
          <w:r w:rsidRPr="00AE3783">
            <w:t>Discharge adjacent to water in the state by disposal of wastewater by irrigation or evaporation is allowed only under the conditions described in this permit.</w:t>
          </w:r>
        </w:p>
        <w:p w14:paraId="31B71CB9" w14:textId="228D5DB4" w:rsidR="007D1D6C" w:rsidRPr="00AE3783" w:rsidRDefault="00575D4C" w:rsidP="0030638A">
          <w:pPr>
            <w:pStyle w:val="List2"/>
          </w:pPr>
          <w:r w:rsidRPr="00AE3783">
            <w:t xml:space="preserve">This general permit does not authorize the disposal of wastewater generated from livestock manure composting operations and processes which occur at a facility either permitted or otherwise authorized by the Commission as a </w:t>
          </w:r>
          <w:r w:rsidR="00E175E2" w:rsidRPr="00AE3783">
            <w:t xml:space="preserve">concentrated </w:t>
          </w:r>
          <w:r w:rsidRPr="00AE3783">
            <w:t>animal feeding operation (</w:t>
          </w:r>
          <w:r w:rsidR="00E175E2" w:rsidRPr="00AE3783">
            <w:t>C</w:t>
          </w:r>
          <w:r w:rsidRPr="00AE3783">
            <w:t>AFO).</w:t>
          </w:r>
          <w:r w:rsidR="00807B46" w:rsidRPr="00AE3783">
            <w:t xml:space="preserve"> </w:t>
          </w:r>
        </w:p>
        <w:p w14:paraId="58D5A5A5" w14:textId="067BDD50" w:rsidR="001465FA" w:rsidRPr="00AE3783" w:rsidRDefault="006C310D" w:rsidP="0030638A">
          <w:pPr>
            <w:pStyle w:val="List"/>
            <w:widowControl/>
            <w:rPr>
              <w:color w:val="000000"/>
              <w:kern w:val="2"/>
            </w:rPr>
          </w:pPr>
          <w:r w:rsidRPr="00AE3783">
            <w:t>Additional</w:t>
          </w:r>
          <w:r w:rsidR="001465FA" w:rsidRPr="00AE3783">
            <w:t xml:space="preserve"> authorization may be required for discharges into or adjacent to water in the state, located within ten stream miles upstream of the Edwards Aquifer recharge zone, as defined i</w:t>
          </w:r>
          <w:r w:rsidR="00333517" w:rsidRPr="00AE3783">
            <w:t>n 30 TAC</w:t>
          </w:r>
          <w:r w:rsidR="001465FA" w:rsidRPr="00AE3783">
            <w:t xml:space="preserve"> Chapter 213</w:t>
          </w:r>
          <w:r w:rsidR="00E8323E" w:rsidRPr="00AE3783">
            <w:t>,</w:t>
          </w:r>
          <w:r w:rsidR="001465FA" w:rsidRPr="00AE3783">
            <w:t xml:space="preserve"> </w:t>
          </w:r>
          <w:r w:rsidR="001465FA" w:rsidRPr="00AE3783">
            <w:rPr>
              <w:i/>
            </w:rPr>
            <w:t>Edwards Aquifer</w:t>
          </w:r>
          <w:r w:rsidR="001465FA" w:rsidRPr="00AE3783">
            <w:t>.</w:t>
          </w:r>
        </w:p>
        <w:p w14:paraId="17408CE0" w14:textId="58E605FA" w:rsidR="00207F57" w:rsidRPr="00AE3783" w:rsidRDefault="001465FA" w:rsidP="0030638A">
          <w:pPr>
            <w:pStyle w:val="List"/>
            <w:widowControl/>
          </w:pPr>
          <w:r w:rsidRPr="00AE3783">
            <w:t xml:space="preserve">Facilities that recycle </w:t>
          </w:r>
          <w:r w:rsidR="00333517" w:rsidRPr="00AE3783">
            <w:t>all wastewater, including storm</w:t>
          </w:r>
          <w:r w:rsidRPr="00AE3783">
            <w:t>water associated with industrial activities, back into the composting process, and that do not dispose of wastewater by land irrigation or evaporation, are not required to be authorized by this general permit.</w:t>
          </w:r>
        </w:p>
        <w:p w14:paraId="2269305D" w14:textId="4D3F0613" w:rsidR="009477A1" w:rsidRPr="00AE3783" w:rsidRDefault="00250DC1" w:rsidP="0030638A">
          <w:pPr>
            <w:pStyle w:val="List"/>
            <w:widowControl/>
          </w:pPr>
          <w:r w:rsidRPr="00AE3783">
            <w:t>This general permit does not authorize the storage, processing, or disposal of solid waste, including livestock manure, compost, or exempt compost materials.</w:t>
          </w:r>
          <w:r w:rsidR="00807B46" w:rsidRPr="00AE3783">
            <w:t xml:space="preserve"> </w:t>
          </w:r>
          <w:r w:rsidRPr="00AE3783">
            <w:t>It is the responsibility of any person conducting such activities to comply with any applicable requirements of the Commission, as described in 30 TAC Chapters 312, 330, 332, and 335</w:t>
          </w:r>
          <w:r w:rsidR="00E8323E" w:rsidRPr="00AE3783">
            <w:t>,</w:t>
          </w:r>
          <w:r w:rsidRPr="00AE3783">
            <w:t xml:space="preserve"> Sewage Sludge Use, Disposal, and Transportation, Municipal Solid Waste, Composting</w:t>
          </w:r>
          <w:r w:rsidR="006C310D" w:rsidRPr="00AE3783">
            <w:t>,</w:t>
          </w:r>
          <w:r w:rsidRPr="00AE3783">
            <w:t xml:space="preserve"> and Industrial Solid Waste and Municipa</w:t>
          </w:r>
          <w:r w:rsidR="006C310D" w:rsidRPr="00AE3783">
            <w:t>l Hazardous Waste, respectively</w:t>
          </w:r>
          <w:r w:rsidRPr="00AE3783">
            <w:t>.</w:t>
          </w:r>
        </w:p>
        <w:p w14:paraId="38712219" w14:textId="05D8ECF5" w:rsidR="001C2513" w:rsidRPr="00AE3783" w:rsidRDefault="00E8323E" w:rsidP="0030638A">
          <w:pPr>
            <w:pStyle w:val="List"/>
            <w:widowControl/>
          </w:pPr>
          <w:r w:rsidRPr="00AE3783">
            <w:t xml:space="preserve">The executive director will deny an application for authorization under this general permit and may require that the applicant apply for an individual permit, if the executive director determines that </w:t>
          </w:r>
          <w:r w:rsidR="00EC6D15" w:rsidRPr="00AE3783">
            <w:t>disposal activities</w:t>
          </w:r>
          <w:r w:rsidRPr="00AE3783">
            <w:t xml:space="preserve"> will not maintain existing uses of receiving waters. </w:t>
          </w:r>
        </w:p>
        <w:p w14:paraId="6735E967" w14:textId="6E07359D" w:rsidR="006C310D" w:rsidRPr="00AE3783" w:rsidRDefault="001C2513" w:rsidP="0030638A">
          <w:pPr>
            <w:pStyle w:val="List"/>
            <w:widowControl/>
          </w:pPr>
          <w:r w:rsidRPr="00AE3783">
            <w:t>T</w:t>
          </w:r>
          <w:r w:rsidR="00E8323E" w:rsidRPr="00AE3783">
            <w:t xml:space="preserve">he executive director may cancel, revoke, or suspend authorization </w:t>
          </w:r>
          <w:r w:rsidR="00EC6D15" w:rsidRPr="00AE3783">
            <w:t>for disposal</w:t>
          </w:r>
          <w:r w:rsidR="00E8323E" w:rsidRPr="00AE3783">
            <w:t xml:space="preserve"> under this general permit based on a finding of historical and significant noncompliance with the provisions of this general permit. The executive director shall deny or suspend a facility’s authorization </w:t>
          </w:r>
          <w:r w:rsidR="00EC6D15" w:rsidRPr="00AE3783">
            <w:t>for disposal</w:t>
          </w:r>
          <w:r w:rsidR="00E8323E" w:rsidRPr="00AE3783">
            <w:t xml:space="preserve"> under this general permit based on a rating of “unsatisfactory performer” according to commission rules in 30 TAC §</w:t>
          </w:r>
          <w:r w:rsidR="00DB5CD1" w:rsidRPr="00AE3783">
            <w:t xml:space="preserve"> </w:t>
          </w:r>
          <w:r w:rsidR="00E8323E" w:rsidRPr="00AE3783">
            <w:t>60.3, Use of Compliance History</w:t>
          </w:r>
          <w:r w:rsidR="00256C24" w:rsidRPr="00AE3783">
            <w:t xml:space="preserve">, </w:t>
          </w:r>
          <w:r w:rsidR="007F442F" w:rsidRPr="00AE3783">
            <w:t xml:space="preserve">30 TAC Chapter 205, General Permits for Waste Discharges, </w:t>
          </w:r>
          <w:r w:rsidR="00256C24" w:rsidRPr="00AE3783">
            <w:t>and Texas Water Code (</w:t>
          </w:r>
          <w:r w:rsidR="00256C24" w:rsidRPr="00AE3783">
            <w:rPr>
              <w:bCs/>
            </w:rPr>
            <w:t>TWC)</w:t>
          </w:r>
          <w:r w:rsidR="007F442F" w:rsidRPr="00AE3783">
            <w:rPr>
              <w:bCs/>
            </w:rPr>
            <w:t xml:space="preserve"> §</w:t>
          </w:r>
          <w:r w:rsidR="00DB5CD1" w:rsidRPr="00AE3783">
            <w:rPr>
              <w:bCs/>
            </w:rPr>
            <w:t xml:space="preserve"> </w:t>
          </w:r>
          <w:r w:rsidR="00256C24" w:rsidRPr="00AE3783">
            <w:rPr>
              <w:bCs/>
            </w:rPr>
            <w:t>26.040(h)</w:t>
          </w:r>
          <w:r w:rsidR="00E8323E" w:rsidRPr="00AE3783">
            <w:t>.</w:t>
          </w:r>
        </w:p>
        <w:p w14:paraId="1A4809D5" w14:textId="77777777" w:rsidR="0001110D" w:rsidRPr="00AE3783" w:rsidRDefault="009477A1"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lastRenderedPageBreak/>
            <w:t>IV.</w:t>
          </w:r>
          <w:r w:rsidRPr="00AE3783">
            <w:rPr>
              <w:rFonts w:ascii="Lucida Bright" w:hAnsi="Lucida Bright"/>
              <w:sz w:val="22"/>
              <w:szCs w:val="22"/>
            </w:rPr>
            <w:tab/>
            <w:t xml:space="preserve">Permit </w:t>
          </w:r>
          <w:r w:rsidR="00450E27" w:rsidRPr="00AE3783">
            <w:rPr>
              <w:rFonts w:ascii="Lucida Bright" w:hAnsi="Lucida Bright"/>
              <w:sz w:val="22"/>
              <w:szCs w:val="22"/>
            </w:rPr>
            <w:t>L</w:t>
          </w:r>
          <w:r w:rsidRPr="00AE3783">
            <w:rPr>
              <w:rFonts w:ascii="Lucida Bright" w:hAnsi="Lucida Bright"/>
              <w:sz w:val="22"/>
              <w:szCs w:val="22"/>
            </w:rPr>
            <w:t>imitations</w:t>
          </w:r>
          <w:r w:rsidR="00D75265" w:rsidRPr="00AE3783">
            <w:rPr>
              <w:rFonts w:ascii="Lucida Bright" w:hAnsi="Lucida Bright"/>
              <w:sz w:val="22"/>
              <w:szCs w:val="22"/>
            </w:rPr>
            <w:t xml:space="preserve"> and Requirements</w:t>
          </w:r>
        </w:p>
        <w:p w14:paraId="58ADFC0E" w14:textId="25A0B43C" w:rsidR="0001110D" w:rsidRPr="00AE3783" w:rsidRDefault="0001110D" w:rsidP="0030638A">
          <w:pPr>
            <w:pStyle w:val="List"/>
            <w:widowControl/>
            <w:numPr>
              <w:ilvl w:val="0"/>
              <w:numId w:val="24"/>
            </w:numPr>
            <w:ind w:left="990" w:hanging="450"/>
          </w:pPr>
          <w:r w:rsidRPr="00AE3783">
            <w:t xml:space="preserve">Eligible facilities must develop and implement </w:t>
          </w:r>
          <w:r w:rsidR="006C310D" w:rsidRPr="00AE3783">
            <w:t>a Technical</w:t>
          </w:r>
          <w:r w:rsidRPr="00AE3783">
            <w:t xml:space="preserve"> Report that shall include the design of the </w:t>
          </w:r>
          <w:r w:rsidR="00E8323E" w:rsidRPr="00AE3783">
            <w:t xml:space="preserve">retention facility and irrigation system, </w:t>
          </w:r>
          <w:r w:rsidRPr="00AE3783">
            <w:t>site drawings, information regarding geological formations</w:t>
          </w:r>
          <w:r w:rsidR="00E8323E" w:rsidRPr="00AE3783">
            <w:t xml:space="preserve"> that may provide a hydrologic connection for surface water to recharge groundwater</w:t>
          </w:r>
          <w:r w:rsidRPr="00AE3783">
            <w:t xml:space="preserve">, a soil survey, </w:t>
          </w:r>
          <w:r w:rsidR="00B8300A" w:rsidRPr="00AE3783">
            <w:t>and an assessment of the impact of wastewater irrigation on the uses and water quality of local groundwater resources</w:t>
          </w:r>
          <w:r w:rsidRPr="00AE3783">
            <w:t>.</w:t>
          </w:r>
        </w:p>
        <w:p w14:paraId="25AB9076" w14:textId="212F205D" w:rsidR="00E95502" w:rsidRPr="00AE3783" w:rsidRDefault="00B8300A" w:rsidP="0030638A">
          <w:pPr>
            <w:pStyle w:val="List"/>
            <w:widowControl/>
          </w:pPr>
          <w:r w:rsidRPr="00AE3783">
            <w:t>A licensed Texas professional engineer shall design retention facilities and irrigation systems in a manner that limits hydraulic and nutrient application rates and wastewater storage needs.</w:t>
          </w:r>
        </w:p>
        <w:p w14:paraId="41D1BD82" w14:textId="048F96EF" w:rsidR="00E95502" w:rsidRPr="00AE3783" w:rsidRDefault="00E95502" w:rsidP="0030638A">
          <w:pPr>
            <w:pStyle w:val="List"/>
            <w:widowControl/>
          </w:pPr>
          <w:r w:rsidRPr="00AE3783">
            <w:t xml:space="preserve">All retention facilities shall be designed and </w:t>
          </w:r>
          <w:r w:rsidR="00B8300A" w:rsidRPr="00AE3783">
            <w:t>maintained to prevent any discharge to surface water in the state</w:t>
          </w:r>
          <w:r w:rsidR="0042447A" w:rsidRPr="00AE3783">
            <w:t xml:space="preserve"> and to prevent groundwater contamination</w:t>
          </w:r>
          <w:r w:rsidR="00256C24" w:rsidRPr="00AE3783">
            <w:t xml:space="preserve">. </w:t>
          </w:r>
          <w:r w:rsidR="009105F5" w:rsidRPr="00AE3783">
            <w:t>T</w:t>
          </w:r>
          <w:r w:rsidR="000F454C" w:rsidRPr="00AE3783">
            <w:t>he design shall include a top freeboar</w:t>
          </w:r>
          <w:r w:rsidR="00256C24" w:rsidRPr="00AE3783">
            <w:t xml:space="preserve">d of not less than two feet. </w:t>
          </w:r>
          <w:r w:rsidR="009105F5" w:rsidRPr="00AE3783">
            <w:t xml:space="preserve">Retention facilities </w:t>
          </w:r>
          <w:r w:rsidR="0051706C" w:rsidRPr="00AE3783">
            <w:t>shall</w:t>
          </w:r>
          <w:r w:rsidR="000F454C" w:rsidRPr="00AE3783">
            <w:t xml:space="preserve"> not </w:t>
          </w:r>
          <w:proofErr w:type="gramStart"/>
          <w:r w:rsidR="000F454C" w:rsidRPr="00AE3783">
            <w:t>be located in</w:t>
          </w:r>
          <w:proofErr w:type="gramEnd"/>
          <w:r w:rsidR="000F454C" w:rsidRPr="00AE3783">
            <w:t xml:space="preserve"> the 100-year flood plain unless protected from inundation and damage that may occur during </w:t>
          </w:r>
          <w:r w:rsidR="00E175E2" w:rsidRPr="00AE3783">
            <w:t xml:space="preserve">the 100-year </w:t>
          </w:r>
          <w:r w:rsidR="000F454C" w:rsidRPr="00AE3783">
            <w:t>flood event.</w:t>
          </w:r>
          <w:r w:rsidR="00807B46" w:rsidRPr="00AE3783">
            <w:t xml:space="preserve"> </w:t>
          </w:r>
        </w:p>
        <w:p w14:paraId="265FF85F" w14:textId="247026A8" w:rsidR="009105F5" w:rsidRPr="00AE3783" w:rsidRDefault="00B8300A" w:rsidP="0030638A">
          <w:pPr>
            <w:pStyle w:val="List"/>
            <w:widowControl/>
          </w:pPr>
          <w:r w:rsidRPr="00AE3783">
            <w:t>Retention facility design for irrigation systems</w:t>
          </w:r>
          <w:r w:rsidR="009105F5" w:rsidRPr="00AE3783">
            <w:t xml:space="preserve"> shall be based on the larger of:</w:t>
          </w:r>
        </w:p>
        <w:p w14:paraId="4AC82DAD" w14:textId="6CBA0B8B" w:rsidR="009105F5" w:rsidRPr="00AE3783" w:rsidRDefault="00E175E2" w:rsidP="0030638A">
          <w:pPr>
            <w:pStyle w:val="List2"/>
            <w:numPr>
              <w:ilvl w:val="0"/>
              <w:numId w:val="0"/>
            </w:numPr>
            <w:ind w:left="1620"/>
          </w:pPr>
          <w:r w:rsidRPr="00AE3783">
            <w:t xml:space="preserve">(1) </w:t>
          </w:r>
          <w:r w:rsidR="009105F5" w:rsidRPr="00AE3783">
            <w:t>a 25-year/24</w:t>
          </w:r>
          <w:r w:rsidR="00924C90" w:rsidRPr="00AE3783">
            <w:t>-</w:t>
          </w:r>
          <w:r w:rsidR="009105F5" w:rsidRPr="00AE3783">
            <w:t>hour storm event</w:t>
          </w:r>
          <w:r w:rsidR="00533CD5" w:rsidRPr="00AE3783">
            <w:t>;</w:t>
          </w:r>
          <w:r w:rsidR="009105F5" w:rsidRPr="00AE3783">
            <w:t xml:space="preserve"> or</w:t>
          </w:r>
        </w:p>
        <w:p w14:paraId="7C8D2587" w14:textId="148BB560" w:rsidR="00B8300A" w:rsidRPr="00AE3783" w:rsidRDefault="000272CE" w:rsidP="0030638A">
          <w:pPr>
            <w:pStyle w:val="List2"/>
            <w:numPr>
              <w:ilvl w:val="0"/>
              <w:numId w:val="0"/>
            </w:numPr>
            <w:ind w:left="1620"/>
          </w:pPr>
          <w:r w:rsidRPr="00AE3783">
            <w:t>(</w:t>
          </w:r>
          <w:proofErr w:type="gramStart"/>
          <w:r w:rsidRPr="00AE3783">
            <w:t>2)</w:t>
          </w:r>
          <w:r w:rsidR="009105F5" w:rsidRPr="00AE3783">
            <w:t>the</w:t>
          </w:r>
          <w:proofErr w:type="gramEnd"/>
          <w:r w:rsidR="009105F5" w:rsidRPr="00AE3783">
            <w:t xml:space="preserve"> highest annual rainfall amount and the lowest annual evaporation from </w:t>
          </w:r>
          <w:r w:rsidR="00533CD5" w:rsidRPr="00AE3783">
            <w:t xml:space="preserve">25 </w:t>
          </w:r>
          <w:r w:rsidR="009105F5" w:rsidRPr="00AE3783">
            <w:t xml:space="preserve">years of meteorological records. </w:t>
          </w:r>
        </w:p>
        <w:p w14:paraId="4DE5AA85" w14:textId="4044BD0A" w:rsidR="00533CD5" w:rsidRPr="00AE3783" w:rsidRDefault="00533CD5" w:rsidP="0030638A">
          <w:pPr>
            <w:pStyle w:val="List"/>
            <w:widowControl/>
          </w:pPr>
          <w:r w:rsidRPr="00AE3783">
            <w:t>Retention facility design for evaporation systems shall be based on</w:t>
          </w:r>
          <w:r w:rsidR="003F17EB" w:rsidRPr="00AE3783">
            <w:t xml:space="preserve"> the larger of</w:t>
          </w:r>
          <w:r w:rsidRPr="00AE3783">
            <w:t xml:space="preserve"> two evaluations:</w:t>
          </w:r>
        </w:p>
        <w:p w14:paraId="7ECBA188" w14:textId="1E43D2A9" w:rsidR="00533CD5" w:rsidRPr="00AE3783" w:rsidRDefault="000272CE" w:rsidP="0030638A">
          <w:pPr>
            <w:pStyle w:val="List2"/>
            <w:numPr>
              <w:ilvl w:val="0"/>
              <w:numId w:val="0"/>
            </w:numPr>
            <w:ind w:left="1620"/>
          </w:pPr>
          <w:r w:rsidRPr="00AE3783">
            <w:t xml:space="preserve">(1) </w:t>
          </w:r>
          <w:r w:rsidR="00F872C4" w:rsidRPr="00AE3783">
            <w:t xml:space="preserve">average rainfall conditions, </w:t>
          </w:r>
          <w:r w:rsidR="00256C24" w:rsidRPr="00AE3783">
            <w:t>or</w:t>
          </w:r>
        </w:p>
        <w:p w14:paraId="6500C9DA" w14:textId="7B0B2B05" w:rsidR="00F872C4" w:rsidRPr="00AE3783" w:rsidRDefault="000272CE" w:rsidP="0030638A">
          <w:pPr>
            <w:pStyle w:val="List2"/>
            <w:numPr>
              <w:ilvl w:val="0"/>
              <w:numId w:val="0"/>
            </w:numPr>
            <w:ind w:left="1620"/>
          </w:pPr>
          <w:r w:rsidRPr="00AE3783">
            <w:t xml:space="preserve">(2) </w:t>
          </w:r>
          <w:r w:rsidR="00F872C4" w:rsidRPr="00AE3783">
            <w:t>lowest net evaporation conditions in the last 25 years.</w:t>
          </w:r>
        </w:p>
        <w:p w14:paraId="6A4C9C51" w14:textId="7EF15FBA" w:rsidR="00F872C4" w:rsidRPr="00AE3783" w:rsidRDefault="00F872C4" w:rsidP="0030638A">
          <w:pPr>
            <w:pStyle w:val="List"/>
            <w:widowControl/>
          </w:pPr>
          <w:r w:rsidRPr="00AE3783">
            <w:t>The wastewater irrigation system must be designed and operated to prevent a discharge from entering surface water in the state.</w:t>
          </w:r>
        </w:p>
        <w:p w14:paraId="1815AD63" w14:textId="0CF25597" w:rsidR="00F872C4" w:rsidRPr="00AE3783" w:rsidRDefault="00F872C4" w:rsidP="0030638A">
          <w:pPr>
            <w:pStyle w:val="List"/>
            <w:widowControl/>
          </w:pPr>
          <w:r w:rsidRPr="00AE3783">
            <w:t>The wastewater irrigation system must be designed and operated in a manner not to exceed an irrigation application rate as determined by the water balance study, 3.2 acre-feet wastewater/acre/year, or 100 pounds organic material/acre/day, whichever is more stringent.</w:t>
          </w:r>
        </w:p>
        <w:p w14:paraId="12A98044" w14:textId="1246E251" w:rsidR="00E95502" w:rsidRPr="00AE3783" w:rsidRDefault="00E95502" w:rsidP="0030638A">
          <w:pPr>
            <w:pStyle w:val="List"/>
            <w:widowControl/>
          </w:pPr>
          <w:r w:rsidRPr="00AE3783">
            <w:t>Soil samples shall be collected prior to commencing wastewater irrigation</w:t>
          </w:r>
          <w:r w:rsidR="000272CE" w:rsidRPr="00AE3783">
            <w:t>,</w:t>
          </w:r>
          <w:r w:rsidRPr="00AE3783">
            <w:t xml:space="preserve"> and annually thereafter.</w:t>
          </w:r>
          <w:r w:rsidR="00807B46" w:rsidRPr="00AE3783">
            <w:t xml:space="preserve"> </w:t>
          </w:r>
          <w:r w:rsidRPr="00AE3783">
            <w:t xml:space="preserve">Wastewater shall not be applied to an area with an extractable phosphorus level of greater than 200 </w:t>
          </w:r>
          <w:r w:rsidR="0046566F" w:rsidRPr="00AE3783">
            <w:t>milligram/kilogram (</w:t>
          </w:r>
          <w:r w:rsidRPr="00AE3783">
            <w:t>mg</w:t>
          </w:r>
          <w:r w:rsidR="007E7CE6" w:rsidRPr="00AE3783">
            <w:t>/</w:t>
          </w:r>
          <w:r w:rsidRPr="00AE3783">
            <w:t>kg</w:t>
          </w:r>
          <w:r w:rsidR="0046566F" w:rsidRPr="00AE3783">
            <w:t>)</w:t>
          </w:r>
          <w:r w:rsidRPr="00AE3783">
            <w:t>.</w:t>
          </w:r>
        </w:p>
        <w:p w14:paraId="0BAA6741" w14:textId="786CDB9A" w:rsidR="00984174" w:rsidRPr="00AE3783" w:rsidRDefault="00E95502" w:rsidP="0030638A">
          <w:pPr>
            <w:pStyle w:val="List"/>
            <w:widowControl/>
          </w:pPr>
          <w:r w:rsidRPr="00AE3783">
            <w:lastRenderedPageBreak/>
            <w:t>The wastewater shall be tested at the time irrigation is initiated and at a frequency of once every three months for 5-day biochemical ox</w:t>
          </w:r>
          <w:r w:rsidR="00512781" w:rsidRPr="00AE3783">
            <w:t>ygen demand, total nitrogen,</w:t>
          </w:r>
          <w:r w:rsidRPr="00AE3783">
            <w:t xml:space="preserve"> total </w:t>
          </w:r>
          <w:r w:rsidR="00512781" w:rsidRPr="00AE3783">
            <w:t>phosphorus, and total dissolved solids</w:t>
          </w:r>
          <w:r w:rsidRPr="00AE3783">
            <w:t>.</w:t>
          </w:r>
        </w:p>
        <w:p w14:paraId="182C2083" w14:textId="0331A626" w:rsidR="00D75265" w:rsidRPr="00AE3783" w:rsidRDefault="00D75265" w:rsidP="0030638A">
          <w:pPr>
            <w:pStyle w:val="List"/>
            <w:widowControl/>
          </w:pPr>
          <w:r w:rsidRPr="00AE3783">
            <w:t xml:space="preserve">The permittee shall maintain records of all </w:t>
          </w:r>
          <w:proofErr w:type="gramStart"/>
          <w:r w:rsidRPr="00AE3783">
            <w:t>wastewater</w:t>
          </w:r>
          <w:proofErr w:type="gramEnd"/>
          <w:r w:rsidRPr="00AE3783">
            <w:t xml:space="preserve"> that is beneficially used by irrigation or that is used in the production of compost.</w:t>
          </w:r>
        </w:p>
        <w:p w14:paraId="6FE7F8CF" w14:textId="77777777" w:rsidR="00BD3C27" w:rsidRPr="00AE3783" w:rsidRDefault="003072B0"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V.</w:t>
          </w:r>
          <w:r w:rsidRPr="00AE3783">
            <w:rPr>
              <w:rFonts w:ascii="Lucida Bright" w:hAnsi="Lucida Bright"/>
              <w:sz w:val="22"/>
              <w:szCs w:val="22"/>
            </w:rPr>
            <w:tab/>
            <w:t xml:space="preserve">Changes </w:t>
          </w:r>
          <w:r w:rsidR="00924C90" w:rsidRPr="00AE3783">
            <w:rPr>
              <w:rFonts w:ascii="Lucida Bright" w:hAnsi="Lucida Bright"/>
              <w:sz w:val="22"/>
              <w:szCs w:val="22"/>
            </w:rPr>
            <w:t>f</w:t>
          </w:r>
          <w:r w:rsidRPr="00AE3783">
            <w:rPr>
              <w:rFonts w:ascii="Lucida Bright" w:hAnsi="Lucida Bright"/>
              <w:sz w:val="22"/>
              <w:szCs w:val="22"/>
            </w:rPr>
            <w:t>rom Existing General Permit</w:t>
          </w:r>
        </w:p>
        <w:p w14:paraId="4283D47F" w14:textId="3246F71D" w:rsidR="006C47BE" w:rsidRPr="00AE3783" w:rsidRDefault="00A25AD3" w:rsidP="0030638A">
          <w:pPr>
            <w:pStyle w:val="List"/>
            <w:widowControl/>
            <w:numPr>
              <w:ilvl w:val="0"/>
              <w:numId w:val="28"/>
            </w:numPr>
            <w:spacing w:after="0"/>
            <w:ind w:left="990" w:hanging="450"/>
            <w:rPr>
              <w:rFonts w:eastAsiaTheme="majorEastAsia"/>
            </w:rPr>
          </w:pPr>
          <w:bookmarkStart w:id="0" w:name="_Hlk108443668"/>
          <w:r w:rsidRPr="00AE3783">
            <w:rPr>
              <w:rFonts w:eastAsiaTheme="majorEastAsia"/>
            </w:rPr>
            <w:t>Extended the p</w:t>
          </w:r>
          <w:r w:rsidR="006C47BE" w:rsidRPr="00AE3783">
            <w:rPr>
              <w:rFonts w:eastAsiaTheme="majorEastAsia"/>
            </w:rPr>
            <w:t xml:space="preserve">ermit expiration </w:t>
          </w:r>
          <w:r w:rsidRPr="00AE3783">
            <w:rPr>
              <w:rFonts w:eastAsiaTheme="majorEastAsia"/>
            </w:rPr>
            <w:t>date</w:t>
          </w:r>
          <w:r w:rsidR="006C47BE" w:rsidRPr="00AE3783">
            <w:rPr>
              <w:rFonts w:eastAsiaTheme="majorEastAsia"/>
            </w:rPr>
            <w:t xml:space="preserve"> from five years to ten years </w:t>
          </w:r>
          <w:r w:rsidRPr="00AE3783">
            <w:rPr>
              <w:rFonts w:eastAsiaTheme="majorEastAsia"/>
            </w:rPr>
            <w:t>for consistency with other state-only land application permits, based on 30 TAC § 305.127(1)(C)(ii)(III) regarding permit conditions and characteristics for other wastewater permits, including permits which regulate land disposal systems</w:t>
          </w:r>
          <w:r w:rsidR="006C47BE" w:rsidRPr="00AE3783">
            <w:rPr>
              <w:rFonts w:eastAsiaTheme="majorEastAsia"/>
            </w:rPr>
            <w:t>.</w:t>
          </w:r>
        </w:p>
        <w:p w14:paraId="582B0A78" w14:textId="35F992DC" w:rsidR="00E6008B" w:rsidRPr="00AE3783" w:rsidRDefault="00E6008B" w:rsidP="0030638A">
          <w:pPr>
            <w:pStyle w:val="List"/>
            <w:widowControl/>
            <w:spacing w:after="0"/>
            <w:rPr>
              <w:rFonts w:eastAsiaTheme="majorEastAsia"/>
            </w:rPr>
          </w:pPr>
          <w:r w:rsidRPr="00AE3783">
            <w:rPr>
              <w:rFonts w:eastAsiaTheme="majorEastAsia"/>
            </w:rPr>
            <w:t xml:space="preserve">Throughout the permit, the phrase "coverage" was replaced with "authorization" for clarity. </w:t>
          </w:r>
        </w:p>
        <w:p w14:paraId="063D79AF" w14:textId="77777777" w:rsidR="00E6008B" w:rsidRPr="00AE3783" w:rsidRDefault="00E6008B" w:rsidP="0030638A">
          <w:pPr>
            <w:pStyle w:val="List"/>
            <w:widowControl/>
            <w:spacing w:after="0"/>
            <w:rPr>
              <w:rFonts w:eastAsiaTheme="majorEastAsia"/>
            </w:rPr>
          </w:pPr>
          <w:r w:rsidRPr="00AE3783">
            <w:rPr>
              <w:rFonts w:eastAsiaTheme="majorEastAsia"/>
            </w:rPr>
            <w:t>Revised definitions provided under Part I for clarity. Specifically:</w:t>
          </w:r>
        </w:p>
        <w:p w14:paraId="7F71EB1D" w14:textId="77777777" w:rsidR="00E6008B" w:rsidRPr="00AE3783" w:rsidRDefault="00E6008B" w:rsidP="0030638A">
          <w:pPr>
            <w:pStyle w:val="ListBullet4"/>
            <w:widowControl/>
          </w:pPr>
          <w:r w:rsidRPr="00AE3783">
            <w:t>Compost was revised to clarify that it is, “the stabilized product of the decomposition process from organic materials…”</w:t>
          </w:r>
        </w:p>
        <w:p w14:paraId="5055AEBF" w14:textId="77777777" w:rsidR="00E6008B" w:rsidRPr="00AE3783" w:rsidRDefault="00E6008B" w:rsidP="0030638A">
          <w:pPr>
            <w:pStyle w:val="ListBullet4"/>
            <w:widowControl/>
          </w:pPr>
          <w:r w:rsidRPr="00AE3783">
            <w:t>Control facility was revised to specify that it, “…includes any system for the collection and retention of manure, wastewater, and compost.”</w:t>
          </w:r>
        </w:p>
        <w:p w14:paraId="021DAEEE" w14:textId="77777777" w:rsidR="00E6008B" w:rsidRPr="00AE3783" w:rsidRDefault="00E6008B" w:rsidP="0030638A">
          <w:pPr>
            <w:pStyle w:val="ListBullet4"/>
            <w:widowControl/>
          </w:pPr>
          <w:r w:rsidRPr="00AE3783">
            <w:t>Livestock Manure was revised to specify, “Manure (feces and urine) excreted by livestock and poultry. Manure includes litter, bedding, compost, feed, and other raw materials commingled with waste from animal feeding operations.”</w:t>
          </w:r>
        </w:p>
        <w:p w14:paraId="47CC9642" w14:textId="77777777" w:rsidR="00E6008B" w:rsidRPr="00AE3783" w:rsidRDefault="00E6008B" w:rsidP="0030638A">
          <w:pPr>
            <w:pStyle w:val="ListBullet4"/>
            <w:widowControl/>
          </w:pPr>
          <w:r w:rsidRPr="00AE3783">
            <w:t>Other non-substantive updates.</w:t>
          </w:r>
        </w:p>
        <w:p w14:paraId="0EAD4BDB" w14:textId="77777777" w:rsidR="00E6008B" w:rsidRPr="00AE3783" w:rsidRDefault="00E6008B" w:rsidP="0030638A">
          <w:pPr>
            <w:pStyle w:val="List"/>
            <w:widowControl/>
            <w:spacing w:after="0"/>
            <w:rPr>
              <w:rFonts w:eastAsiaTheme="majorEastAsia"/>
            </w:rPr>
          </w:pPr>
          <w:r w:rsidRPr="00AE3783">
            <w:rPr>
              <w:rFonts w:eastAsiaTheme="majorEastAsia"/>
            </w:rPr>
            <w:t xml:space="preserve">Revised Part II, Section B.4 to include Uvalde, which had previously been omitted, for consistency with 30 TAC Chapter 213, </w:t>
          </w:r>
          <w:r w:rsidRPr="00AE3783">
            <w:rPr>
              <w:rFonts w:eastAsiaTheme="majorEastAsia"/>
              <w:i/>
              <w:iCs/>
            </w:rPr>
            <w:t>Edwards Aquifer</w:t>
          </w:r>
          <w:r w:rsidRPr="00AE3783">
            <w:rPr>
              <w:rFonts w:eastAsiaTheme="majorEastAsia"/>
            </w:rPr>
            <w:t>.</w:t>
          </w:r>
        </w:p>
        <w:p w14:paraId="2943CDED" w14:textId="77777777" w:rsidR="00E6008B" w:rsidRPr="00AE3783" w:rsidRDefault="00E6008B" w:rsidP="0030638A">
          <w:pPr>
            <w:pStyle w:val="List"/>
            <w:widowControl/>
            <w:spacing w:after="0"/>
            <w:rPr>
              <w:rFonts w:eastAsiaTheme="majorEastAsia"/>
            </w:rPr>
          </w:pPr>
          <w:r w:rsidRPr="00AE3783">
            <w:rPr>
              <w:rFonts w:eastAsiaTheme="majorEastAsia"/>
            </w:rPr>
            <w:t xml:space="preserve">Revised Part II, Section C.1 regarding the contents of an NOI to include new provision h. requiring the applicant to provide the receiving water body name and segment number that potential runoff would reach. Existing provision h. has been renumbered as </w:t>
          </w:r>
          <w:proofErr w:type="spellStart"/>
          <w:r w:rsidRPr="00AE3783">
            <w:rPr>
              <w:rFonts w:eastAsiaTheme="majorEastAsia"/>
            </w:rPr>
            <w:t>i</w:t>
          </w:r>
          <w:proofErr w:type="spellEnd"/>
          <w:r w:rsidRPr="00AE3783">
            <w:rPr>
              <w:rFonts w:eastAsiaTheme="majorEastAsia"/>
            </w:rPr>
            <w:t xml:space="preserve">. </w:t>
          </w:r>
        </w:p>
        <w:p w14:paraId="293FCDDF" w14:textId="09E92FEB" w:rsidR="00E6008B" w:rsidRPr="00AE3783" w:rsidRDefault="00E6008B" w:rsidP="0030638A">
          <w:pPr>
            <w:pStyle w:val="List"/>
            <w:widowControl/>
            <w:spacing w:after="0"/>
            <w:rPr>
              <w:rFonts w:eastAsiaTheme="majorEastAsia"/>
            </w:rPr>
          </w:pPr>
          <w:r w:rsidRPr="00AE3783">
            <w:rPr>
              <w:rFonts w:eastAsiaTheme="majorEastAsia"/>
            </w:rPr>
            <w:t xml:space="preserve">Removed provision under Part II, Section C.2 regarding requirement to submit a new NOI for an existing authorization under the previous general permit </w:t>
          </w:r>
          <w:r w:rsidR="00105C7E" w:rsidRPr="00AE3783">
            <w:rPr>
              <w:rFonts w:eastAsiaTheme="majorEastAsia"/>
            </w:rPr>
            <w:t xml:space="preserve">that became effective November 10, 2013, </w:t>
          </w:r>
          <w:r w:rsidRPr="00AE3783">
            <w:rPr>
              <w:rFonts w:eastAsiaTheme="majorEastAsia"/>
            </w:rPr>
            <w:t>because this language is already contained elsewhere in the general permit. Subsequent requirements in this section have been renumbered.</w:t>
          </w:r>
        </w:p>
        <w:p w14:paraId="0FC9B683" w14:textId="77777777" w:rsidR="00E6008B" w:rsidRPr="00AE3783" w:rsidRDefault="00E6008B" w:rsidP="0030638A">
          <w:pPr>
            <w:pStyle w:val="List"/>
            <w:widowControl/>
            <w:spacing w:after="0"/>
            <w:rPr>
              <w:rFonts w:eastAsiaTheme="majorEastAsia"/>
            </w:rPr>
          </w:pPr>
          <w:r w:rsidRPr="00AE3783">
            <w:rPr>
              <w:rFonts w:eastAsiaTheme="majorEastAsia"/>
            </w:rPr>
            <w:t>Revised Part II. Section D.1 to clarify that a Notice of Termination must be received by the TCEQ prior to September 1</w:t>
          </w:r>
          <w:r w:rsidRPr="00AE3783">
            <w:rPr>
              <w:rFonts w:eastAsiaTheme="majorEastAsia"/>
              <w:vertAlign w:val="superscript"/>
            </w:rPr>
            <w:t>st</w:t>
          </w:r>
          <w:r w:rsidRPr="00AE3783">
            <w:rPr>
              <w:rFonts w:eastAsiaTheme="majorEastAsia"/>
            </w:rPr>
            <w:t xml:space="preserve"> to avoid assessment of the annual water quality fee.</w:t>
          </w:r>
        </w:p>
        <w:p w14:paraId="486B728A" w14:textId="77777777" w:rsidR="00E6008B" w:rsidRPr="00AE3783" w:rsidRDefault="00E6008B" w:rsidP="0030638A">
          <w:pPr>
            <w:pStyle w:val="List"/>
            <w:widowControl/>
            <w:spacing w:after="0"/>
            <w:rPr>
              <w:rFonts w:eastAsiaTheme="majorEastAsia"/>
            </w:rPr>
          </w:pPr>
          <w:bookmarkStart w:id="1" w:name="_Hlk112083386"/>
          <w:r w:rsidRPr="00AE3783">
            <w:t xml:space="preserve">Updated to Part III, Section A.3 to reference 30 TAC Chapter 330, </w:t>
          </w:r>
          <w:r w:rsidRPr="00AE3783">
            <w:rPr>
              <w:i/>
              <w:iCs/>
            </w:rPr>
            <w:t>Municipal Solid Waste</w:t>
          </w:r>
          <w:r w:rsidRPr="00AE3783">
            <w:t xml:space="preserve">, in lieu of Texas Health and Safety Code Chapter 361, </w:t>
          </w:r>
          <w:r w:rsidRPr="00AE3783">
            <w:rPr>
              <w:i/>
              <w:iCs/>
            </w:rPr>
            <w:t>Solid Waste Disposal</w:t>
          </w:r>
          <w:r w:rsidRPr="00AE3783">
            <w:t>.</w:t>
          </w:r>
          <w:bookmarkEnd w:id="1"/>
        </w:p>
        <w:p w14:paraId="5D1605C0" w14:textId="77777777" w:rsidR="00E6008B" w:rsidRPr="00AE3783" w:rsidRDefault="00E6008B" w:rsidP="0030638A">
          <w:pPr>
            <w:pStyle w:val="List"/>
            <w:widowControl/>
            <w:spacing w:after="0"/>
            <w:rPr>
              <w:rFonts w:eastAsiaTheme="majorEastAsia"/>
            </w:rPr>
          </w:pPr>
          <w:r w:rsidRPr="00AE3783">
            <w:rPr>
              <w:rFonts w:eastAsiaTheme="majorEastAsia"/>
            </w:rPr>
            <w:t>Removal of the option for FAX notification under Part III, Section A.6, B.9.</w:t>
          </w:r>
          <w:proofErr w:type="gramStart"/>
          <w:r w:rsidRPr="00AE3783">
            <w:rPr>
              <w:rFonts w:eastAsiaTheme="majorEastAsia"/>
            </w:rPr>
            <w:t>a for</w:t>
          </w:r>
          <w:proofErr w:type="gramEnd"/>
          <w:r w:rsidRPr="00AE3783">
            <w:rPr>
              <w:rFonts w:eastAsiaTheme="majorEastAsia"/>
            </w:rPr>
            <w:t xml:space="preserve"> consistency with 30 TAC § 305.125(9), </w:t>
          </w:r>
          <w:r w:rsidRPr="00AE3783">
            <w:rPr>
              <w:rFonts w:eastAsiaTheme="majorEastAsia"/>
              <w:i/>
              <w:iCs/>
            </w:rPr>
            <w:t>Standard Permit Conditions</w:t>
          </w:r>
          <w:r w:rsidRPr="00AE3783">
            <w:rPr>
              <w:rFonts w:eastAsiaTheme="majorEastAsia"/>
            </w:rPr>
            <w:t>.</w:t>
          </w:r>
        </w:p>
        <w:p w14:paraId="30E78CFD" w14:textId="39141E5C" w:rsidR="00E6008B" w:rsidRPr="00AE3783" w:rsidRDefault="00E6008B" w:rsidP="0030638A">
          <w:pPr>
            <w:pStyle w:val="List"/>
            <w:widowControl/>
            <w:spacing w:after="0"/>
            <w:rPr>
              <w:rFonts w:eastAsiaTheme="majorEastAsia"/>
            </w:rPr>
          </w:pPr>
          <w:r w:rsidRPr="00AE3783">
            <w:rPr>
              <w:rFonts w:eastAsiaTheme="majorEastAsia"/>
            </w:rPr>
            <w:lastRenderedPageBreak/>
            <w:t>Revised Part III, Section B.4.a regarding the Closure Plan and Section B.4.b regarding the Final Closure Report to require certification by a licensed Texas Professional Engineer</w:t>
          </w:r>
          <w:r w:rsidR="00AE3783" w:rsidRPr="00AE3783">
            <w:rPr>
              <w:rFonts w:eastAsiaTheme="majorEastAsia" w:cstheme="majorBidi"/>
              <w:bCs/>
            </w:rPr>
            <w:t xml:space="preserve"> for consistency with requirements at 30 TAC § 321.39(h), </w:t>
          </w:r>
          <w:r w:rsidR="00AE3783" w:rsidRPr="00AE3783">
            <w:rPr>
              <w:rFonts w:eastAsiaTheme="majorEastAsia" w:cstheme="majorBidi"/>
              <w:bCs/>
              <w:i/>
              <w:iCs/>
            </w:rPr>
            <w:t>Operational Requirements Applicable to Concentrated Animal Feeding Operations</w:t>
          </w:r>
          <w:r w:rsidRPr="00AE3783">
            <w:rPr>
              <w:rFonts w:eastAsiaTheme="majorEastAsia"/>
            </w:rPr>
            <w:t xml:space="preserve">. Additionally, Section B.4.b(6) was added </w:t>
          </w:r>
          <w:r w:rsidR="00AE3783" w:rsidRPr="00AE3783">
            <w:rPr>
              <w:rFonts w:eastAsiaTheme="majorEastAsia" w:cstheme="majorBidi"/>
              <w:bCs/>
            </w:rPr>
            <w:t xml:space="preserve">for consistency with 30 TAC § 321.39(h) </w:t>
          </w:r>
          <w:r w:rsidRPr="00AE3783">
            <w:rPr>
              <w:rFonts w:eastAsiaTheme="majorEastAsia"/>
            </w:rPr>
            <w:t xml:space="preserve">and requires the permittee to maintain or renew its existing authorization and maintain compliance with the requirements of this general permit until the facility is properly closed. </w:t>
          </w:r>
        </w:p>
        <w:p w14:paraId="3E189183" w14:textId="681761D7" w:rsidR="00E6008B" w:rsidRPr="00AE3783" w:rsidRDefault="00E6008B" w:rsidP="0030638A">
          <w:pPr>
            <w:pStyle w:val="List"/>
            <w:widowControl/>
            <w:spacing w:after="0"/>
            <w:rPr>
              <w:rFonts w:eastAsiaTheme="majorEastAsia"/>
            </w:rPr>
          </w:pPr>
          <w:r w:rsidRPr="00AE3783">
            <w:rPr>
              <w:rFonts w:eastAsiaTheme="majorEastAsia"/>
            </w:rPr>
            <w:t>Added Part III, Section C.5(e) regarding recertification of earthen liners</w:t>
          </w:r>
          <w:r w:rsidR="00AE3783" w:rsidRPr="00AE3783">
            <w:rPr>
              <w:rFonts w:eastAsiaTheme="majorEastAsia"/>
            </w:rPr>
            <w:t xml:space="preserve"> </w:t>
          </w:r>
          <w:bookmarkStart w:id="2" w:name="_Hlk129091768"/>
          <w:r w:rsidR="00AE3783" w:rsidRPr="00AE3783">
            <w:rPr>
              <w:rFonts w:eastAsiaTheme="majorEastAsia"/>
            </w:rPr>
            <w:t>for consistency with TCEQ practices for pond liner certification</w:t>
          </w:r>
          <w:r w:rsidRPr="00AE3783">
            <w:rPr>
              <w:rFonts w:eastAsiaTheme="majorEastAsia"/>
            </w:rPr>
            <w:t xml:space="preserve">. </w:t>
          </w:r>
          <w:bookmarkEnd w:id="2"/>
          <w:r w:rsidRPr="00AE3783">
            <w:rPr>
              <w:rFonts w:eastAsiaTheme="majorEastAsia"/>
            </w:rPr>
            <w:t>Subsequent provision in this subsection were renumbered.</w:t>
          </w:r>
        </w:p>
        <w:p w14:paraId="4F9332FE" w14:textId="6782E92D" w:rsidR="00E6008B" w:rsidRPr="00AE3783" w:rsidRDefault="00E6008B" w:rsidP="0030638A">
          <w:pPr>
            <w:pStyle w:val="List"/>
            <w:widowControl/>
            <w:rPr>
              <w:rFonts w:eastAsiaTheme="majorEastAsia"/>
              <w:b/>
            </w:rPr>
          </w:pPr>
          <w:r w:rsidRPr="00AE3783">
            <w:t>Revised Part IV.7.f to clarify reporting and signature requirements for annual tests.</w:t>
          </w:r>
        </w:p>
        <w:bookmarkEnd w:id="0"/>
        <w:p w14:paraId="2B14F712" w14:textId="77777777" w:rsidR="003072B0" w:rsidRPr="00AE3783" w:rsidRDefault="003072B0" w:rsidP="0030638A">
          <w:pPr>
            <w:pStyle w:val="Heading1"/>
            <w:widowControl/>
            <w:tabs>
              <w:tab w:val="left" w:pos="540"/>
            </w:tabs>
            <w:spacing w:before="0" w:after="240"/>
            <w:rPr>
              <w:rFonts w:ascii="Lucida Bright" w:hAnsi="Lucida Bright"/>
              <w:sz w:val="22"/>
              <w:szCs w:val="22"/>
            </w:rPr>
          </w:pPr>
          <w:r w:rsidRPr="00AE3783">
            <w:rPr>
              <w:rFonts w:ascii="Lucida Bright" w:hAnsi="Lucida Bright"/>
              <w:sz w:val="22"/>
              <w:szCs w:val="22"/>
            </w:rPr>
            <w:t>VI.</w:t>
          </w:r>
          <w:r w:rsidRPr="00AE3783">
            <w:rPr>
              <w:rFonts w:ascii="Lucida Bright" w:hAnsi="Lucida Bright"/>
              <w:sz w:val="22"/>
              <w:szCs w:val="22"/>
            </w:rPr>
            <w:tab/>
            <w:t>Addresses</w:t>
          </w:r>
        </w:p>
        <w:p w14:paraId="5E574906" w14:textId="77777777" w:rsidR="0086433B" w:rsidRPr="00AE3783" w:rsidRDefault="0086433B" w:rsidP="0030638A">
          <w:pPr>
            <w:widowControl/>
            <w:tabs>
              <w:tab w:val="left" w:pos="540"/>
            </w:tabs>
            <w:spacing w:after="240"/>
            <w:ind w:left="540"/>
            <w:rPr>
              <w:rFonts w:ascii="Lucida Bright" w:hAnsi="Lucida Bright"/>
              <w:sz w:val="22"/>
              <w:szCs w:val="22"/>
            </w:rPr>
          </w:pPr>
          <w:r w:rsidRPr="00AE3783">
            <w:rPr>
              <w:rFonts w:ascii="Lucida Bright" w:hAnsi="Lucida Bright"/>
              <w:sz w:val="22"/>
              <w:szCs w:val="22"/>
            </w:rPr>
            <w:t>Questions concerning this draft general permit should be directed to:</w:t>
          </w:r>
        </w:p>
        <w:p w14:paraId="55996310" w14:textId="2498BDC9" w:rsidR="0086433B" w:rsidRPr="00AE3783" w:rsidRDefault="00E6008B" w:rsidP="0030638A">
          <w:pPr>
            <w:widowControl/>
            <w:tabs>
              <w:tab w:val="left" w:pos="1080"/>
            </w:tabs>
            <w:ind w:left="1080"/>
            <w:rPr>
              <w:rFonts w:ascii="Lucida Bright" w:hAnsi="Lucida Bright"/>
              <w:sz w:val="22"/>
              <w:szCs w:val="22"/>
            </w:rPr>
          </w:pPr>
          <w:r w:rsidRPr="00AE3783">
            <w:rPr>
              <w:rFonts w:ascii="Lucida Bright" w:hAnsi="Lucida Bright"/>
              <w:sz w:val="22"/>
              <w:szCs w:val="22"/>
            </w:rPr>
            <w:t>Shannon Gibson</w:t>
          </w:r>
        </w:p>
        <w:p w14:paraId="787A4EA0" w14:textId="77777777" w:rsidR="0086433B" w:rsidRPr="00AE3783" w:rsidRDefault="00081AF4" w:rsidP="0030638A">
          <w:pPr>
            <w:widowControl/>
            <w:tabs>
              <w:tab w:val="left" w:pos="1080"/>
            </w:tabs>
            <w:ind w:left="1080"/>
            <w:rPr>
              <w:rFonts w:ascii="Lucida Bright" w:hAnsi="Lucida Bright"/>
              <w:sz w:val="22"/>
              <w:szCs w:val="22"/>
            </w:rPr>
          </w:pPr>
          <w:r w:rsidRPr="00AE3783">
            <w:rPr>
              <w:rFonts w:ascii="Lucida Bright" w:hAnsi="Lucida Bright"/>
              <w:sz w:val="22"/>
              <w:szCs w:val="22"/>
            </w:rPr>
            <w:t>Wastewater Permitting</w:t>
          </w:r>
          <w:r w:rsidR="0086433B" w:rsidRPr="00AE3783">
            <w:rPr>
              <w:rFonts w:ascii="Lucida Bright" w:hAnsi="Lucida Bright"/>
              <w:sz w:val="22"/>
              <w:szCs w:val="22"/>
            </w:rPr>
            <w:t xml:space="preserve"> Section (MC-</w:t>
          </w:r>
          <w:r w:rsidRPr="00AE3783">
            <w:rPr>
              <w:rFonts w:ascii="Lucida Bright" w:hAnsi="Lucida Bright"/>
              <w:sz w:val="22"/>
              <w:szCs w:val="22"/>
            </w:rPr>
            <w:t>148</w:t>
          </w:r>
          <w:r w:rsidR="0086433B" w:rsidRPr="00AE3783">
            <w:rPr>
              <w:rFonts w:ascii="Lucida Bright" w:hAnsi="Lucida Bright"/>
              <w:sz w:val="22"/>
              <w:szCs w:val="22"/>
            </w:rPr>
            <w:t>)</w:t>
          </w:r>
        </w:p>
        <w:p w14:paraId="07274CF6" w14:textId="77777777" w:rsidR="0086433B" w:rsidRPr="00AE3783" w:rsidRDefault="00B9220D" w:rsidP="0030638A">
          <w:pPr>
            <w:widowControl/>
            <w:tabs>
              <w:tab w:val="left" w:pos="1080"/>
            </w:tabs>
            <w:ind w:left="1080"/>
            <w:rPr>
              <w:rFonts w:ascii="Lucida Bright" w:hAnsi="Lucida Bright"/>
              <w:sz w:val="22"/>
              <w:szCs w:val="22"/>
            </w:rPr>
          </w:pPr>
          <w:r w:rsidRPr="00AE3783">
            <w:rPr>
              <w:rFonts w:ascii="Lucida Bright" w:hAnsi="Lucida Bright"/>
              <w:sz w:val="22"/>
              <w:szCs w:val="22"/>
            </w:rPr>
            <w:t>TCEQ</w:t>
          </w:r>
          <w:r w:rsidR="0086433B" w:rsidRPr="00AE3783">
            <w:rPr>
              <w:rFonts w:ascii="Lucida Bright" w:hAnsi="Lucida Bright"/>
              <w:sz w:val="22"/>
              <w:szCs w:val="22"/>
            </w:rPr>
            <w:t xml:space="preserve"> </w:t>
          </w:r>
        </w:p>
        <w:p w14:paraId="09C01E29" w14:textId="77777777" w:rsidR="0086433B" w:rsidRPr="00AE3783" w:rsidRDefault="0086433B" w:rsidP="0030638A">
          <w:pPr>
            <w:widowControl/>
            <w:tabs>
              <w:tab w:val="left" w:pos="1080"/>
            </w:tabs>
            <w:ind w:left="1080"/>
            <w:rPr>
              <w:rFonts w:ascii="Lucida Bright" w:hAnsi="Lucida Bright"/>
              <w:sz w:val="22"/>
              <w:szCs w:val="22"/>
            </w:rPr>
          </w:pPr>
          <w:r w:rsidRPr="00AE3783">
            <w:rPr>
              <w:rFonts w:ascii="Lucida Bright" w:hAnsi="Lucida Bright"/>
              <w:sz w:val="22"/>
              <w:szCs w:val="22"/>
            </w:rPr>
            <w:t>P.O. Box 13087</w:t>
          </w:r>
        </w:p>
        <w:p w14:paraId="2A51C57D" w14:textId="77777777" w:rsidR="0086433B" w:rsidRPr="00AE3783" w:rsidRDefault="0086433B" w:rsidP="0030638A">
          <w:pPr>
            <w:widowControl/>
            <w:tabs>
              <w:tab w:val="left" w:pos="1080"/>
            </w:tabs>
            <w:ind w:left="1080"/>
            <w:rPr>
              <w:rFonts w:ascii="Lucida Bright" w:hAnsi="Lucida Bright"/>
              <w:sz w:val="22"/>
              <w:szCs w:val="22"/>
            </w:rPr>
          </w:pPr>
          <w:r w:rsidRPr="00AE3783">
            <w:rPr>
              <w:rFonts w:ascii="Lucida Bright" w:hAnsi="Lucida Bright"/>
              <w:sz w:val="22"/>
              <w:szCs w:val="22"/>
            </w:rPr>
            <w:t>Austin, TX 78711-3087</w:t>
          </w:r>
        </w:p>
        <w:p w14:paraId="1E1227E6" w14:textId="707C214F" w:rsidR="003072B0" w:rsidRPr="00AE3783" w:rsidRDefault="0086433B" w:rsidP="0030638A">
          <w:pPr>
            <w:widowControl/>
            <w:tabs>
              <w:tab w:val="left" w:pos="1080"/>
            </w:tabs>
            <w:spacing w:after="240"/>
            <w:ind w:left="1080"/>
            <w:rPr>
              <w:rFonts w:ascii="Lucida Bright" w:hAnsi="Lucida Bright"/>
              <w:sz w:val="22"/>
              <w:szCs w:val="22"/>
            </w:rPr>
          </w:pPr>
          <w:r w:rsidRPr="00AE3783">
            <w:rPr>
              <w:rFonts w:ascii="Lucida Bright" w:hAnsi="Lucida Bright"/>
              <w:sz w:val="22"/>
              <w:szCs w:val="22"/>
            </w:rPr>
            <w:t>(512) 239-</w:t>
          </w:r>
          <w:r w:rsidR="00E6008B" w:rsidRPr="00AE3783">
            <w:rPr>
              <w:rFonts w:ascii="Lucida Bright" w:hAnsi="Lucida Bright"/>
              <w:sz w:val="22"/>
              <w:szCs w:val="22"/>
            </w:rPr>
            <w:t>4284</w:t>
          </w:r>
        </w:p>
        <w:p w14:paraId="39917414" w14:textId="3CC1D03A" w:rsidR="003072B0" w:rsidRPr="00AE3783" w:rsidRDefault="003072B0" w:rsidP="0030638A">
          <w:pPr>
            <w:widowControl/>
            <w:tabs>
              <w:tab w:val="left" w:pos="540"/>
            </w:tabs>
            <w:spacing w:after="240"/>
            <w:ind w:left="540"/>
            <w:rPr>
              <w:rFonts w:ascii="Lucida Bright" w:hAnsi="Lucida Bright"/>
              <w:sz w:val="22"/>
              <w:szCs w:val="22"/>
            </w:rPr>
          </w:pPr>
          <w:r w:rsidRPr="00AE3783">
            <w:rPr>
              <w:rFonts w:ascii="Lucida Bright" w:hAnsi="Lucida Bright"/>
              <w:sz w:val="22"/>
              <w:szCs w:val="22"/>
            </w:rPr>
            <w:t>Comments regarding this draft general permit should be sent to:</w:t>
          </w:r>
        </w:p>
        <w:p w14:paraId="1C1EEEB9" w14:textId="77777777" w:rsidR="003072B0" w:rsidRPr="00AE3783" w:rsidRDefault="003072B0" w:rsidP="0030638A">
          <w:pPr>
            <w:widowControl/>
            <w:tabs>
              <w:tab w:val="left" w:pos="1080"/>
            </w:tabs>
            <w:ind w:left="1080"/>
            <w:rPr>
              <w:rFonts w:ascii="Lucida Bright" w:hAnsi="Lucida Bright"/>
              <w:sz w:val="22"/>
              <w:szCs w:val="22"/>
            </w:rPr>
          </w:pPr>
          <w:r w:rsidRPr="00AE3783">
            <w:rPr>
              <w:rFonts w:ascii="Lucida Bright" w:hAnsi="Lucida Bright"/>
              <w:sz w:val="22"/>
              <w:szCs w:val="22"/>
            </w:rPr>
            <w:t>Chief Clerk’s Office (MC-105)</w:t>
          </w:r>
        </w:p>
        <w:p w14:paraId="69B8DF4F" w14:textId="77777777" w:rsidR="003072B0" w:rsidRPr="00AE3783" w:rsidRDefault="003072B0" w:rsidP="0030638A">
          <w:pPr>
            <w:widowControl/>
            <w:tabs>
              <w:tab w:val="left" w:pos="1080"/>
            </w:tabs>
            <w:ind w:left="1080"/>
            <w:rPr>
              <w:rFonts w:ascii="Lucida Bright" w:hAnsi="Lucida Bright"/>
              <w:sz w:val="22"/>
              <w:szCs w:val="22"/>
            </w:rPr>
          </w:pPr>
          <w:r w:rsidRPr="00AE3783">
            <w:rPr>
              <w:rFonts w:ascii="Lucida Bright" w:hAnsi="Lucida Bright"/>
              <w:sz w:val="22"/>
              <w:szCs w:val="22"/>
            </w:rPr>
            <w:t>TCEQ</w:t>
          </w:r>
        </w:p>
        <w:p w14:paraId="745BCB10" w14:textId="77777777" w:rsidR="003072B0" w:rsidRPr="00AE3783" w:rsidRDefault="003072B0" w:rsidP="0030638A">
          <w:pPr>
            <w:widowControl/>
            <w:tabs>
              <w:tab w:val="left" w:pos="1080"/>
            </w:tabs>
            <w:ind w:left="1080"/>
            <w:rPr>
              <w:rFonts w:ascii="Lucida Bright" w:hAnsi="Lucida Bright"/>
              <w:sz w:val="22"/>
              <w:szCs w:val="22"/>
            </w:rPr>
          </w:pPr>
          <w:r w:rsidRPr="00AE3783">
            <w:rPr>
              <w:rFonts w:ascii="Lucida Bright" w:hAnsi="Lucida Bright"/>
              <w:sz w:val="22"/>
              <w:szCs w:val="22"/>
            </w:rPr>
            <w:t>P.O. Box 13087</w:t>
          </w:r>
        </w:p>
        <w:p w14:paraId="008A1E33" w14:textId="77777777" w:rsidR="003170A2" w:rsidRPr="00AE3783" w:rsidRDefault="003072B0" w:rsidP="0030638A">
          <w:pPr>
            <w:widowControl/>
            <w:tabs>
              <w:tab w:val="left" w:pos="1080"/>
            </w:tabs>
            <w:spacing w:after="240"/>
            <w:ind w:left="1080"/>
            <w:rPr>
              <w:rFonts w:ascii="Lucida Bright" w:hAnsi="Lucida Bright"/>
              <w:sz w:val="22"/>
              <w:szCs w:val="22"/>
            </w:rPr>
          </w:pPr>
          <w:r w:rsidRPr="00AE3783">
            <w:rPr>
              <w:rFonts w:ascii="Lucida Bright" w:hAnsi="Lucida Bright"/>
              <w:sz w:val="22"/>
              <w:szCs w:val="22"/>
            </w:rPr>
            <w:t xml:space="preserve">Austin, TX 78711-3087 </w:t>
          </w:r>
        </w:p>
        <w:p w14:paraId="4DB547E5" w14:textId="77777777" w:rsidR="0086433B" w:rsidRPr="00AE3783" w:rsidRDefault="0086433B" w:rsidP="0030638A">
          <w:pPr>
            <w:widowControl/>
            <w:tabs>
              <w:tab w:val="left" w:pos="540"/>
            </w:tabs>
            <w:spacing w:after="240"/>
            <w:ind w:left="540"/>
            <w:rPr>
              <w:rFonts w:ascii="Lucida Bright" w:hAnsi="Lucida Bright"/>
              <w:sz w:val="22"/>
              <w:szCs w:val="22"/>
            </w:rPr>
          </w:pPr>
          <w:r w:rsidRPr="00AE3783">
            <w:rPr>
              <w:rFonts w:ascii="Lucida Bright" w:hAnsi="Lucida Bright"/>
              <w:sz w:val="22"/>
              <w:szCs w:val="22"/>
            </w:rPr>
            <w:t>Supplementary information on this Fact Sheet is organized as follows:</w:t>
          </w:r>
        </w:p>
        <w:p w14:paraId="3E93ECF7"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VII.</w:t>
          </w:r>
          <w:r w:rsidRPr="00AE3783">
            <w:rPr>
              <w:rFonts w:ascii="Lucida Bright" w:hAnsi="Lucida Bright"/>
              <w:sz w:val="22"/>
              <w:szCs w:val="22"/>
            </w:rPr>
            <w:tab/>
          </w:r>
          <w:r w:rsidR="0086433B" w:rsidRPr="00AE3783">
            <w:rPr>
              <w:rFonts w:ascii="Lucida Bright" w:hAnsi="Lucida Bright"/>
              <w:sz w:val="22"/>
              <w:szCs w:val="22"/>
            </w:rPr>
            <w:t>Legal Basis</w:t>
          </w:r>
        </w:p>
        <w:p w14:paraId="4BF69DB1"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VIII.</w:t>
          </w:r>
          <w:r w:rsidRPr="00AE3783">
            <w:rPr>
              <w:rFonts w:ascii="Lucida Bright" w:hAnsi="Lucida Bright"/>
              <w:sz w:val="22"/>
              <w:szCs w:val="22"/>
            </w:rPr>
            <w:tab/>
          </w:r>
          <w:r w:rsidR="0086433B" w:rsidRPr="00AE3783">
            <w:rPr>
              <w:rFonts w:ascii="Lucida Bright" w:hAnsi="Lucida Bright"/>
              <w:sz w:val="22"/>
              <w:szCs w:val="22"/>
            </w:rPr>
            <w:t>Regulatory Background</w:t>
          </w:r>
        </w:p>
        <w:p w14:paraId="4F0C6099"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IX.</w:t>
          </w:r>
          <w:r w:rsidRPr="00AE3783">
            <w:rPr>
              <w:rFonts w:ascii="Lucida Bright" w:hAnsi="Lucida Bright"/>
              <w:sz w:val="22"/>
              <w:szCs w:val="22"/>
            </w:rPr>
            <w:tab/>
          </w:r>
          <w:r w:rsidR="0086433B" w:rsidRPr="00AE3783">
            <w:rPr>
              <w:rFonts w:ascii="Lucida Bright" w:hAnsi="Lucida Bright"/>
              <w:sz w:val="22"/>
              <w:szCs w:val="22"/>
            </w:rPr>
            <w:t>Permit Coverage</w:t>
          </w:r>
        </w:p>
        <w:p w14:paraId="28E2AA7F"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X.</w:t>
          </w:r>
          <w:r w:rsidRPr="00AE3783">
            <w:rPr>
              <w:rFonts w:ascii="Lucida Bright" w:hAnsi="Lucida Bright"/>
              <w:sz w:val="22"/>
              <w:szCs w:val="22"/>
            </w:rPr>
            <w:tab/>
          </w:r>
          <w:r w:rsidR="0086433B" w:rsidRPr="00AE3783">
            <w:rPr>
              <w:rFonts w:ascii="Lucida Bright" w:hAnsi="Lucida Bright"/>
              <w:sz w:val="22"/>
              <w:szCs w:val="22"/>
            </w:rPr>
            <w:t>Technology-based Requirements</w:t>
          </w:r>
        </w:p>
        <w:p w14:paraId="1AB3869B"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XI.</w:t>
          </w:r>
          <w:r w:rsidRPr="00AE3783">
            <w:rPr>
              <w:rFonts w:ascii="Lucida Bright" w:hAnsi="Lucida Bright"/>
              <w:sz w:val="22"/>
              <w:szCs w:val="22"/>
            </w:rPr>
            <w:tab/>
          </w:r>
          <w:r w:rsidR="0086433B" w:rsidRPr="00AE3783">
            <w:rPr>
              <w:rFonts w:ascii="Lucida Bright" w:hAnsi="Lucida Bright"/>
              <w:sz w:val="22"/>
              <w:szCs w:val="22"/>
            </w:rPr>
            <w:t>Water Quality-based Requirements</w:t>
          </w:r>
        </w:p>
        <w:p w14:paraId="743FB22F" w14:textId="77777777" w:rsidR="0086433B" w:rsidRPr="00AE3783" w:rsidRDefault="003072B0" w:rsidP="0030638A">
          <w:pPr>
            <w:widowControl/>
            <w:tabs>
              <w:tab w:val="left" w:pos="-1440"/>
              <w:tab w:val="left" w:pos="1080"/>
              <w:tab w:val="left" w:pos="1800"/>
            </w:tabs>
            <w:ind w:left="1080"/>
            <w:rPr>
              <w:rFonts w:ascii="Lucida Bright" w:hAnsi="Lucida Bright"/>
              <w:sz w:val="22"/>
              <w:szCs w:val="22"/>
            </w:rPr>
          </w:pPr>
          <w:r w:rsidRPr="00AE3783">
            <w:rPr>
              <w:rFonts w:ascii="Lucida Bright" w:hAnsi="Lucida Bright"/>
              <w:sz w:val="22"/>
              <w:szCs w:val="22"/>
            </w:rPr>
            <w:t>XII.</w:t>
          </w:r>
          <w:r w:rsidRPr="00AE3783">
            <w:rPr>
              <w:rFonts w:ascii="Lucida Bright" w:hAnsi="Lucida Bright"/>
              <w:sz w:val="22"/>
              <w:szCs w:val="22"/>
            </w:rPr>
            <w:tab/>
          </w:r>
          <w:r w:rsidR="0086433B" w:rsidRPr="00AE3783">
            <w:rPr>
              <w:rFonts w:ascii="Lucida Bright" w:hAnsi="Lucida Bright"/>
              <w:sz w:val="22"/>
              <w:szCs w:val="22"/>
            </w:rPr>
            <w:t>Requirements for the Protection of Groundwater and Monitoring</w:t>
          </w:r>
        </w:p>
        <w:p w14:paraId="4AA3B906" w14:textId="77777777" w:rsidR="0086433B" w:rsidRPr="00AE3783" w:rsidRDefault="003072B0" w:rsidP="0030638A">
          <w:pPr>
            <w:widowControl/>
            <w:tabs>
              <w:tab w:val="left" w:pos="1080"/>
              <w:tab w:val="left" w:pos="1800"/>
            </w:tabs>
            <w:ind w:left="1080"/>
            <w:rPr>
              <w:rFonts w:ascii="Lucida Bright" w:hAnsi="Lucida Bright"/>
              <w:sz w:val="22"/>
              <w:szCs w:val="22"/>
            </w:rPr>
          </w:pPr>
          <w:r w:rsidRPr="00AE3783">
            <w:rPr>
              <w:rFonts w:ascii="Lucida Bright" w:hAnsi="Lucida Bright"/>
              <w:sz w:val="22"/>
              <w:szCs w:val="22"/>
            </w:rPr>
            <w:t>XIII.</w:t>
          </w:r>
          <w:r w:rsidRPr="00AE3783">
            <w:rPr>
              <w:rFonts w:ascii="Lucida Bright" w:hAnsi="Lucida Bright"/>
              <w:sz w:val="22"/>
              <w:szCs w:val="22"/>
            </w:rPr>
            <w:tab/>
          </w:r>
          <w:r w:rsidR="00A47E12" w:rsidRPr="00AE3783">
            <w:rPr>
              <w:rFonts w:ascii="Lucida Bright" w:hAnsi="Lucida Bright"/>
              <w:sz w:val="22"/>
              <w:szCs w:val="22"/>
            </w:rPr>
            <w:t>Procedures for Final Decision</w:t>
          </w:r>
        </w:p>
        <w:p w14:paraId="05FDF014" w14:textId="77777777" w:rsidR="007D1D6C" w:rsidRPr="00AE3783" w:rsidRDefault="003072B0" w:rsidP="0030638A">
          <w:pPr>
            <w:widowControl/>
            <w:tabs>
              <w:tab w:val="left" w:pos="1080"/>
              <w:tab w:val="left" w:pos="1800"/>
            </w:tabs>
            <w:ind w:left="1080"/>
            <w:rPr>
              <w:rFonts w:ascii="Lucida Bright" w:hAnsi="Lucida Bright"/>
              <w:sz w:val="22"/>
              <w:szCs w:val="22"/>
            </w:rPr>
          </w:pPr>
          <w:r w:rsidRPr="00AE3783">
            <w:rPr>
              <w:rFonts w:ascii="Lucida Bright" w:hAnsi="Lucida Bright"/>
              <w:sz w:val="22"/>
              <w:szCs w:val="22"/>
            </w:rPr>
            <w:t>XIV.</w:t>
          </w:r>
          <w:r w:rsidRPr="00AE3783">
            <w:rPr>
              <w:rFonts w:ascii="Lucida Bright" w:hAnsi="Lucida Bright"/>
              <w:sz w:val="22"/>
              <w:szCs w:val="22"/>
            </w:rPr>
            <w:tab/>
          </w:r>
          <w:r w:rsidR="00A47E12" w:rsidRPr="00AE3783">
            <w:rPr>
              <w:rFonts w:ascii="Lucida Bright" w:hAnsi="Lucida Bright"/>
              <w:sz w:val="22"/>
              <w:szCs w:val="22"/>
            </w:rPr>
            <w:t>Administrative Record</w:t>
          </w:r>
        </w:p>
        <w:p w14:paraId="79EFDB05" w14:textId="77777777" w:rsidR="0086433B" w:rsidRPr="00AE3783" w:rsidRDefault="003072B0"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VII.</w:t>
          </w:r>
          <w:r w:rsidRPr="00AE3783">
            <w:rPr>
              <w:rFonts w:ascii="Lucida Bright" w:hAnsi="Lucida Bright"/>
              <w:sz w:val="22"/>
              <w:szCs w:val="22"/>
            </w:rPr>
            <w:tab/>
            <w:t>Legal Basis</w:t>
          </w:r>
        </w:p>
        <w:p w14:paraId="01B25205" w14:textId="4ADC7277" w:rsidR="0086433B" w:rsidRPr="00AE3783" w:rsidRDefault="006E3BA7" w:rsidP="0030638A">
          <w:pPr>
            <w:widowControl/>
            <w:tabs>
              <w:tab w:val="left" w:pos="540"/>
              <w:tab w:val="left" w:pos="990"/>
            </w:tabs>
            <w:spacing w:after="240"/>
            <w:ind w:left="540"/>
            <w:rPr>
              <w:rFonts w:ascii="Lucida Bright" w:hAnsi="Lucida Bright"/>
              <w:sz w:val="22"/>
              <w:szCs w:val="22"/>
            </w:rPr>
          </w:pPr>
          <w:r w:rsidRPr="00AE3783">
            <w:rPr>
              <w:rFonts w:ascii="Lucida Bright" w:hAnsi="Lucida Bright"/>
              <w:sz w:val="22"/>
              <w:szCs w:val="22"/>
            </w:rPr>
            <w:t>TWC §</w:t>
          </w:r>
          <w:r w:rsidR="00DB5CD1" w:rsidRPr="00AE3783">
            <w:rPr>
              <w:rFonts w:ascii="Lucida Bright" w:hAnsi="Lucida Bright"/>
              <w:sz w:val="22"/>
              <w:szCs w:val="22"/>
            </w:rPr>
            <w:t xml:space="preserve"> </w:t>
          </w:r>
          <w:r w:rsidR="0086433B" w:rsidRPr="00AE3783">
            <w:rPr>
              <w:rFonts w:ascii="Lucida Bright" w:hAnsi="Lucida Bright"/>
              <w:sz w:val="22"/>
              <w:szCs w:val="22"/>
            </w:rPr>
            <w:t xml:space="preserve">26.121 makes it unlawful to discharge pollutants into or adjacent to water in the state </w:t>
          </w:r>
          <w:r w:rsidR="009D6682" w:rsidRPr="00AE3783">
            <w:rPr>
              <w:rFonts w:ascii="Lucida Bright" w:hAnsi="Lucida Bright"/>
              <w:sz w:val="22"/>
              <w:szCs w:val="22"/>
            </w:rPr>
            <w:t xml:space="preserve">except as authorized by a rule, permit, or order issued by the </w:t>
          </w:r>
          <w:r w:rsidR="009D6682" w:rsidRPr="00AE3783">
            <w:rPr>
              <w:rFonts w:ascii="Lucida Bright" w:hAnsi="Lucida Bright"/>
              <w:sz w:val="22"/>
              <w:szCs w:val="22"/>
            </w:rPr>
            <w:lastRenderedPageBreak/>
            <w:t>commission. TWC §</w:t>
          </w:r>
          <w:r w:rsidR="00DB5CD1" w:rsidRPr="00AE3783">
            <w:rPr>
              <w:rFonts w:ascii="Lucida Bright" w:hAnsi="Lucida Bright"/>
              <w:sz w:val="22"/>
              <w:szCs w:val="22"/>
            </w:rPr>
            <w:t xml:space="preserve"> </w:t>
          </w:r>
          <w:r w:rsidR="009D6682" w:rsidRPr="00AE3783">
            <w:rPr>
              <w:rFonts w:ascii="Lucida Bright" w:hAnsi="Lucida Bright"/>
              <w:sz w:val="22"/>
              <w:szCs w:val="22"/>
            </w:rPr>
            <w:t>26.027 authorizes the commission to issue permit</w:t>
          </w:r>
          <w:r w:rsidR="009477A1" w:rsidRPr="00AE3783">
            <w:rPr>
              <w:rFonts w:ascii="Lucida Bright" w:hAnsi="Lucida Bright"/>
              <w:sz w:val="22"/>
              <w:szCs w:val="22"/>
            </w:rPr>
            <w:t>s</w:t>
          </w:r>
          <w:r w:rsidR="009D6682" w:rsidRPr="00AE3783">
            <w:rPr>
              <w:rFonts w:ascii="Lucida Bright" w:hAnsi="Lucida Bright"/>
              <w:sz w:val="22"/>
              <w:szCs w:val="22"/>
            </w:rPr>
            <w:t xml:space="preserve"> and amendments to permits, for the discharge of waste or pollutants into or adjacent to water in the state</w:t>
          </w:r>
          <w:r w:rsidR="009477A1" w:rsidRPr="00AE3783">
            <w:rPr>
              <w:rFonts w:ascii="Lucida Bright" w:hAnsi="Lucida Bright"/>
              <w:sz w:val="22"/>
              <w:szCs w:val="22"/>
            </w:rPr>
            <w:t xml:space="preserve">, and </w:t>
          </w:r>
          <w:r w:rsidR="0046566F" w:rsidRPr="00AE3783">
            <w:rPr>
              <w:rFonts w:ascii="Lucida Bright" w:hAnsi="Lucida Bright"/>
              <w:sz w:val="22"/>
              <w:szCs w:val="22"/>
            </w:rPr>
            <w:t xml:space="preserve">TWC </w:t>
          </w:r>
          <w:r w:rsidR="00401154" w:rsidRPr="00AE3783">
            <w:rPr>
              <w:rFonts w:ascii="Lucida Bright" w:hAnsi="Lucida Bright"/>
              <w:sz w:val="22"/>
              <w:szCs w:val="22"/>
            </w:rPr>
            <w:t>§</w:t>
          </w:r>
          <w:r w:rsidR="00DB5CD1" w:rsidRPr="00AE3783">
            <w:rPr>
              <w:rFonts w:ascii="Lucida Bright" w:hAnsi="Lucida Bright"/>
              <w:sz w:val="22"/>
              <w:szCs w:val="22"/>
            </w:rPr>
            <w:t xml:space="preserve"> </w:t>
          </w:r>
          <w:r w:rsidR="0086433B" w:rsidRPr="00AE3783">
            <w:rPr>
              <w:rFonts w:ascii="Lucida Bright" w:hAnsi="Lucida Bright"/>
              <w:sz w:val="22"/>
              <w:szCs w:val="22"/>
            </w:rPr>
            <w:t>26.040 provides the Commission with authority to develop and issue general permits</w:t>
          </w:r>
          <w:r w:rsidR="009477A1" w:rsidRPr="00AE3783">
            <w:rPr>
              <w:rFonts w:ascii="Lucida Bright" w:hAnsi="Lucida Bright"/>
              <w:sz w:val="22"/>
              <w:szCs w:val="22"/>
            </w:rPr>
            <w:t>.</w:t>
          </w:r>
        </w:p>
        <w:p w14:paraId="31013F64" w14:textId="77777777" w:rsidR="009477A1" w:rsidRPr="00AE3783" w:rsidRDefault="0086433B" w:rsidP="0030638A">
          <w:pPr>
            <w:widowControl/>
            <w:tabs>
              <w:tab w:val="left" w:pos="540"/>
            </w:tabs>
            <w:spacing w:after="240"/>
            <w:ind w:left="540"/>
            <w:rPr>
              <w:rFonts w:ascii="Lucida Bright" w:hAnsi="Lucida Bright"/>
              <w:sz w:val="22"/>
              <w:szCs w:val="22"/>
            </w:rPr>
          </w:pPr>
          <w:r w:rsidRPr="00AE3783">
            <w:rPr>
              <w:rFonts w:ascii="Lucida Bright" w:hAnsi="Lucida Bright"/>
              <w:sz w:val="22"/>
              <w:szCs w:val="22"/>
            </w:rPr>
            <w:t xml:space="preserve">The </w:t>
          </w:r>
          <w:r w:rsidR="00B9220D" w:rsidRPr="00AE3783">
            <w:rPr>
              <w:rFonts w:ascii="Lucida Bright" w:hAnsi="Lucida Bright"/>
              <w:sz w:val="22"/>
              <w:szCs w:val="22"/>
            </w:rPr>
            <w:t>TCEQ</w:t>
          </w:r>
          <w:r w:rsidRPr="00AE3783">
            <w:rPr>
              <w:rFonts w:ascii="Lucida Bright" w:hAnsi="Lucida Bright"/>
              <w:sz w:val="22"/>
              <w:szCs w:val="22"/>
            </w:rPr>
            <w:t xml:space="preserve"> developed regulations in 30 TAC Chapter 205, which form the basis for development of general permits.</w:t>
          </w:r>
          <w:r w:rsidR="00807B46" w:rsidRPr="00AE3783">
            <w:rPr>
              <w:rFonts w:ascii="Lucida Bright" w:hAnsi="Lucida Bright"/>
              <w:sz w:val="22"/>
              <w:szCs w:val="22"/>
            </w:rPr>
            <w:t xml:space="preserve"> </w:t>
          </w:r>
          <w:r w:rsidRPr="00AE3783">
            <w:rPr>
              <w:rFonts w:ascii="Lucida Bright" w:hAnsi="Lucida Bright"/>
              <w:sz w:val="22"/>
              <w:szCs w:val="22"/>
            </w:rPr>
            <w:t xml:space="preserve">Chapter 205 describes when it is permissible to issue a general permit, the procedural requirements for the involvement of the public in the permitting process, how qualified dischargers can obtain authorization under a general permit, the </w:t>
          </w:r>
          <w:proofErr w:type="gramStart"/>
          <w:r w:rsidRPr="00AE3783">
            <w:rPr>
              <w:rFonts w:ascii="Lucida Bright" w:hAnsi="Lucida Bright"/>
              <w:sz w:val="22"/>
              <w:szCs w:val="22"/>
            </w:rPr>
            <w:t>manner in which</w:t>
          </w:r>
          <w:proofErr w:type="gramEnd"/>
          <w:r w:rsidRPr="00AE3783">
            <w:rPr>
              <w:rFonts w:ascii="Lucida Bright" w:hAnsi="Lucida Bright"/>
              <w:sz w:val="22"/>
              <w:szCs w:val="22"/>
            </w:rPr>
            <w:t xml:space="preserve"> permit terms are developed, how general permits are amended or renewed, and the fees that are assessed on dischargers authorized under the permit.</w:t>
          </w:r>
        </w:p>
        <w:p w14:paraId="17E9B44D" w14:textId="77777777" w:rsidR="001174C7" w:rsidRPr="00AE3783" w:rsidRDefault="009477A1" w:rsidP="0030638A">
          <w:pPr>
            <w:widowControl/>
            <w:tabs>
              <w:tab w:val="left" w:pos="540"/>
              <w:tab w:val="left" w:pos="990"/>
            </w:tabs>
            <w:spacing w:after="240"/>
            <w:ind w:left="540"/>
            <w:rPr>
              <w:rFonts w:ascii="Lucida Bright" w:hAnsi="Lucida Bright"/>
              <w:sz w:val="22"/>
              <w:szCs w:val="22"/>
            </w:rPr>
          </w:pPr>
          <w:r w:rsidRPr="00AE3783">
            <w:rPr>
              <w:rFonts w:ascii="Lucida Bright" w:hAnsi="Lucida Bright"/>
              <w:sz w:val="22"/>
              <w:szCs w:val="22"/>
            </w:rPr>
            <w:t>This permit is proposed under state authority and is not a Texas Pollutant Discharge Elimination System (TPDES) permit, since the permit would not authorize any discharge into waters of the United States as defined under the federal Clean Water Act (CWA) and National Pollutant Discharge Elimination System (NPDES) requirements.</w:t>
          </w:r>
        </w:p>
        <w:p w14:paraId="7BB6B7B3" w14:textId="77777777" w:rsidR="009477A1" w:rsidRPr="00AE3783" w:rsidRDefault="001174C7" w:rsidP="0030638A">
          <w:pPr>
            <w:widowControl/>
            <w:tabs>
              <w:tab w:val="left" w:pos="540"/>
              <w:tab w:val="left" w:pos="990"/>
            </w:tabs>
            <w:ind w:left="547"/>
            <w:rPr>
              <w:rFonts w:ascii="Lucida Bright" w:hAnsi="Lucida Bright"/>
              <w:sz w:val="22"/>
              <w:szCs w:val="22"/>
            </w:rPr>
          </w:pPr>
          <w:r w:rsidRPr="00AE3783">
            <w:rPr>
              <w:rFonts w:ascii="Lucida Bright" w:hAnsi="Lucida Bright"/>
              <w:sz w:val="22"/>
              <w:szCs w:val="22"/>
            </w:rPr>
            <w:t>Neither national nor state guidelines establishing technology-based effluent limits have been promulgated for composting operations which dispose of waste</w:t>
          </w:r>
          <w:r w:rsidR="002A470D" w:rsidRPr="00AE3783">
            <w:rPr>
              <w:rFonts w:ascii="Lucida Bright" w:hAnsi="Lucida Bright"/>
              <w:sz w:val="22"/>
              <w:szCs w:val="22"/>
            </w:rPr>
            <w:t>water</w:t>
          </w:r>
          <w:r w:rsidRPr="00AE3783">
            <w:rPr>
              <w:rFonts w:ascii="Lucida Bright" w:hAnsi="Lucida Bright"/>
              <w:sz w:val="22"/>
              <w:szCs w:val="22"/>
            </w:rPr>
            <w:t xml:space="preserve"> adjacent to water in the state.</w:t>
          </w:r>
          <w:r w:rsidR="00807B46" w:rsidRPr="00AE3783">
            <w:rPr>
              <w:rFonts w:ascii="Lucida Bright" w:hAnsi="Lucida Bright"/>
              <w:sz w:val="22"/>
              <w:szCs w:val="22"/>
            </w:rPr>
            <w:t xml:space="preserve"> </w:t>
          </w:r>
          <w:r w:rsidRPr="00AE3783">
            <w:rPr>
              <w:rFonts w:ascii="Lucida Bright" w:hAnsi="Lucida Bright"/>
              <w:sz w:val="22"/>
              <w:szCs w:val="22"/>
            </w:rPr>
            <w:t xml:space="preserve">Due to the lack of federal guidelines, the requirements for these </w:t>
          </w:r>
          <w:r w:rsidR="00EC6D15" w:rsidRPr="00AE3783">
            <w:rPr>
              <w:rFonts w:ascii="Lucida Bright" w:hAnsi="Lucida Bright"/>
              <w:sz w:val="22"/>
              <w:szCs w:val="22"/>
            </w:rPr>
            <w:t>disposal activities</w:t>
          </w:r>
          <w:r w:rsidRPr="00AE3783">
            <w:rPr>
              <w:rFonts w:ascii="Lucida Bright" w:hAnsi="Lucida Bright"/>
              <w:sz w:val="22"/>
              <w:szCs w:val="22"/>
            </w:rPr>
            <w:t xml:space="preserve"> have, therefore, been established using best professional judgment</w:t>
          </w:r>
          <w:r w:rsidR="006B2058" w:rsidRPr="00AE3783">
            <w:rPr>
              <w:rFonts w:ascii="Lucida Bright" w:hAnsi="Lucida Bright"/>
              <w:sz w:val="22"/>
              <w:szCs w:val="22"/>
            </w:rPr>
            <w:t>.</w:t>
          </w:r>
        </w:p>
        <w:p w14:paraId="2BB2440A" w14:textId="77777777" w:rsidR="0086433B" w:rsidRPr="00AE3783" w:rsidRDefault="009477A1"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V</w:t>
          </w:r>
          <w:r w:rsidR="0086433B" w:rsidRPr="00AE3783">
            <w:rPr>
              <w:rFonts w:ascii="Lucida Bright" w:hAnsi="Lucida Bright"/>
              <w:sz w:val="22"/>
              <w:szCs w:val="22"/>
            </w:rPr>
            <w:t>II</w:t>
          </w:r>
          <w:r w:rsidR="00A47E12" w:rsidRPr="00AE3783">
            <w:rPr>
              <w:rFonts w:ascii="Lucida Bright" w:hAnsi="Lucida Bright"/>
              <w:sz w:val="22"/>
              <w:szCs w:val="22"/>
            </w:rPr>
            <w:t>I</w:t>
          </w:r>
          <w:r w:rsidR="0086433B" w:rsidRPr="00AE3783">
            <w:rPr>
              <w:rFonts w:ascii="Lucida Bright" w:hAnsi="Lucida Bright"/>
              <w:sz w:val="22"/>
              <w:szCs w:val="22"/>
            </w:rPr>
            <w:t>. Regulatory Background</w:t>
          </w:r>
        </w:p>
        <w:p w14:paraId="70E910C4" w14:textId="44753898" w:rsidR="007D1D6C" w:rsidRPr="00AE3783" w:rsidRDefault="001174C7" w:rsidP="0030638A">
          <w:pPr>
            <w:widowControl/>
            <w:tabs>
              <w:tab w:val="left" w:pos="540"/>
            </w:tabs>
            <w:spacing w:after="240"/>
            <w:ind w:left="540"/>
            <w:rPr>
              <w:rFonts w:ascii="Lucida Bright" w:hAnsi="Lucida Bright"/>
              <w:sz w:val="22"/>
              <w:szCs w:val="22"/>
            </w:rPr>
          </w:pPr>
          <w:r w:rsidRPr="00AE3783">
            <w:rPr>
              <w:rFonts w:ascii="Lucida Bright" w:hAnsi="Lucida Bright"/>
              <w:sz w:val="22"/>
              <w:szCs w:val="22"/>
            </w:rPr>
            <w:t xml:space="preserve">The TCEQ adopted a general permit for </w:t>
          </w:r>
          <w:r w:rsidR="001F76A9" w:rsidRPr="00AE3783">
            <w:rPr>
              <w:rFonts w:ascii="Lucida Bright" w:hAnsi="Lucida Bright"/>
              <w:sz w:val="22"/>
              <w:szCs w:val="22"/>
            </w:rPr>
            <w:t xml:space="preserve">disposal of wastewater </w:t>
          </w:r>
          <w:r w:rsidRPr="00AE3783">
            <w:rPr>
              <w:rFonts w:ascii="Lucida Bright" w:hAnsi="Lucida Bright"/>
              <w:sz w:val="22"/>
              <w:szCs w:val="22"/>
            </w:rPr>
            <w:t xml:space="preserve">from </w:t>
          </w:r>
          <w:r w:rsidR="002A470D" w:rsidRPr="00AE3783">
            <w:rPr>
              <w:rFonts w:ascii="Lucida Bright" w:hAnsi="Lucida Bright"/>
              <w:sz w:val="22"/>
              <w:szCs w:val="22"/>
            </w:rPr>
            <w:t xml:space="preserve">livestock </w:t>
          </w:r>
          <w:r w:rsidRPr="00AE3783">
            <w:rPr>
              <w:rFonts w:ascii="Lucida Bright" w:hAnsi="Lucida Bright"/>
              <w:sz w:val="22"/>
              <w:szCs w:val="22"/>
            </w:rPr>
            <w:t xml:space="preserve">manure compost facilities that </w:t>
          </w:r>
          <w:r w:rsidR="002A470D" w:rsidRPr="00AE3783">
            <w:rPr>
              <w:rFonts w:ascii="Lucida Bright" w:hAnsi="Lucida Bright"/>
              <w:sz w:val="22"/>
              <w:szCs w:val="22"/>
            </w:rPr>
            <w:t>will expire</w:t>
          </w:r>
          <w:r w:rsidR="00402F53" w:rsidRPr="00AE3783">
            <w:rPr>
              <w:rFonts w:ascii="Lucida Bright" w:hAnsi="Lucida Bright"/>
              <w:sz w:val="22"/>
              <w:szCs w:val="22"/>
            </w:rPr>
            <w:t xml:space="preserve"> </w:t>
          </w:r>
          <w:r w:rsidRPr="00AE3783">
            <w:rPr>
              <w:rFonts w:ascii="Lucida Bright" w:hAnsi="Lucida Bright"/>
              <w:sz w:val="22"/>
              <w:szCs w:val="22"/>
            </w:rPr>
            <w:t xml:space="preserve">on </w:t>
          </w:r>
          <w:r w:rsidR="00F53CD6" w:rsidRPr="00AE3783">
            <w:rPr>
              <w:rFonts w:ascii="Lucida Bright" w:hAnsi="Lucida Bright"/>
              <w:sz w:val="22"/>
              <w:szCs w:val="22"/>
            </w:rPr>
            <w:t xml:space="preserve">November 10, </w:t>
          </w:r>
          <w:r w:rsidR="00DB5CD1" w:rsidRPr="00AE3783">
            <w:rPr>
              <w:rFonts w:ascii="Lucida Bright" w:hAnsi="Lucida Bright"/>
              <w:sz w:val="22"/>
              <w:szCs w:val="22"/>
            </w:rPr>
            <w:t>2023</w:t>
          </w:r>
          <w:r w:rsidRPr="00AE3783">
            <w:rPr>
              <w:rFonts w:ascii="Lucida Bright" w:hAnsi="Lucida Bright"/>
              <w:sz w:val="22"/>
              <w:szCs w:val="22"/>
            </w:rPr>
            <w:t>.</w:t>
          </w:r>
          <w:r w:rsidR="00807B46" w:rsidRPr="00AE3783">
            <w:rPr>
              <w:rFonts w:ascii="Lucida Bright" w:hAnsi="Lucida Bright"/>
              <w:sz w:val="22"/>
              <w:szCs w:val="22"/>
            </w:rPr>
            <w:t xml:space="preserve"> </w:t>
          </w:r>
          <w:r w:rsidRPr="00AE3783">
            <w:rPr>
              <w:rFonts w:ascii="Lucida Bright" w:hAnsi="Lucida Bright"/>
              <w:sz w:val="22"/>
              <w:szCs w:val="22"/>
            </w:rPr>
            <w:t xml:space="preserve">The executive director now proposes, with the reissuance of this proposed general permit, to continue to authorize </w:t>
          </w:r>
          <w:r w:rsidR="00EC6D15" w:rsidRPr="00AE3783">
            <w:rPr>
              <w:rFonts w:ascii="Lucida Bright" w:hAnsi="Lucida Bright"/>
              <w:sz w:val="22"/>
              <w:szCs w:val="22"/>
            </w:rPr>
            <w:t>the disposal of wastewater</w:t>
          </w:r>
          <w:r w:rsidRPr="00AE3783">
            <w:rPr>
              <w:rFonts w:ascii="Lucida Bright" w:hAnsi="Lucida Bright"/>
              <w:sz w:val="22"/>
              <w:szCs w:val="22"/>
            </w:rPr>
            <w:t xml:space="preserve"> under TCEQ General Permit No. WQG200000. </w:t>
          </w:r>
        </w:p>
        <w:p w14:paraId="383526F0" w14:textId="1AE41CE4" w:rsidR="0086433B" w:rsidRPr="00AE3783" w:rsidRDefault="00D63C9F" w:rsidP="0030638A">
          <w:pPr>
            <w:widowControl/>
            <w:tabs>
              <w:tab w:val="left" w:pos="540"/>
            </w:tabs>
            <w:ind w:left="540"/>
            <w:rPr>
              <w:rFonts w:ascii="Lucida Bright" w:hAnsi="Lucida Bright"/>
              <w:sz w:val="22"/>
              <w:szCs w:val="22"/>
            </w:rPr>
          </w:pPr>
          <w:r w:rsidRPr="00AE3783">
            <w:rPr>
              <w:rFonts w:ascii="Lucida Bright" w:hAnsi="Lucida Bright"/>
              <w:sz w:val="22"/>
              <w:szCs w:val="22"/>
            </w:rPr>
            <w:t xml:space="preserve">Consistent with 30 TAC </w:t>
          </w:r>
          <w:r w:rsidR="00F53CD6" w:rsidRPr="00AE3783">
            <w:rPr>
              <w:rFonts w:ascii="Lucida Bright" w:hAnsi="Lucida Bright"/>
              <w:sz w:val="22"/>
              <w:szCs w:val="22"/>
            </w:rPr>
            <w:t>§</w:t>
          </w:r>
          <w:r w:rsidR="00DB5CD1" w:rsidRPr="00AE3783">
            <w:rPr>
              <w:rFonts w:ascii="Lucida Bright" w:hAnsi="Lucida Bright"/>
              <w:sz w:val="22"/>
              <w:szCs w:val="22"/>
            </w:rPr>
            <w:t xml:space="preserve"> </w:t>
          </w:r>
          <w:r w:rsidRPr="00AE3783">
            <w:rPr>
              <w:rFonts w:ascii="Lucida Bright" w:hAnsi="Lucida Bright"/>
              <w:sz w:val="22"/>
              <w:szCs w:val="22"/>
            </w:rPr>
            <w:t xml:space="preserve">205.2, issuance of this permit is allowable, since qualifying composting operations engage in substantially similar operations and would </w:t>
          </w:r>
          <w:r w:rsidR="00EC6D15" w:rsidRPr="00AE3783">
            <w:rPr>
              <w:rFonts w:ascii="Lucida Bright" w:hAnsi="Lucida Bright"/>
              <w:sz w:val="22"/>
              <w:szCs w:val="22"/>
            </w:rPr>
            <w:t>dispose of</w:t>
          </w:r>
          <w:r w:rsidRPr="00AE3783">
            <w:rPr>
              <w:rFonts w:ascii="Lucida Bright" w:hAnsi="Lucida Bright"/>
              <w:sz w:val="22"/>
              <w:szCs w:val="22"/>
            </w:rPr>
            <w:t xml:space="preserve"> the same type of waste.</w:t>
          </w:r>
          <w:r w:rsidR="00807B46" w:rsidRPr="00AE3783">
            <w:rPr>
              <w:rFonts w:ascii="Lucida Bright" w:hAnsi="Lucida Bright"/>
              <w:sz w:val="22"/>
              <w:szCs w:val="22"/>
            </w:rPr>
            <w:t xml:space="preserve"> </w:t>
          </w:r>
          <w:r w:rsidRPr="00AE3783">
            <w:rPr>
              <w:rFonts w:ascii="Lucida Bright" w:hAnsi="Lucida Bright"/>
              <w:sz w:val="22"/>
              <w:szCs w:val="22"/>
            </w:rPr>
            <w:t>The general permit, if issued, would establish the same operating conditions and similar monitoring requirements for these facilities.</w:t>
          </w:r>
          <w:r w:rsidR="00807B46" w:rsidRPr="00AE3783">
            <w:rPr>
              <w:rFonts w:ascii="Lucida Bright" w:hAnsi="Lucida Bright"/>
              <w:sz w:val="22"/>
              <w:szCs w:val="22"/>
            </w:rPr>
            <w:t xml:space="preserve"> </w:t>
          </w:r>
          <w:r w:rsidRPr="00AE3783">
            <w:rPr>
              <w:rFonts w:ascii="Lucida Bright" w:hAnsi="Lucida Bright"/>
              <w:sz w:val="22"/>
              <w:szCs w:val="22"/>
            </w:rPr>
            <w:t>These types of dis</w:t>
          </w:r>
          <w:r w:rsidR="00EC6D15" w:rsidRPr="00AE3783">
            <w:rPr>
              <w:rFonts w:ascii="Lucida Bright" w:hAnsi="Lucida Bright"/>
              <w:sz w:val="22"/>
              <w:szCs w:val="22"/>
            </w:rPr>
            <w:t>posal activities</w:t>
          </w:r>
          <w:r w:rsidRPr="00AE3783">
            <w:rPr>
              <w:rFonts w:ascii="Lucida Bright" w:hAnsi="Lucida Bright"/>
              <w:sz w:val="22"/>
              <w:szCs w:val="22"/>
            </w:rPr>
            <w:t xml:space="preserve"> are more appropriately regulated under a general permit based upon the requirements of </w:t>
          </w:r>
          <w:r w:rsidR="00F53CD6" w:rsidRPr="00AE3783">
            <w:rPr>
              <w:rFonts w:ascii="Lucida Bright" w:hAnsi="Lucida Bright"/>
              <w:sz w:val="22"/>
              <w:szCs w:val="22"/>
            </w:rPr>
            <w:t>§</w:t>
          </w:r>
          <w:r w:rsidR="00DB5CD1" w:rsidRPr="00AE3783">
            <w:rPr>
              <w:rFonts w:ascii="Lucida Bright" w:hAnsi="Lucida Bright"/>
              <w:sz w:val="22"/>
              <w:szCs w:val="22"/>
            </w:rPr>
            <w:t xml:space="preserve"> </w:t>
          </w:r>
          <w:r w:rsidRPr="00AE3783">
            <w:rPr>
              <w:rFonts w:ascii="Lucida Bright" w:hAnsi="Lucida Bright"/>
              <w:sz w:val="22"/>
              <w:szCs w:val="22"/>
            </w:rPr>
            <w:t>205.2(a)(5), insomuch as the TCEQ can readily enforce the general permit and can monitor compliance of the terms of the permit.</w:t>
          </w:r>
          <w:r w:rsidR="00807B46" w:rsidRPr="00AE3783">
            <w:rPr>
              <w:rFonts w:ascii="Lucida Bright" w:hAnsi="Lucida Bright"/>
              <w:sz w:val="22"/>
              <w:szCs w:val="22"/>
            </w:rPr>
            <w:t xml:space="preserve"> </w:t>
          </w:r>
          <w:r w:rsidRPr="00AE3783">
            <w:rPr>
              <w:rFonts w:ascii="Lucida Bright" w:hAnsi="Lucida Bright"/>
              <w:sz w:val="22"/>
              <w:szCs w:val="22"/>
            </w:rPr>
            <w:t>The permit wou</w:t>
          </w:r>
          <w:r w:rsidR="0046566F" w:rsidRPr="00AE3783">
            <w:rPr>
              <w:rFonts w:ascii="Lucida Bright" w:hAnsi="Lucida Bright"/>
              <w:sz w:val="22"/>
              <w:szCs w:val="22"/>
            </w:rPr>
            <w:t>ld establish monitoring, record</w:t>
          </w:r>
          <w:r w:rsidRPr="00AE3783">
            <w:rPr>
              <w:rFonts w:ascii="Lucida Bright" w:hAnsi="Lucida Bright"/>
              <w:sz w:val="22"/>
              <w:szCs w:val="22"/>
            </w:rPr>
            <w:t>keeping, and reporting requirements.</w:t>
          </w:r>
          <w:r w:rsidR="00807B46" w:rsidRPr="00AE3783">
            <w:rPr>
              <w:rFonts w:ascii="Lucida Bright" w:hAnsi="Lucida Bright"/>
              <w:sz w:val="22"/>
              <w:szCs w:val="22"/>
            </w:rPr>
            <w:t xml:space="preserve"> </w:t>
          </w:r>
          <w:r w:rsidRPr="00AE3783">
            <w:rPr>
              <w:rFonts w:ascii="Lucida Bright" w:hAnsi="Lucida Bright"/>
              <w:sz w:val="22"/>
              <w:szCs w:val="22"/>
            </w:rPr>
            <w:t>The permit also establishes requirements for the protection of underlying groundwater, prohibits any discharge into surface water, and thus, is not expected to result in an adverse effect on the quality of either resource.</w:t>
          </w:r>
        </w:p>
        <w:p w14:paraId="6A23A937" w14:textId="340E68D3" w:rsidR="0086433B" w:rsidRPr="00AE3783" w:rsidRDefault="00D63C9F"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lastRenderedPageBreak/>
            <w:t>IX</w:t>
          </w:r>
          <w:r w:rsidR="0086433B" w:rsidRPr="00AE3783">
            <w:rPr>
              <w:rFonts w:ascii="Lucida Bright" w:hAnsi="Lucida Bright"/>
              <w:sz w:val="22"/>
              <w:szCs w:val="22"/>
            </w:rPr>
            <w:t xml:space="preserve">. </w:t>
          </w:r>
          <w:r w:rsidR="005720BB" w:rsidRPr="00AE3783">
            <w:rPr>
              <w:rFonts w:ascii="Lucida Bright" w:hAnsi="Lucida Bright"/>
              <w:sz w:val="22"/>
              <w:szCs w:val="22"/>
            </w:rPr>
            <w:tab/>
          </w:r>
          <w:r w:rsidR="0086433B" w:rsidRPr="00AE3783">
            <w:rPr>
              <w:rFonts w:ascii="Lucida Bright" w:hAnsi="Lucida Bright"/>
              <w:sz w:val="22"/>
              <w:szCs w:val="22"/>
            </w:rPr>
            <w:t>Permit Coverage</w:t>
          </w:r>
        </w:p>
        <w:p w14:paraId="751F8FA0" w14:textId="60202458" w:rsidR="00250DC1" w:rsidRPr="00AE3783" w:rsidRDefault="00250DC1" w:rsidP="0030638A">
          <w:pPr>
            <w:pStyle w:val="List"/>
            <w:widowControl/>
            <w:numPr>
              <w:ilvl w:val="0"/>
              <w:numId w:val="29"/>
            </w:numPr>
            <w:ind w:left="990" w:hanging="450"/>
          </w:pPr>
          <w:r w:rsidRPr="00AE3783">
            <w:t xml:space="preserve">All applicants seeking authorization to dispose of wastewater under this general permit must submit a completed Notice of Intent (NOI) on a form approved by the </w:t>
          </w:r>
          <w:r w:rsidR="00333517" w:rsidRPr="00AE3783">
            <w:t>e</w:t>
          </w:r>
          <w:r w:rsidRPr="00AE3783">
            <w:t xml:space="preserve">xecutive </w:t>
          </w:r>
          <w:r w:rsidR="00333517" w:rsidRPr="00AE3783">
            <w:t>d</w:t>
          </w:r>
          <w:r w:rsidRPr="00AE3783">
            <w:t>irector.</w:t>
          </w:r>
          <w:r w:rsidR="00807B46" w:rsidRPr="00AE3783">
            <w:t xml:space="preserve"> </w:t>
          </w:r>
          <w:r w:rsidRPr="00AE3783">
            <w:t xml:space="preserve">Existing </w:t>
          </w:r>
          <w:r w:rsidR="00EC6D15" w:rsidRPr="00AE3783">
            <w:t>permittees</w:t>
          </w:r>
          <w:r w:rsidRPr="00AE3783">
            <w:t xml:space="preserve"> authorized under the expiring general permit are required to submit a new NOI within 90 days of </w:t>
          </w:r>
          <w:r w:rsidR="006E3BA7" w:rsidRPr="00AE3783">
            <w:t>the effective date of the reissued</w:t>
          </w:r>
          <w:r w:rsidRPr="00AE3783">
            <w:t xml:space="preserve"> general permit to continue authorization</w:t>
          </w:r>
          <w:r w:rsidR="00A20909" w:rsidRPr="00AE3783">
            <w:t>.</w:t>
          </w:r>
          <w:r w:rsidR="00807B46" w:rsidRPr="00AE3783">
            <w:t xml:space="preserve"> </w:t>
          </w:r>
          <w:r w:rsidRPr="00AE3783">
            <w:t xml:space="preserve">The </w:t>
          </w:r>
          <w:r w:rsidR="002A470D" w:rsidRPr="00AE3783">
            <w:t>general permit identifies the minimum required information on a</w:t>
          </w:r>
          <w:r w:rsidR="00DB5CD1" w:rsidRPr="00AE3783">
            <w:t>n</w:t>
          </w:r>
          <w:r w:rsidR="002A470D" w:rsidRPr="00AE3783">
            <w:t xml:space="preserve"> NOI form</w:t>
          </w:r>
          <w:r w:rsidR="009E5D9A" w:rsidRPr="00AE3783">
            <w:t>.</w:t>
          </w:r>
        </w:p>
        <w:p w14:paraId="56D5D580" w14:textId="4C1F39FB" w:rsidR="00250DC1" w:rsidRPr="00AE3783" w:rsidRDefault="009E5D9A" w:rsidP="0030638A">
          <w:pPr>
            <w:pStyle w:val="List"/>
            <w:widowControl/>
          </w:pPr>
          <w:r w:rsidRPr="00AE3783">
            <w:t>Submission of a</w:t>
          </w:r>
          <w:r w:rsidR="00DB5CD1" w:rsidRPr="00AE3783">
            <w:t>n</w:t>
          </w:r>
          <w:r w:rsidRPr="00AE3783">
            <w:t xml:space="preserve"> NOI is an acknowledgment that the conditions of this general permit are applicable to the proposed </w:t>
          </w:r>
          <w:r w:rsidR="00EC6D15" w:rsidRPr="00AE3783">
            <w:t>disposal activity</w:t>
          </w:r>
          <w:r w:rsidRPr="00AE3783">
            <w:t>, and that the applicant agrees to comply with the conditions of this general permit. Provisional authorization to dispose of wastewater under the terms and conditions of this general permit begins 48 hours after a completed NOI is postmarked for delivery to the TCEQ.</w:t>
          </w:r>
          <w:r w:rsidR="00807B46" w:rsidRPr="00AE3783">
            <w:t xml:space="preserve"> </w:t>
          </w:r>
          <w:r w:rsidRPr="00AE3783">
            <w:t xml:space="preserve">If the TCEQ provides for electronic submission of NOIs during the term of this permit, provisional authorization begins </w:t>
          </w:r>
          <w:r w:rsidR="002A470D" w:rsidRPr="00AE3783">
            <w:t>immediately</w:t>
          </w:r>
          <w:r w:rsidRPr="00AE3783">
            <w:t xml:space="preserve"> following confirmation of receipt of the electronic NOI form by the TCEQ.</w:t>
          </w:r>
        </w:p>
        <w:p w14:paraId="646C6A63" w14:textId="65002F3E" w:rsidR="009E5D9A" w:rsidRPr="00AE3783" w:rsidRDefault="009E5D9A" w:rsidP="0030638A">
          <w:pPr>
            <w:pStyle w:val="List"/>
            <w:widowControl/>
          </w:pPr>
          <w:r w:rsidRPr="00AE3783">
            <w:t>Authorization under this general permit is not transferable.</w:t>
          </w:r>
          <w:r w:rsidR="00807B46" w:rsidRPr="00AE3783">
            <w:t xml:space="preserve"> </w:t>
          </w:r>
          <w:r w:rsidRPr="00AE3783">
            <w:t xml:space="preserve">If the owner or operator of the </w:t>
          </w:r>
          <w:r w:rsidR="002A470D" w:rsidRPr="00AE3783">
            <w:t>facility</w:t>
          </w:r>
          <w:r w:rsidRPr="00AE3783">
            <w:t xml:space="preserve"> changes, the present owner and operator must submit a Notice of Termination (NOT) and the new owner and operator must submit a</w:t>
          </w:r>
          <w:r w:rsidR="00DB5CD1" w:rsidRPr="00AE3783">
            <w:t>n</w:t>
          </w:r>
          <w:r w:rsidRPr="00AE3783">
            <w:t xml:space="preserve"> NOI.</w:t>
          </w:r>
          <w:r w:rsidR="00807B46" w:rsidRPr="00AE3783">
            <w:t xml:space="preserve"> </w:t>
          </w:r>
          <w:r w:rsidRPr="00AE3783">
            <w:t xml:space="preserve">Any change in a </w:t>
          </w:r>
          <w:r w:rsidR="004462F2" w:rsidRPr="00AE3783">
            <w:t>permittee’s</w:t>
          </w:r>
          <w:r w:rsidRPr="00AE3783">
            <w:t xml:space="preserve"> Charter Number, as registered with the Texas Secretary of State, is considered a change in ownership of the company.</w:t>
          </w:r>
          <w:r w:rsidR="00807B46" w:rsidRPr="00AE3783">
            <w:t xml:space="preserve"> </w:t>
          </w:r>
          <w:r w:rsidRPr="00AE3783">
            <w:t>The NOT and NOI must be submitted no later than 10 days prior to the changes to avoid a lapse in authorization for the facility.</w:t>
          </w:r>
        </w:p>
        <w:p w14:paraId="2E3A3E78" w14:textId="53214E4A" w:rsidR="009E5D9A" w:rsidRPr="00AE3783" w:rsidRDefault="009E5D9A" w:rsidP="0030638A">
          <w:pPr>
            <w:pStyle w:val="List"/>
            <w:widowControl/>
          </w:pPr>
          <w:r w:rsidRPr="00AE3783">
            <w:t xml:space="preserve">If the owner or operator becomes aware that they </w:t>
          </w:r>
          <w:r w:rsidR="002A470D" w:rsidRPr="00AE3783">
            <w:t xml:space="preserve">failed to submit any relevant facts, </w:t>
          </w:r>
          <w:r w:rsidRPr="00AE3783">
            <w:t>submitted incorrect information in a</w:t>
          </w:r>
          <w:r w:rsidR="00DB5CD1" w:rsidRPr="00AE3783">
            <w:t>n</w:t>
          </w:r>
          <w:r w:rsidRPr="00AE3783">
            <w:t xml:space="preserve"> NOI</w:t>
          </w:r>
          <w:r w:rsidR="002A470D" w:rsidRPr="00AE3783">
            <w:t>,</w:t>
          </w:r>
          <w:r w:rsidRPr="00AE3783">
            <w:t xml:space="preserve"> or that information provided in the NOI changes (for example, </w:t>
          </w:r>
          <w:r w:rsidR="00D85320" w:rsidRPr="00AE3783">
            <w:t>permittee address, or information related to wastewater irrigation areas, retention facilities, or control facilities</w:t>
          </w:r>
          <w:r w:rsidRPr="00AE3783">
            <w:t xml:space="preserve">), the correct information must be provided to the </w:t>
          </w:r>
          <w:r w:rsidR="00333517" w:rsidRPr="00AE3783">
            <w:t>e</w:t>
          </w:r>
          <w:r w:rsidRPr="00AE3783">
            <w:t xml:space="preserve">xecutive </w:t>
          </w:r>
          <w:r w:rsidR="00333517" w:rsidRPr="00AE3783">
            <w:t>d</w:t>
          </w:r>
          <w:r w:rsidRPr="00AE3783">
            <w:t>irector in a Notice of Change (NOC) wi</w:t>
          </w:r>
          <w:r w:rsidR="00807B46" w:rsidRPr="00AE3783">
            <w:t>thin</w:t>
          </w:r>
          <w:r w:rsidR="0046566F" w:rsidRPr="00AE3783">
            <w:t xml:space="preserve"> </w:t>
          </w:r>
          <w:r w:rsidR="00807B46" w:rsidRPr="00AE3783">
            <w:t>14 days after discovery. A</w:t>
          </w:r>
          <w:r w:rsidR="00DB5CD1" w:rsidRPr="00AE3783">
            <w:t>n</w:t>
          </w:r>
          <w:r w:rsidRPr="00AE3783">
            <w:t xml:space="preserve"> NOC is not applicable for changes in ownership, operator, or a change in the site location. For these types of changes, </w:t>
          </w:r>
          <w:proofErr w:type="spellStart"/>
          <w:r w:rsidRPr="00AE3783">
            <w:t>a</w:t>
          </w:r>
          <w:r w:rsidR="00DB5CD1" w:rsidRPr="00AE3783">
            <w:t>n</w:t>
          </w:r>
          <w:proofErr w:type="spellEnd"/>
          <w:r w:rsidRPr="00AE3783">
            <w:t xml:space="preserve"> NOT and a new NOI must be submitted.</w:t>
          </w:r>
        </w:p>
        <w:p w14:paraId="0B7B47A8" w14:textId="3FC554E2" w:rsidR="00D85320" w:rsidRPr="00AE3783" w:rsidRDefault="00D85320" w:rsidP="0030638A">
          <w:pPr>
            <w:pStyle w:val="List"/>
            <w:widowControl/>
          </w:pPr>
          <w:r w:rsidRPr="00AE3783">
            <w:t>A permittee shall terminate coverage under this general permit through the submittal of a</w:t>
          </w:r>
          <w:r w:rsidR="00DB5CD1" w:rsidRPr="00AE3783">
            <w:t>n</w:t>
          </w:r>
          <w:r w:rsidRPr="00AE3783">
            <w:t xml:space="preserve"> NOT, on a form approved by the executive director, when the owner or operator of the facility changes, when disposal becomes unnecessary, is delayed, or is authorized under an individual permit. Authorization to dispose of wastewater terminates on the day that a</w:t>
          </w:r>
          <w:r w:rsidR="00DB5CD1" w:rsidRPr="00AE3783">
            <w:t>n</w:t>
          </w:r>
          <w:r w:rsidRPr="00AE3783">
            <w:t xml:space="preserve"> NOT is postmarked for delivery. If the TCEQ provides for electronic submission of NOTs, authorization under this permit terminates immediately following confirmation of receipt of the el</w:t>
          </w:r>
          <w:r w:rsidR="006E3BA7" w:rsidRPr="00AE3783">
            <w:t xml:space="preserve">ectronic NOT form by the TCEQ. </w:t>
          </w:r>
          <w:r w:rsidRPr="00AE3783">
            <w:t>A</w:t>
          </w:r>
          <w:r w:rsidR="00DB5CD1" w:rsidRPr="00AE3783">
            <w:t>n</w:t>
          </w:r>
          <w:r w:rsidRPr="00AE3783">
            <w:t xml:space="preserve"> NOT must be submitted within 10 days after the facility completes the closure requirements in Part III.B.4., obtains coverage under an individual permit, or </w:t>
          </w:r>
          <w:r w:rsidRPr="00AE3783">
            <w:lastRenderedPageBreak/>
            <w:t>obtains coverage under an alternative general permit. Compliance with the conditions and requirements of this permit are required until a</w:t>
          </w:r>
          <w:r w:rsidR="00DB5CD1" w:rsidRPr="00AE3783">
            <w:t>n</w:t>
          </w:r>
          <w:r w:rsidRPr="00AE3783">
            <w:t xml:space="preserve"> NOT is submitted.</w:t>
          </w:r>
        </w:p>
        <w:p w14:paraId="1378A524" w14:textId="57F2D676" w:rsidR="001C2513" w:rsidRPr="00AE3783" w:rsidRDefault="00D85320" w:rsidP="0030638A">
          <w:pPr>
            <w:pStyle w:val="List"/>
            <w:widowControl/>
          </w:pPr>
          <w:r w:rsidRPr="00AE3783">
            <w:t xml:space="preserve">The executive director will deny an application for authorization under this general </w:t>
          </w:r>
          <w:proofErr w:type="gramStart"/>
          <w:r w:rsidRPr="00AE3783">
            <w:t>permit, and</w:t>
          </w:r>
          <w:proofErr w:type="gramEnd"/>
          <w:r w:rsidRPr="00AE3783">
            <w:t xml:space="preserve"> may require that the applicant apply for an individual permit, if the executive director determines that the </w:t>
          </w:r>
          <w:r w:rsidR="00EC6D15" w:rsidRPr="00AE3783">
            <w:t>disposal activities</w:t>
          </w:r>
          <w:r w:rsidRPr="00AE3783">
            <w:t xml:space="preserve"> will not maintain existing uses of receiving waters. </w:t>
          </w:r>
        </w:p>
        <w:p w14:paraId="166416E5" w14:textId="1A1A5B8A" w:rsidR="00D85320" w:rsidRPr="00AE3783" w:rsidRDefault="001C2513" w:rsidP="0030638A">
          <w:pPr>
            <w:pStyle w:val="List"/>
            <w:widowControl/>
          </w:pPr>
          <w:r w:rsidRPr="00AE3783">
            <w:t>T</w:t>
          </w:r>
          <w:r w:rsidR="00D85320" w:rsidRPr="00AE3783">
            <w:t xml:space="preserve">he executive director may cancel, revoke, or suspend authorization </w:t>
          </w:r>
          <w:r w:rsidR="00EC6D15" w:rsidRPr="00AE3783">
            <w:t>for disposal</w:t>
          </w:r>
          <w:r w:rsidR="00D85320" w:rsidRPr="00AE3783">
            <w:t xml:space="preserve"> under this general permit based on a finding of historical and significant noncompliance with the provisions of this general permit. The executive director shall deny or suspend a facility’s authorization </w:t>
          </w:r>
          <w:r w:rsidR="00EC6D15" w:rsidRPr="00AE3783">
            <w:t>for disposal</w:t>
          </w:r>
          <w:r w:rsidR="00D85320" w:rsidRPr="00AE3783">
            <w:t xml:space="preserve"> under this general permit based on a rating of “unsatisfactory performer” according </w:t>
          </w:r>
          <w:r w:rsidR="00431553" w:rsidRPr="00AE3783">
            <w:t>to commission rules in 30 TAC §</w:t>
          </w:r>
          <w:r w:rsidR="00DB5CD1" w:rsidRPr="00AE3783">
            <w:t xml:space="preserve"> </w:t>
          </w:r>
          <w:r w:rsidR="00D85320" w:rsidRPr="00AE3783">
            <w:t xml:space="preserve">60.3. Denial of authorization </w:t>
          </w:r>
          <w:r w:rsidR="00EC6D15" w:rsidRPr="00AE3783">
            <w:t>for disposal</w:t>
          </w:r>
          <w:r w:rsidR="00D85320" w:rsidRPr="00AE3783">
            <w:t xml:space="preserve"> under this general permit will be done according to commission rules in 30 TAC Chapter 205</w:t>
          </w:r>
          <w:r w:rsidR="0046566F" w:rsidRPr="00AE3783">
            <w:t xml:space="preserve"> </w:t>
          </w:r>
          <w:r w:rsidR="00436A2D" w:rsidRPr="00AE3783">
            <w:t>and TWC §</w:t>
          </w:r>
          <w:r w:rsidR="00DB5CD1" w:rsidRPr="00AE3783">
            <w:t xml:space="preserve"> </w:t>
          </w:r>
          <w:r w:rsidR="00436A2D" w:rsidRPr="00AE3783">
            <w:t>26.040(h)</w:t>
          </w:r>
          <w:r w:rsidR="00D85320" w:rsidRPr="00AE3783">
            <w:t>.</w:t>
          </w:r>
        </w:p>
        <w:p w14:paraId="18CF073E" w14:textId="77777777" w:rsidR="0086433B" w:rsidRPr="00AE3783" w:rsidRDefault="008C7963"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X.</w:t>
          </w:r>
          <w:r w:rsidR="00B06411" w:rsidRPr="00AE3783">
            <w:rPr>
              <w:rFonts w:ascii="Lucida Bright" w:hAnsi="Lucida Bright"/>
              <w:sz w:val="22"/>
              <w:szCs w:val="22"/>
            </w:rPr>
            <w:tab/>
          </w:r>
          <w:r w:rsidR="0086433B" w:rsidRPr="00AE3783">
            <w:rPr>
              <w:rFonts w:ascii="Lucida Bright" w:hAnsi="Lucida Bright"/>
              <w:sz w:val="22"/>
              <w:szCs w:val="22"/>
            </w:rPr>
            <w:t>Technology-Based Requirements</w:t>
          </w:r>
        </w:p>
        <w:p w14:paraId="595583E7" w14:textId="77777777" w:rsidR="00785251" w:rsidRPr="00AE3783" w:rsidRDefault="005A52A6" w:rsidP="0030638A">
          <w:pPr>
            <w:widowControl/>
            <w:tabs>
              <w:tab w:val="left" w:pos="540"/>
            </w:tabs>
            <w:ind w:left="540"/>
            <w:rPr>
              <w:rFonts w:ascii="Lucida Bright" w:hAnsi="Lucida Bright"/>
              <w:sz w:val="22"/>
              <w:szCs w:val="22"/>
            </w:rPr>
          </w:pPr>
          <w:r w:rsidRPr="00AE3783">
            <w:rPr>
              <w:rFonts w:ascii="Lucida Bright" w:hAnsi="Lucida Bright"/>
              <w:sz w:val="22"/>
              <w:szCs w:val="22"/>
            </w:rPr>
            <w:t>The r</w:t>
          </w:r>
          <w:r w:rsidR="0080007C" w:rsidRPr="00AE3783">
            <w:rPr>
              <w:rFonts w:ascii="Lucida Bright" w:hAnsi="Lucida Bright"/>
              <w:sz w:val="22"/>
              <w:szCs w:val="22"/>
            </w:rPr>
            <w:t xml:space="preserve">egulations promulgated in Title 40 of the Code of Federal Regulations </w:t>
          </w:r>
          <w:r w:rsidRPr="00AE3783">
            <w:rPr>
              <w:rFonts w:ascii="Lucida Bright" w:hAnsi="Lucida Bright"/>
              <w:sz w:val="22"/>
              <w:szCs w:val="22"/>
            </w:rPr>
            <w:t xml:space="preserve">which </w:t>
          </w:r>
          <w:r w:rsidR="0080007C" w:rsidRPr="00AE3783">
            <w:rPr>
              <w:rFonts w:ascii="Lucida Bright" w:hAnsi="Lucida Bright"/>
              <w:sz w:val="22"/>
              <w:szCs w:val="22"/>
            </w:rPr>
            <w:t xml:space="preserve">require technology-based limitations be placed in wastewater discharge permits based on effluent limitations guidelines </w:t>
          </w:r>
          <w:r w:rsidR="005A61F5" w:rsidRPr="00AE3783">
            <w:rPr>
              <w:rFonts w:ascii="Lucida Bright" w:hAnsi="Lucida Bright"/>
              <w:sz w:val="22"/>
              <w:szCs w:val="22"/>
            </w:rPr>
            <w:t xml:space="preserve">do not apply to this general permit which </w:t>
          </w:r>
          <w:r w:rsidRPr="00AE3783">
            <w:rPr>
              <w:rFonts w:ascii="Lucida Bright" w:hAnsi="Lucida Bright"/>
              <w:sz w:val="22"/>
              <w:szCs w:val="22"/>
            </w:rPr>
            <w:t xml:space="preserve">only </w:t>
          </w:r>
          <w:r w:rsidR="005A61F5" w:rsidRPr="00AE3783">
            <w:rPr>
              <w:rFonts w:ascii="Lucida Bright" w:hAnsi="Lucida Bright"/>
              <w:sz w:val="22"/>
              <w:szCs w:val="22"/>
            </w:rPr>
            <w:t xml:space="preserve">allows </w:t>
          </w:r>
          <w:r w:rsidRPr="00AE3783">
            <w:rPr>
              <w:rFonts w:ascii="Lucida Bright" w:hAnsi="Lucida Bright"/>
              <w:sz w:val="22"/>
              <w:szCs w:val="22"/>
            </w:rPr>
            <w:t xml:space="preserve">for </w:t>
          </w:r>
          <w:r w:rsidR="005A61F5" w:rsidRPr="00AE3783">
            <w:rPr>
              <w:rFonts w:ascii="Lucida Bright" w:hAnsi="Lucida Bright"/>
              <w:sz w:val="22"/>
              <w:szCs w:val="22"/>
            </w:rPr>
            <w:t>the disposal of wastewater by irrigation or evaporation.</w:t>
          </w:r>
        </w:p>
        <w:p w14:paraId="40B21F77" w14:textId="77777777" w:rsidR="004A16DB" w:rsidRPr="00AE3783" w:rsidRDefault="008C7963"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XI.</w:t>
          </w:r>
          <w:r w:rsidRPr="00AE3783">
            <w:rPr>
              <w:rFonts w:ascii="Lucida Bright" w:hAnsi="Lucida Bright"/>
              <w:sz w:val="22"/>
              <w:szCs w:val="22"/>
            </w:rPr>
            <w:tab/>
          </w:r>
          <w:r w:rsidR="0086433B" w:rsidRPr="00AE3783">
            <w:rPr>
              <w:rFonts w:ascii="Lucida Bright" w:hAnsi="Lucida Bright"/>
              <w:sz w:val="22"/>
              <w:szCs w:val="22"/>
            </w:rPr>
            <w:t>Water Quality-Based Requirements</w:t>
          </w:r>
        </w:p>
        <w:p w14:paraId="0C6DFD50" w14:textId="77777777" w:rsidR="00431553" w:rsidRPr="00AE3783" w:rsidRDefault="00A5071D" w:rsidP="0030638A">
          <w:pPr>
            <w:widowControl/>
            <w:tabs>
              <w:tab w:val="left" w:pos="540"/>
            </w:tabs>
            <w:ind w:left="540"/>
            <w:rPr>
              <w:rFonts w:ascii="Lucida Bright" w:hAnsi="Lucida Bright"/>
              <w:sz w:val="22"/>
              <w:szCs w:val="22"/>
            </w:rPr>
          </w:pPr>
          <w:r w:rsidRPr="00AE3783">
            <w:rPr>
              <w:rFonts w:ascii="Lucida Bright" w:hAnsi="Lucida Bright"/>
              <w:sz w:val="22"/>
              <w:szCs w:val="22"/>
            </w:rPr>
            <w:t>The Texas Surface Water Quality Standards found at 30 TAC Chapter 307 state that “surface waters will not be toxic to man from ingestion of water, consumption of organic organisms, or contact with the skin, or to terrestrial or aquatic life”</w:t>
          </w:r>
          <w:r w:rsidR="001B538B" w:rsidRPr="00AE3783">
            <w:rPr>
              <w:rFonts w:ascii="Lucida Bright" w:hAnsi="Lucida Bright"/>
              <w:sz w:val="22"/>
              <w:szCs w:val="22"/>
            </w:rPr>
            <w:t>.</w:t>
          </w:r>
          <w:r w:rsidR="00807B46" w:rsidRPr="00AE3783">
            <w:rPr>
              <w:rFonts w:ascii="Lucida Bright" w:hAnsi="Lucida Bright"/>
              <w:sz w:val="22"/>
              <w:szCs w:val="22"/>
            </w:rPr>
            <w:t xml:space="preserve"> </w:t>
          </w:r>
          <w:r w:rsidR="002319B7" w:rsidRPr="00AE3783">
            <w:rPr>
              <w:rFonts w:ascii="Lucida Bright" w:hAnsi="Lucida Bright"/>
              <w:sz w:val="22"/>
              <w:szCs w:val="22"/>
            </w:rPr>
            <w:t xml:space="preserve">This general permit does not authorize a discharge into surface waters in the state, therefore no water </w:t>
          </w:r>
          <w:proofErr w:type="gramStart"/>
          <w:r w:rsidR="002319B7" w:rsidRPr="00AE3783">
            <w:rPr>
              <w:rFonts w:ascii="Lucida Bright" w:hAnsi="Lucida Bright"/>
              <w:sz w:val="22"/>
              <w:szCs w:val="22"/>
            </w:rPr>
            <w:t>quality based</w:t>
          </w:r>
          <w:proofErr w:type="gramEnd"/>
          <w:r w:rsidR="002319B7" w:rsidRPr="00AE3783">
            <w:rPr>
              <w:rFonts w:ascii="Lucida Bright" w:hAnsi="Lucida Bright"/>
              <w:sz w:val="22"/>
              <w:szCs w:val="22"/>
            </w:rPr>
            <w:t xml:space="preserve"> requirements for the protection of surface waters are proposed. The permit does however require provisions to prevent runoff of excessive con</w:t>
          </w:r>
          <w:r w:rsidR="001605BF" w:rsidRPr="00AE3783">
            <w:rPr>
              <w:rFonts w:ascii="Lucida Bright" w:hAnsi="Lucida Bright"/>
              <w:sz w:val="22"/>
              <w:szCs w:val="22"/>
            </w:rPr>
            <w:t>c</w:t>
          </w:r>
          <w:r w:rsidR="002319B7" w:rsidRPr="00AE3783">
            <w:rPr>
              <w:rFonts w:ascii="Lucida Bright" w:hAnsi="Lucida Bright"/>
              <w:sz w:val="22"/>
              <w:szCs w:val="22"/>
            </w:rPr>
            <w:t xml:space="preserve">entrations of phosphorus </w:t>
          </w:r>
          <w:r w:rsidR="001605BF" w:rsidRPr="00AE3783">
            <w:rPr>
              <w:rFonts w:ascii="Lucida Bright" w:hAnsi="Lucida Bright"/>
              <w:sz w:val="22"/>
              <w:szCs w:val="22"/>
            </w:rPr>
            <w:t>from soils irrigated with wastewater.</w:t>
          </w:r>
          <w:r w:rsidR="00807B46" w:rsidRPr="00AE3783">
            <w:rPr>
              <w:rFonts w:ascii="Lucida Bright" w:hAnsi="Lucida Bright"/>
              <w:sz w:val="22"/>
              <w:szCs w:val="22"/>
            </w:rPr>
            <w:t xml:space="preserve"> </w:t>
          </w:r>
        </w:p>
        <w:p w14:paraId="729B9ACF" w14:textId="77777777" w:rsidR="00431553" w:rsidRPr="00AE3783" w:rsidRDefault="00431553" w:rsidP="0030638A">
          <w:pPr>
            <w:widowControl/>
            <w:tabs>
              <w:tab w:val="left" w:pos="540"/>
            </w:tabs>
            <w:ind w:left="540"/>
            <w:rPr>
              <w:rFonts w:ascii="Lucida Bright" w:hAnsi="Lucida Bright"/>
              <w:sz w:val="22"/>
              <w:szCs w:val="22"/>
            </w:rPr>
          </w:pPr>
        </w:p>
        <w:p w14:paraId="568EF29B" w14:textId="480E26CF" w:rsidR="00C51FC8" w:rsidRPr="00AE3783" w:rsidRDefault="00CA1AA0" w:rsidP="0030638A">
          <w:pPr>
            <w:widowControl/>
            <w:tabs>
              <w:tab w:val="left" w:pos="540"/>
            </w:tabs>
            <w:ind w:left="540"/>
            <w:rPr>
              <w:rFonts w:ascii="Lucida Bright" w:hAnsi="Lucida Bright"/>
              <w:sz w:val="22"/>
              <w:szCs w:val="22"/>
            </w:rPr>
          </w:pPr>
          <w:r w:rsidRPr="00AE3783">
            <w:rPr>
              <w:rFonts w:ascii="Lucida Bright" w:hAnsi="Lucida Bright"/>
              <w:sz w:val="22"/>
              <w:szCs w:val="22"/>
            </w:rPr>
            <w:t xml:space="preserve">Phosphorus has been identified as the limiting nutrient in both the North Bosque River (Segment </w:t>
          </w:r>
          <w:r w:rsidR="009956A4" w:rsidRPr="00AE3783">
            <w:rPr>
              <w:rFonts w:ascii="Lucida Bright" w:hAnsi="Lucida Bright"/>
              <w:sz w:val="22"/>
              <w:szCs w:val="22"/>
            </w:rPr>
            <w:t xml:space="preserve">No. </w:t>
          </w:r>
          <w:r w:rsidRPr="00AE3783">
            <w:rPr>
              <w:rFonts w:ascii="Lucida Bright" w:hAnsi="Lucida Bright"/>
              <w:sz w:val="22"/>
              <w:szCs w:val="22"/>
            </w:rPr>
            <w:t xml:space="preserve">1226) and the Upper North Bosque River (Segment </w:t>
          </w:r>
          <w:r w:rsidR="009956A4" w:rsidRPr="00AE3783">
            <w:rPr>
              <w:rFonts w:ascii="Lucida Bright" w:hAnsi="Lucida Bright"/>
              <w:sz w:val="22"/>
              <w:szCs w:val="22"/>
            </w:rPr>
            <w:t xml:space="preserve">No. </w:t>
          </w:r>
          <w:r w:rsidRPr="00AE3783">
            <w:rPr>
              <w:rFonts w:ascii="Lucida Bright" w:hAnsi="Lucida Bright"/>
              <w:sz w:val="22"/>
              <w:szCs w:val="22"/>
            </w:rPr>
            <w:t>1255) and a Total Maximum Daily Load (TMDL) has been developed for these locations.</w:t>
          </w:r>
          <w:r w:rsidR="00807B46" w:rsidRPr="00AE3783">
            <w:rPr>
              <w:rFonts w:ascii="Lucida Bright" w:hAnsi="Lucida Bright"/>
              <w:sz w:val="22"/>
              <w:szCs w:val="22"/>
            </w:rPr>
            <w:t xml:space="preserve"> </w:t>
          </w:r>
          <w:r w:rsidR="00431553" w:rsidRPr="00AE3783">
            <w:rPr>
              <w:rFonts w:ascii="Lucida Bright" w:hAnsi="Lucida Bright"/>
              <w:sz w:val="22"/>
              <w:szCs w:val="22"/>
            </w:rPr>
            <w:t>Part III.C. of the permit</w:t>
          </w:r>
          <w:r w:rsidRPr="00AE3783">
            <w:rPr>
              <w:rFonts w:ascii="Lucida Bright" w:hAnsi="Lucida Bright"/>
              <w:sz w:val="22"/>
              <w:szCs w:val="22"/>
            </w:rPr>
            <w:t xml:space="preserve"> require</w:t>
          </w:r>
          <w:r w:rsidR="00431553" w:rsidRPr="00AE3783">
            <w:rPr>
              <w:rFonts w:ascii="Lucida Bright" w:hAnsi="Lucida Bright"/>
              <w:sz w:val="22"/>
              <w:szCs w:val="22"/>
            </w:rPr>
            <w:t>s</w:t>
          </w:r>
          <w:r w:rsidRPr="00AE3783">
            <w:rPr>
              <w:rFonts w:ascii="Lucida Bright" w:hAnsi="Lucida Bright"/>
              <w:sz w:val="22"/>
              <w:szCs w:val="22"/>
            </w:rPr>
            <w:t xml:space="preserve"> that the permittee conduct annual soil testing, submit the results to the TCEQ, and not apply wastewater to a</w:t>
          </w:r>
          <w:r w:rsidR="00431553" w:rsidRPr="00AE3783">
            <w:rPr>
              <w:rFonts w:ascii="Lucida Bright" w:hAnsi="Lucida Bright"/>
              <w:sz w:val="22"/>
              <w:szCs w:val="22"/>
            </w:rPr>
            <w:t xml:space="preserve"> wastewater</w:t>
          </w:r>
          <w:r w:rsidRPr="00AE3783">
            <w:rPr>
              <w:rFonts w:ascii="Lucida Bright" w:hAnsi="Lucida Bright"/>
              <w:sz w:val="22"/>
              <w:szCs w:val="22"/>
            </w:rPr>
            <w:t xml:space="preserve"> irrigation area with </w:t>
          </w:r>
          <w:r w:rsidR="00431553" w:rsidRPr="00AE3783">
            <w:rPr>
              <w:rFonts w:ascii="Lucida Bright" w:hAnsi="Lucida Bright"/>
              <w:sz w:val="22"/>
              <w:szCs w:val="22"/>
            </w:rPr>
            <w:t>a phosphorus concentration greater than 200 mg/kg in Zone 1</w:t>
          </w:r>
          <w:r w:rsidRPr="00AE3783">
            <w:rPr>
              <w:rFonts w:ascii="Lucida Bright" w:hAnsi="Lucida Bright"/>
              <w:sz w:val="22"/>
              <w:szCs w:val="22"/>
            </w:rPr>
            <w:t>.</w:t>
          </w:r>
          <w:r w:rsidR="00807B46" w:rsidRPr="00AE3783">
            <w:rPr>
              <w:rFonts w:ascii="Lucida Bright" w:hAnsi="Lucida Bright"/>
              <w:sz w:val="22"/>
              <w:szCs w:val="22"/>
            </w:rPr>
            <w:t xml:space="preserve"> </w:t>
          </w:r>
          <w:r w:rsidR="00772B63" w:rsidRPr="00AE3783">
            <w:rPr>
              <w:rFonts w:ascii="Lucida Bright" w:hAnsi="Lucida Bright"/>
              <w:sz w:val="22"/>
              <w:szCs w:val="22"/>
            </w:rPr>
            <w:t>Permit conditions also require the permittee to evaluate the ability to comply with all conditions of the general permit, without the use of wastewater irrigation in the affected area.</w:t>
          </w:r>
        </w:p>
        <w:p w14:paraId="44FE0471" w14:textId="78706C7D" w:rsidR="008D08DE" w:rsidRPr="00AE3783" w:rsidRDefault="00536BEC"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lastRenderedPageBreak/>
            <w:t>X</w:t>
          </w:r>
          <w:r w:rsidR="00A47E12" w:rsidRPr="00AE3783">
            <w:rPr>
              <w:rFonts w:ascii="Lucida Bright" w:hAnsi="Lucida Bright"/>
              <w:sz w:val="22"/>
              <w:szCs w:val="22"/>
            </w:rPr>
            <w:t>II</w:t>
          </w:r>
          <w:r w:rsidR="0086433B" w:rsidRPr="00AE3783">
            <w:rPr>
              <w:rFonts w:ascii="Lucida Bright" w:hAnsi="Lucida Bright"/>
              <w:sz w:val="22"/>
              <w:szCs w:val="22"/>
            </w:rPr>
            <w:t>.</w:t>
          </w:r>
          <w:r w:rsidR="00807B46" w:rsidRPr="00AE3783">
            <w:rPr>
              <w:rFonts w:ascii="Lucida Bright" w:hAnsi="Lucida Bright"/>
              <w:sz w:val="22"/>
              <w:szCs w:val="22"/>
            </w:rPr>
            <w:t xml:space="preserve"> </w:t>
          </w:r>
          <w:r w:rsidR="005720BB" w:rsidRPr="00AE3783">
            <w:rPr>
              <w:rFonts w:ascii="Lucida Bright" w:hAnsi="Lucida Bright"/>
              <w:sz w:val="22"/>
              <w:szCs w:val="22"/>
            </w:rPr>
            <w:tab/>
          </w:r>
          <w:r w:rsidR="0086433B" w:rsidRPr="00AE3783">
            <w:rPr>
              <w:rFonts w:ascii="Lucida Bright" w:hAnsi="Lucida Bright"/>
              <w:sz w:val="22"/>
              <w:szCs w:val="22"/>
            </w:rPr>
            <w:t>Requir</w:t>
          </w:r>
          <w:r w:rsidRPr="00AE3783">
            <w:rPr>
              <w:rFonts w:ascii="Lucida Bright" w:hAnsi="Lucida Bright"/>
              <w:sz w:val="22"/>
              <w:szCs w:val="22"/>
            </w:rPr>
            <w:t>e</w:t>
          </w:r>
          <w:r w:rsidR="0086433B" w:rsidRPr="00AE3783">
            <w:rPr>
              <w:rFonts w:ascii="Lucida Bright" w:hAnsi="Lucida Bright"/>
              <w:sz w:val="22"/>
              <w:szCs w:val="22"/>
            </w:rPr>
            <w:t>ments for the Protection of Groundwater</w:t>
          </w:r>
        </w:p>
        <w:p w14:paraId="5FFD3E9D" w14:textId="00367B7A" w:rsidR="008D08DE" w:rsidRPr="00AE3783" w:rsidRDefault="008D08DE" w:rsidP="0030638A">
          <w:pPr>
            <w:pStyle w:val="List"/>
            <w:widowControl/>
            <w:numPr>
              <w:ilvl w:val="0"/>
              <w:numId w:val="30"/>
            </w:numPr>
            <w:ind w:left="990" w:hanging="450"/>
          </w:pPr>
          <w:r w:rsidRPr="00AE3783">
            <w:t>The permittee shall notify the appropriate TCEQ regional office at least 48 hours before putting into operation any new or replacement retention facility.</w:t>
          </w:r>
        </w:p>
        <w:p w14:paraId="1157E587" w14:textId="452BAF97" w:rsidR="008D08DE" w:rsidRPr="00AE3783" w:rsidRDefault="008D08DE" w:rsidP="0030638A">
          <w:pPr>
            <w:pStyle w:val="List"/>
            <w:widowControl/>
          </w:pPr>
          <w:r w:rsidRPr="00AE3783">
            <w:t>The permittee shall notify the appropriate TCEQ regional office at least 48 hours before the initial operation of any irrigation system</w:t>
          </w:r>
          <w:r w:rsidR="00A20909" w:rsidRPr="00AE3783">
            <w:t>.</w:t>
          </w:r>
        </w:p>
        <w:p w14:paraId="740D335F" w14:textId="37FC1D82" w:rsidR="008D08DE" w:rsidRPr="00AE3783" w:rsidRDefault="008D08DE" w:rsidP="0030638A">
          <w:pPr>
            <w:pStyle w:val="List"/>
            <w:widowControl/>
          </w:pPr>
          <w:r w:rsidRPr="00AE3783">
            <w:t>The permittee shall develop a technical report</w:t>
          </w:r>
          <w:r w:rsidR="00BA6BD8" w:rsidRPr="00AE3783">
            <w:t xml:space="preserve"> </w:t>
          </w:r>
          <w:r w:rsidRPr="00AE3783">
            <w:t xml:space="preserve">which outlines the design of the </w:t>
          </w:r>
          <w:r w:rsidR="00621FC5" w:rsidRPr="00AE3783">
            <w:t xml:space="preserve">retention facility and irrigation </w:t>
          </w:r>
          <w:r w:rsidRPr="00AE3783">
            <w:t>system to ensure that adequate capacity exists for the storage of wastewater and the application of wastewater via irrigation is at the appropriate agronomic rate.</w:t>
          </w:r>
        </w:p>
        <w:p w14:paraId="3978C0B8" w14:textId="5E04CA6F" w:rsidR="00BA6BD8" w:rsidRPr="00AE3783" w:rsidRDefault="008D08DE" w:rsidP="0030638A">
          <w:pPr>
            <w:pStyle w:val="List"/>
            <w:widowControl/>
          </w:pPr>
          <w:r w:rsidRPr="00AE3783">
            <w:t>All retention facilities must be constructed with compacted soil or acceptable synthetic membrane linings.</w:t>
          </w:r>
        </w:p>
        <w:p w14:paraId="68861A66" w14:textId="78D6E5BA" w:rsidR="008D08DE" w:rsidRPr="00AE3783" w:rsidRDefault="00621FC5" w:rsidP="0030638A">
          <w:pPr>
            <w:pStyle w:val="List"/>
            <w:widowControl/>
          </w:pPr>
          <w:r w:rsidRPr="00AE3783">
            <w:t xml:space="preserve">Closure of a retention facility includes the development of a closure plan, a final report of closure activities, and a closure certification by a licensed Texas professional engineer. </w:t>
          </w:r>
          <w:r w:rsidR="00BA6BD8" w:rsidRPr="00AE3783">
            <w:t>A closure plan describes the actions that will be taken to ensure that al</w:t>
          </w:r>
          <w:r w:rsidRPr="00AE3783">
            <w:t>l wastes will be removed and disposed of properly</w:t>
          </w:r>
          <w:r w:rsidR="00BA6BD8" w:rsidRPr="00AE3783">
            <w:t>.</w:t>
          </w:r>
        </w:p>
        <w:p w14:paraId="7BAFA6CC" w14:textId="673815DE" w:rsidR="0086433B" w:rsidRPr="00AE3783" w:rsidRDefault="00EE1CC9" w:rsidP="0030638A">
          <w:pPr>
            <w:pStyle w:val="List"/>
            <w:widowControl/>
          </w:pPr>
          <w:r w:rsidRPr="00AE3783">
            <w:t>T</w:t>
          </w:r>
          <w:r w:rsidR="0086433B" w:rsidRPr="00AE3783">
            <w:t xml:space="preserve">he wastewater irrigation system </w:t>
          </w:r>
          <w:r w:rsidRPr="00AE3783">
            <w:t xml:space="preserve">must </w:t>
          </w:r>
          <w:r w:rsidR="0086433B" w:rsidRPr="00AE3783">
            <w:t>be designed to prevent an organic material loading to the soil of greater than 100 pounds/acre/day</w:t>
          </w:r>
          <w:r w:rsidR="00105E77" w:rsidRPr="00AE3783">
            <w:t>.</w:t>
          </w:r>
        </w:p>
        <w:p w14:paraId="1C9EE7F5" w14:textId="6DABC4E1" w:rsidR="00E0560E" w:rsidRPr="00AE3783" w:rsidRDefault="00E0560E" w:rsidP="0030638A">
          <w:pPr>
            <w:pStyle w:val="List"/>
            <w:widowControl/>
          </w:pPr>
          <w:r w:rsidRPr="00AE3783">
            <w:t xml:space="preserve">Annual soil testing of </w:t>
          </w:r>
          <w:r w:rsidR="00621FC5" w:rsidRPr="00AE3783">
            <w:t>wastewater irrigation</w:t>
          </w:r>
          <w:r w:rsidRPr="00AE3783">
            <w:t xml:space="preserve"> areas must be conducted </w:t>
          </w:r>
          <w:r w:rsidR="0086433B" w:rsidRPr="00AE3783">
            <w:t xml:space="preserve">to </w:t>
          </w:r>
          <w:r w:rsidRPr="00AE3783">
            <w:t xml:space="preserve">prevent undesirable buildup of </w:t>
          </w:r>
          <w:r w:rsidR="00621FC5" w:rsidRPr="00AE3783">
            <w:t>nutrient</w:t>
          </w:r>
          <w:r w:rsidRPr="00AE3783">
            <w:t xml:space="preserve"> levels while also aiding the permittee in t</w:t>
          </w:r>
          <w:r w:rsidR="0010504F" w:rsidRPr="00AE3783">
            <w:t>he optimal management of</w:t>
          </w:r>
          <w:r w:rsidRPr="00AE3783">
            <w:t xml:space="preserve"> crop</w:t>
          </w:r>
          <w:r w:rsidR="0010504F" w:rsidRPr="00AE3783">
            <w:t>s</w:t>
          </w:r>
          <w:r w:rsidRPr="00AE3783">
            <w:t>.</w:t>
          </w:r>
        </w:p>
        <w:p w14:paraId="1735619F" w14:textId="71ACE6C5" w:rsidR="0086433B" w:rsidRPr="00AE3783" w:rsidRDefault="00E0560E" w:rsidP="0030638A">
          <w:pPr>
            <w:pStyle w:val="List"/>
            <w:widowControl/>
          </w:pPr>
          <w:r w:rsidRPr="00AE3783">
            <w:t>Q</w:t>
          </w:r>
          <w:r w:rsidR="0086433B" w:rsidRPr="00AE3783">
            <w:t xml:space="preserve">uarterly analysis of wastewater effluent </w:t>
          </w:r>
          <w:r w:rsidRPr="00AE3783">
            <w:t xml:space="preserve">is required for </w:t>
          </w:r>
          <w:r w:rsidR="0086433B" w:rsidRPr="00AE3783">
            <w:t>5-day biochemical oxygen demand, tota</w:t>
          </w:r>
          <w:r w:rsidR="0010504F" w:rsidRPr="00AE3783">
            <w:t>l nitrogen,</w:t>
          </w:r>
          <w:r w:rsidR="0086433B" w:rsidRPr="00AE3783">
            <w:t xml:space="preserve"> total phosphorus</w:t>
          </w:r>
          <w:r w:rsidR="0010504F" w:rsidRPr="00AE3783">
            <w:t>, and total dissolved solids</w:t>
          </w:r>
          <w:r w:rsidR="0086433B" w:rsidRPr="00AE3783">
            <w:t>.</w:t>
          </w:r>
          <w:r w:rsidR="00807B46" w:rsidRPr="00AE3783">
            <w:t xml:space="preserve"> </w:t>
          </w:r>
        </w:p>
        <w:p w14:paraId="75EECC67" w14:textId="111DF74D" w:rsidR="0086433B" w:rsidRPr="00AE3783" w:rsidRDefault="0010504F" w:rsidP="0030638A">
          <w:pPr>
            <w:pStyle w:val="List"/>
            <w:widowControl/>
          </w:pPr>
          <w:r w:rsidRPr="00AE3783">
            <w:t>The p</w:t>
          </w:r>
          <w:r w:rsidR="00D93F58" w:rsidRPr="00AE3783">
            <w:t>ermi</w:t>
          </w:r>
          <w:r w:rsidRPr="00AE3783">
            <w:t>t</w:t>
          </w:r>
          <w:r w:rsidR="00D93F58" w:rsidRPr="00AE3783">
            <w:t>tee is required to maintain</w:t>
          </w:r>
          <w:r w:rsidR="0086433B" w:rsidRPr="00AE3783">
            <w:t xml:space="preserve"> records of irrigation</w:t>
          </w:r>
          <w:r w:rsidR="004462F2" w:rsidRPr="00AE3783">
            <w:t>.</w:t>
          </w:r>
        </w:p>
        <w:p w14:paraId="65247BBC" w14:textId="45A4EF75" w:rsidR="00B97EE2" w:rsidRPr="00AE3783" w:rsidRDefault="0010504F" w:rsidP="0030638A">
          <w:pPr>
            <w:pStyle w:val="List"/>
            <w:widowControl/>
          </w:pPr>
          <w:r w:rsidRPr="00AE3783">
            <w:t>The p</w:t>
          </w:r>
          <w:r w:rsidR="004462F2" w:rsidRPr="00AE3783">
            <w:t>ermittee must maintain and repair any damage to a retention facility liner.</w:t>
          </w:r>
        </w:p>
        <w:p w14:paraId="43ABBFED" w14:textId="77777777" w:rsidR="0086433B" w:rsidRPr="00AE3783" w:rsidRDefault="00A47E12"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XIII</w:t>
          </w:r>
          <w:r w:rsidR="0086433B" w:rsidRPr="00AE3783">
            <w:rPr>
              <w:rFonts w:ascii="Lucida Bright" w:hAnsi="Lucida Bright"/>
              <w:sz w:val="22"/>
              <w:szCs w:val="22"/>
            </w:rPr>
            <w:t>.</w:t>
          </w:r>
          <w:r w:rsidR="00AF459A" w:rsidRPr="00AE3783">
            <w:rPr>
              <w:rFonts w:ascii="Lucida Bright" w:hAnsi="Lucida Bright"/>
              <w:sz w:val="22"/>
              <w:szCs w:val="22"/>
            </w:rPr>
            <w:tab/>
          </w:r>
          <w:r w:rsidR="00B06411" w:rsidRPr="00AE3783">
            <w:rPr>
              <w:rFonts w:ascii="Lucida Bright" w:hAnsi="Lucida Bright"/>
              <w:sz w:val="22"/>
              <w:szCs w:val="22"/>
            </w:rPr>
            <w:t>P</w:t>
          </w:r>
          <w:r w:rsidR="0086433B" w:rsidRPr="00AE3783">
            <w:rPr>
              <w:rFonts w:ascii="Lucida Bright" w:hAnsi="Lucida Bright"/>
              <w:sz w:val="22"/>
              <w:szCs w:val="22"/>
            </w:rPr>
            <w:t>rocedures for Final Decision</w:t>
          </w:r>
        </w:p>
        <w:p w14:paraId="2EEEBEC4" w14:textId="77777777" w:rsidR="00F0108F" w:rsidRPr="00AE3783" w:rsidRDefault="00D93F58" w:rsidP="0030638A">
          <w:pPr>
            <w:keepNext/>
            <w:widowControl/>
            <w:tabs>
              <w:tab w:val="left" w:pos="540"/>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547"/>
            <w:rPr>
              <w:rFonts w:ascii="Lucida Bright" w:hAnsi="Lucida Bright"/>
              <w:sz w:val="22"/>
              <w:szCs w:val="22"/>
            </w:rPr>
          </w:pPr>
          <w:r w:rsidRPr="00AE3783">
            <w:rPr>
              <w:rFonts w:ascii="Lucida Bright" w:hAnsi="Lucida Bright"/>
              <w:sz w:val="22"/>
              <w:szCs w:val="22"/>
            </w:rPr>
            <w:t>30 TAC Chapter 205 requires that</w:t>
          </w:r>
          <w:r w:rsidR="0027297D" w:rsidRPr="00AE3783">
            <w:rPr>
              <w:rFonts w:ascii="Lucida Bright" w:hAnsi="Lucida Bright"/>
              <w:sz w:val="22"/>
              <w:szCs w:val="22"/>
            </w:rPr>
            <w:t xml:space="preserve"> when a</w:t>
          </w:r>
          <w:r w:rsidRPr="00AE3783">
            <w:rPr>
              <w:rFonts w:ascii="Lucida Bright" w:hAnsi="Lucida Bright"/>
              <w:sz w:val="22"/>
              <w:szCs w:val="22"/>
            </w:rPr>
            <w:t xml:space="preserve"> draft </w:t>
          </w:r>
          <w:r w:rsidR="0086433B" w:rsidRPr="00AE3783">
            <w:rPr>
              <w:rFonts w:ascii="Lucida Bright" w:hAnsi="Lucida Bright"/>
              <w:sz w:val="22"/>
              <w:szCs w:val="22"/>
            </w:rPr>
            <w:t xml:space="preserve">general permit </w:t>
          </w:r>
          <w:r w:rsidR="0027297D" w:rsidRPr="00AE3783">
            <w:rPr>
              <w:rFonts w:ascii="Lucida Bright" w:hAnsi="Lucida Bright"/>
              <w:sz w:val="22"/>
              <w:szCs w:val="22"/>
            </w:rPr>
            <w:t xml:space="preserve">is proposed, notice must by </w:t>
          </w:r>
          <w:r w:rsidR="0086433B" w:rsidRPr="00AE3783">
            <w:rPr>
              <w:rFonts w:ascii="Lucida Bright" w:hAnsi="Lucida Bright"/>
              <w:sz w:val="22"/>
              <w:szCs w:val="22"/>
            </w:rPr>
            <w:t>published in the</w:t>
          </w:r>
          <w:r w:rsidR="00D360EE" w:rsidRPr="00AE3783">
            <w:rPr>
              <w:rFonts w:ascii="Lucida Bright" w:hAnsi="Lucida Bright"/>
              <w:sz w:val="22"/>
              <w:szCs w:val="22"/>
            </w:rPr>
            <w:t xml:space="preserve"> </w:t>
          </w:r>
          <w:r w:rsidR="0086433B" w:rsidRPr="00AE3783">
            <w:rPr>
              <w:rFonts w:ascii="Lucida Bright" w:hAnsi="Lucida Bright"/>
              <w:i/>
              <w:iCs/>
              <w:sz w:val="22"/>
              <w:szCs w:val="22"/>
            </w:rPr>
            <w:t>Texas Register</w:t>
          </w:r>
          <w:r w:rsidR="0086433B" w:rsidRPr="00AE3783">
            <w:rPr>
              <w:rFonts w:ascii="Lucida Bright" w:hAnsi="Lucida Bright"/>
              <w:sz w:val="22"/>
              <w:szCs w:val="22"/>
            </w:rPr>
            <w:t xml:space="preserve"> and in at least one newspaper in the state with statewide or regional circulation</w:t>
          </w:r>
          <w:r w:rsidR="005B3DC7" w:rsidRPr="00AE3783">
            <w:rPr>
              <w:rFonts w:ascii="Lucida Bright" w:hAnsi="Lucida Bright"/>
              <w:sz w:val="22"/>
              <w:szCs w:val="22"/>
            </w:rPr>
            <w:t>.</w:t>
          </w:r>
          <w:r w:rsidR="00807B46" w:rsidRPr="00AE3783">
            <w:rPr>
              <w:rFonts w:ascii="Lucida Bright" w:hAnsi="Lucida Bright"/>
              <w:sz w:val="22"/>
              <w:szCs w:val="22"/>
            </w:rPr>
            <w:t xml:space="preserve"> </w:t>
          </w:r>
          <w:r w:rsidR="005B3DC7" w:rsidRPr="00AE3783">
            <w:rPr>
              <w:rFonts w:ascii="Lucida Bright" w:hAnsi="Lucida Bright"/>
              <w:sz w:val="22"/>
              <w:szCs w:val="22"/>
            </w:rPr>
            <w:t xml:space="preserve">The commission may also publish notice in additional newspapers of statewide or regional circulation. Notice must also be </w:t>
          </w:r>
          <w:r w:rsidR="00F0108F" w:rsidRPr="00AE3783">
            <w:rPr>
              <w:rFonts w:ascii="Lucida Bright" w:hAnsi="Lucida Bright"/>
              <w:sz w:val="22"/>
              <w:szCs w:val="22"/>
            </w:rPr>
            <w:t>provided to the following</w:t>
          </w:r>
          <w:r w:rsidR="005B3DC7" w:rsidRPr="00AE3783">
            <w:rPr>
              <w:rFonts w:ascii="Lucida Bright" w:hAnsi="Lucida Bright"/>
              <w:sz w:val="22"/>
              <w:szCs w:val="22"/>
            </w:rPr>
            <w:t>:</w:t>
          </w:r>
        </w:p>
        <w:p w14:paraId="18192C9D" w14:textId="3B93E34A" w:rsidR="00206A68" w:rsidRPr="00AE3783" w:rsidRDefault="00F0108F" w:rsidP="0030638A">
          <w:pPr>
            <w:pStyle w:val="List"/>
            <w:widowControl/>
            <w:numPr>
              <w:ilvl w:val="0"/>
              <w:numId w:val="31"/>
            </w:numPr>
            <w:ind w:left="990" w:hanging="450"/>
          </w:pPr>
          <w:r w:rsidRPr="00AE3783">
            <w:t xml:space="preserve">the county judge of the county or counties in which </w:t>
          </w:r>
          <w:r w:rsidR="00517CA3" w:rsidRPr="00AE3783">
            <w:t>disposal</w:t>
          </w:r>
          <w:r w:rsidRPr="00AE3783">
            <w:t xml:space="preserve"> under the general permit could be </w:t>
          </w:r>
          <w:proofErr w:type="gramStart"/>
          <w:r w:rsidRPr="00AE3783">
            <w:t>located;</w:t>
          </w:r>
          <w:proofErr w:type="gramEnd"/>
        </w:p>
        <w:p w14:paraId="18D13A7C" w14:textId="33835584" w:rsidR="00206A68" w:rsidRPr="00AE3783" w:rsidRDefault="00F0108F" w:rsidP="0030638A">
          <w:pPr>
            <w:pStyle w:val="List"/>
            <w:widowControl/>
          </w:pPr>
          <w:r w:rsidRPr="00AE3783">
            <w:lastRenderedPageBreak/>
            <w:t>persons on a relevant mailing list kept under 30 TAC §</w:t>
          </w:r>
          <w:r w:rsidR="00DB5CD1" w:rsidRPr="00AE3783">
            <w:t xml:space="preserve"> </w:t>
          </w:r>
          <w:r w:rsidRPr="00AE3783">
            <w:t xml:space="preserve">39.407, </w:t>
          </w:r>
          <w:r w:rsidR="0027297D" w:rsidRPr="00AE3783">
            <w:rPr>
              <w:i/>
            </w:rPr>
            <w:t>Mailing Lists</w:t>
          </w:r>
          <w:r w:rsidR="0027297D" w:rsidRPr="00AE3783">
            <w:t xml:space="preserve">; and </w:t>
          </w:r>
        </w:p>
        <w:p w14:paraId="2DBD6A69" w14:textId="5074754E" w:rsidR="0027297D" w:rsidRPr="00AE3783" w:rsidRDefault="0027297D" w:rsidP="0030638A">
          <w:pPr>
            <w:pStyle w:val="List"/>
            <w:widowControl/>
          </w:pPr>
          <w:r w:rsidRPr="00AE3783">
            <w:t>any other person the executive director or chief clerk may elect to include.</w:t>
          </w:r>
        </w:p>
        <w:p w14:paraId="56A7FCEF" w14:textId="77777777" w:rsidR="0027297D" w:rsidRPr="00AE3783" w:rsidRDefault="0027297D" w:rsidP="0030638A">
          <w:pPr>
            <w:widowControl/>
            <w:tabs>
              <w:tab w:val="left" w:pos="5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540"/>
            <w:rPr>
              <w:rFonts w:ascii="Lucida Bright" w:hAnsi="Lucida Bright"/>
              <w:sz w:val="22"/>
              <w:szCs w:val="22"/>
            </w:rPr>
          </w:pPr>
          <w:r w:rsidRPr="00AE3783">
            <w:rPr>
              <w:rFonts w:ascii="Lucida Bright" w:hAnsi="Lucida Bright"/>
              <w:sz w:val="22"/>
              <w:szCs w:val="22"/>
            </w:rPr>
            <w:t xml:space="preserve">The public will have 30 days to provide public comment on the proposed general </w:t>
          </w:r>
          <w:r w:rsidR="004F3656" w:rsidRPr="00AE3783">
            <w:rPr>
              <w:rFonts w:ascii="Lucida Bright" w:hAnsi="Lucida Bright"/>
              <w:sz w:val="22"/>
              <w:szCs w:val="22"/>
            </w:rPr>
            <w:t>permit.</w:t>
          </w:r>
        </w:p>
        <w:p w14:paraId="059F3EE9" w14:textId="6008F708" w:rsidR="004F3656" w:rsidRPr="00AE3783" w:rsidRDefault="0027297D" w:rsidP="0030638A">
          <w:pPr>
            <w:widowControl/>
            <w:tabs>
              <w:tab w:val="left" w:pos="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540"/>
            <w:rPr>
              <w:rFonts w:ascii="Lucida Bright" w:hAnsi="Lucida Bright"/>
              <w:sz w:val="22"/>
              <w:szCs w:val="22"/>
            </w:rPr>
          </w:pPr>
          <w:r w:rsidRPr="00AE3783">
            <w:rPr>
              <w:rFonts w:ascii="Lucida Bright" w:hAnsi="Lucida Bright"/>
              <w:sz w:val="22"/>
              <w:szCs w:val="22"/>
            </w:rPr>
            <w:t>Any person, agency, or association may make a request for a public meeting on the proposed general permit before the end of the public comment period.</w:t>
          </w:r>
          <w:r w:rsidR="00807B46" w:rsidRPr="00AE3783">
            <w:rPr>
              <w:rFonts w:ascii="Lucida Bright" w:hAnsi="Lucida Bright"/>
              <w:sz w:val="22"/>
              <w:szCs w:val="22"/>
            </w:rPr>
            <w:t xml:space="preserve"> </w:t>
          </w:r>
          <w:r w:rsidRPr="00AE3783">
            <w:rPr>
              <w:rFonts w:ascii="Lucida Bright" w:hAnsi="Lucida Bright"/>
              <w:sz w:val="22"/>
              <w:szCs w:val="22"/>
            </w:rPr>
            <w:t>A public meeting will be granted</w:t>
          </w:r>
          <w:r w:rsidR="0035695A" w:rsidRPr="00AE3783">
            <w:rPr>
              <w:rFonts w:ascii="Lucida Bright" w:hAnsi="Lucida Bright"/>
              <w:sz w:val="22"/>
              <w:szCs w:val="22"/>
            </w:rPr>
            <w:t xml:space="preserve"> when the executive director or commis</w:t>
          </w:r>
          <w:r w:rsidR="007F442F" w:rsidRPr="00AE3783">
            <w:rPr>
              <w:rFonts w:ascii="Lucida Bright" w:hAnsi="Lucida Bright"/>
              <w:sz w:val="22"/>
              <w:szCs w:val="22"/>
            </w:rPr>
            <w:t xml:space="preserve">sion determines, </w:t>
          </w:r>
          <w:proofErr w:type="gramStart"/>
          <w:r w:rsidR="007F442F" w:rsidRPr="00AE3783">
            <w:rPr>
              <w:rFonts w:ascii="Lucida Bright" w:hAnsi="Lucida Bright"/>
              <w:sz w:val="22"/>
              <w:szCs w:val="22"/>
            </w:rPr>
            <w:t>on the basis of</w:t>
          </w:r>
          <w:proofErr w:type="gramEnd"/>
          <w:r w:rsidR="007F442F" w:rsidRPr="00AE3783">
            <w:rPr>
              <w:rFonts w:ascii="Lucida Bright" w:hAnsi="Lucida Bright"/>
              <w:sz w:val="22"/>
              <w:szCs w:val="22"/>
            </w:rPr>
            <w:t xml:space="preserve"> requests</w:t>
          </w:r>
          <w:r w:rsidR="0035695A" w:rsidRPr="00AE3783">
            <w:rPr>
              <w:rFonts w:ascii="Lucida Bright" w:hAnsi="Lucida Bright"/>
              <w:sz w:val="22"/>
              <w:szCs w:val="22"/>
            </w:rPr>
            <w:t xml:space="preserve"> that a significant degree of public interest in the draft general permit exists.</w:t>
          </w:r>
          <w:r w:rsidR="00807B46" w:rsidRPr="00AE3783">
            <w:rPr>
              <w:rFonts w:ascii="Lucida Bright" w:hAnsi="Lucida Bright"/>
              <w:sz w:val="22"/>
              <w:szCs w:val="22"/>
            </w:rPr>
            <w:t xml:space="preserve"> </w:t>
          </w:r>
          <w:r w:rsidR="004F3656" w:rsidRPr="00AE3783">
            <w:rPr>
              <w:rFonts w:ascii="Lucida Bright" w:hAnsi="Lucida Bright"/>
              <w:sz w:val="22"/>
              <w:szCs w:val="22"/>
            </w:rPr>
            <w:t xml:space="preserve">A public meeting is intended for the taking of public comment and is not a contested case proceeding under the </w:t>
          </w:r>
          <w:r w:rsidR="007A3B5B" w:rsidRPr="00AE3783">
            <w:rPr>
              <w:rFonts w:ascii="Lucida Bright" w:hAnsi="Lucida Bright"/>
              <w:sz w:val="22"/>
              <w:szCs w:val="22"/>
            </w:rPr>
            <w:t>A</w:t>
          </w:r>
          <w:r w:rsidR="004F3656" w:rsidRPr="00AE3783">
            <w:rPr>
              <w:rFonts w:ascii="Lucida Bright" w:hAnsi="Lucida Bright"/>
              <w:sz w:val="22"/>
              <w:szCs w:val="22"/>
            </w:rPr>
            <w:t>dministrative Procedure Act.</w:t>
          </w:r>
        </w:p>
        <w:p w14:paraId="493D1B34" w14:textId="77777777" w:rsidR="0086433B" w:rsidRPr="00AE3783" w:rsidRDefault="0035695A" w:rsidP="0030638A">
          <w:pPr>
            <w:widowControl/>
            <w:tabs>
              <w:tab w:val="left" w:pos="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34" w:lineRule="auto"/>
            <w:ind w:left="540"/>
            <w:rPr>
              <w:rFonts w:ascii="Lucida Bright" w:hAnsi="Lucida Bright"/>
              <w:sz w:val="22"/>
              <w:szCs w:val="22"/>
            </w:rPr>
          </w:pPr>
          <w:r w:rsidRPr="00AE3783">
            <w:rPr>
              <w:rFonts w:ascii="Lucida Bright" w:hAnsi="Lucida Bright"/>
              <w:sz w:val="22"/>
              <w:szCs w:val="22"/>
            </w:rPr>
            <w:t>If the executive director calls a public meeting, the commission will give notice of the date, time, and place of the meeting, as required by commission rule.</w:t>
          </w:r>
          <w:r w:rsidR="00807B46" w:rsidRPr="00AE3783">
            <w:rPr>
              <w:rFonts w:ascii="Lucida Bright" w:hAnsi="Lucida Bright"/>
              <w:sz w:val="22"/>
              <w:szCs w:val="22"/>
            </w:rPr>
            <w:t xml:space="preserve"> </w:t>
          </w:r>
          <w:r w:rsidRPr="00AE3783">
            <w:rPr>
              <w:rFonts w:ascii="Lucida Bright" w:hAnsi="Lucida Bright"/>
              <w:sz w:val="22"/>
              <w:szCs w:val="22"/>
            </w:rPr>
            <w:t>The executive director shall prepare a response to all public comments on the draft general permit raised during the public comment period.</w:t>
          </w:r>
          <w:r w:rsidR="00807B46" w:rsidRPr="00AE3783">
            <w:rPr>
              <w:rFonts w:ascii="Lucida Bright" w:hAnsi="Lucida Bright"/>
              <w:sz w:val="22"/>
              <w:szCs w:val="22"/>
            </w:rPr>
            <w:t xml:space="preserve"> </w:t>
          </w:r>
          <w:r w:rsidRPr="00AE3783">
            <w:rPr>
              <w:rFonts w:ascii="Lucida Bright" w:hAnsi="Lucida Bright"/>
              <w:sz w:val="22"/>
              <w:szCs w:val="22"/>
            </w:rPr>
            <w:t>The general permit will then be filed with the commission to consider final authorization of the permit.</w:t>
          </w:r>
          <w:r w:rsidR="00807B46" w:rsidRPr="00AE3783">
            <w:rPr>
              <w:rFonts w:ascii="Lucida Bright" w:hAnsi="Lucida Bright"/>
              <w:sz w:val="22"/>
              <w:szCs w:val="22"/>
            </w:rPr>
            <w:t xml:space="preserve"> </w:t>
          </w:r>
          <w:r w:rsidRPr="00AE3783">
            <w:rPr>
              <w:rFonts w:ascii="Lucida Bright" w:hAnsi="Lucida Bright"/>
              <w:sz w:val="22"/>
              <w:szCs w:val="22"/>
            </w:rPr>
            <w:t>The executive director’s response to public comment shall be made available to the public and filed with the chief clerk at least ten days before the commission acts on the general permit.</w:t>
          </w:r>
        </w:p>
        <w:p w14:paraId="48497A53" w14:textId="3F5076AB" w:rsidR="0086433B" w:rsidRPr="00AE3783" w:rsidRDefault="0086433B" w:rsidP="0030638A">
          <w:pPr>
            <w:pStyle w:val="Heading1"/>
            <w:widowControl/>
            <w:tabs>
              <w:tab w:val="left" w:pos="540"/>
            </w:tabs>
            <w:spacing w:after="240"/>
            <w:rPr>
              <w:rFonts w:ascii="Lucida Bright" w:hAnsi="Lucida Bright"/>
              <w:sz w:val="22"/>
              <w:szCs w:val="22"/>
            </w:rPr>
          </w:pPr>
          <w:r w:rsidRPr="00AE3783">
            <w:rPr>
              <w:rFonts w:ascii="Lucida Bright" w:hAnsi="Lucida Bright"/>
              <w:sz w:val="22"/>
              <w:szCs w:val="22"/>
            </w:rPr>
            <w:t>X</w:t>
          </w:r>
          <w:r w:rsidR="00A47E12" w:rsidRPr="00AE3783">
            <w:rPr>
              <w:rFonts w:ascii="Lucida Bright" w:hAnsi="Lucida Bright"/>
              <w:sz w:val="22"/>
              <w:szCs w:val="22"/>
            </w:rPr>
            <w:t>IV</w:t>
          </w:r>
          <w:r w:rsidRPr="00AE3783">
            <w:rPr>
              <w:rFonts w:ascii="Lucida Bright" w:hAnsi="Lucida Bright"/>
              <w:sz w:val="22"/>
              <w:szCs w:val="22"/>
            </w:rPr>
            <w:t xml:space="preserve">. </w:t>
          </w:r>
          <w:r w:rsidR="005720BB" w:rsidRPr="00AE3783">
            <w:rPr>
              <w:rFonts w:ascii="Lucida Bright" w:hAnsi="Lucida Bright"/>
              <w:sz w:val="22"/>
              <w:szCs w:val="22"/>
            </w:rPr>
            <w:tab/>
          </w:r>
          <w:r w:rsidRPr="00AE3783">
            <w:rPr>
              <w:rFonts w:ascii="Lucida Bright" w:hAnsi="Lucida Bright"/>
              <w:sz w:val="22"/>
              <w:szCs w:val="22"/>
            </w:rPr>
            <w:t>Administrative Record</w:t>
          </w:r>
        </w:p>
        <w:p w14:paraId="45E6933A" w14:textId="77777777" w:rsidR="0086433B" w:rsidRPr="00AE3783" w:rsidRDefault="0086433B" w:rsidP="0030638A">
          <w:pPr>
            <w:widowControl/>
            <w:tabs>
              <w:tab w:val="left" w:pos="540"/>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540"/>
            <w:rPr>
              <w:rFonts w:ascii="Lucida Bright" w:hAnsi="Lucida Bright"/>
              <w:sz w:val="22"/>
              <w:szCs w:val="22"/>
            </w:rPr>
          </w:pPr>
          <w:r w:rsidRPr="00AE3783">
            <w:rPr>
              <w:rFonts w:ascii="Lucida Bright" w:hAnsi="Lucida Bright"/>
              <w:sz w:val="22"/>
              <w:szCs w:val="22"/>
            </w:rPr>
            <w:t>The following section is a list of the fact sheet citations to applicable statutory or regulatory provisions and appropriate supporting references.</w:t>
          </w:r>
        </w:p>
        <w:p w14:paraId="6B632818" w14:textId="77777777" w:rsidR="00924C90" w:rsidRPr="00AE3783" w:rsidRDefault="00924C90" w:rsidP="0030638A">
          <w:pPr>
            <w:pStyle w:val="List"/>
            <w:widowControl/>
            <w:numPr>
              <w:ilvl w:val="0"/>
              <w:numId w:val="32"/>
            </w:numPr>
            <w:ind w:left="990" w:hanging="450"/>
          </w:pPr>
          <w:r w:rsidRPr="00AE3783">
            <w:t>Permit:</w:t>
          </w:r>
        </w:p>
        <w:p w14:paraId="56060FD6" w14:textId="52F9E99D" w:rsidR="00B20E91" w:rsidRPr="00AE3783" w:rsidRDefault="004F3656" w:rsidP="0030638A">
          <w:pPr>
            <w:widowControl/>
            <w:tabs>
              <w:tab w:val="left" w:pos="108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1080"/>
            <w:jc w:val="both"/>
            <w:rPr>
              <w:rFonts w:ascii="Lucida Bright" w:hAnsi="Lucida Bright"/>
              <w:sz w:val="22"/>
              <w:szCs w:val="22"/>
            </w:rPr>
          </w:pPr>
          <w:r w:rsidRPr="00AE3783">
            <w:rPr>
              <w:rFonts w:ascii="Lucida Bright" w:hAnsi="Lucida Bright"/>
              <w:sz w:val="22"/>
              <w:szCs w:val="22"/>
            </w:rPr>
            <w:t>Existi</w:t>
          </w:r>
          <w:r w:rsidR="00D011BC" w:rsidRPr="00AE3783">
            <w:rPr>
              <w:rFonts w:ascii="Lucida Bright" w:hAnsi="Lucida Bright"/>
              <w:sz w:val="22"/>
              <w:szCs w:val="22"/>
            </w:rPr>
            <w:t>ng General Permit No. WQG200000</w:t>
          </w:r>
          <w:r w:rsidR="00644A87" w:rsidRPr="00AE3783">
            <w:rPr>
              <w:rFonts w:ascii="Lucida Bright" w:hAnsi="Lucida Bright"/>
              <w:sz w:val="22"/>
              <w:szCs w:val="22"/>
            </w:rPr>
            <w:t xml:space="preserve">, </w:t>
          </w:r>
          <w:r w:rsidR="0045352C" w:rsidRPr="00AE3783">
            <w:rPr>
              <w:rFonts w:ascii="Lucida Bright" w:hAnsi="Lucida Bright"/>
              <w:sz w:val="22"/>
              <w:szCs w:val="22"/>
            </w:rPr>
            <w:t>effective November 10, 201</w:t>
          </w:r>
          <w:r w:rsidR="00DB5CD1" w:rsidRPr="00AE3783">
            <w:rPr>
              <w:rFonts w:ascii="Lucida Bright" w:hAnsi="Lucida Bright"/>
              <w:sz w:val="22"/>
              <w:szCs w:val="22"/>
            </w:rPr>
            <w:t>8</w:t>
          </w:r>
        </w:p>
        <w:p w14:paraId="419A6CF8" w14:textId="1EC50EB3" w:rsidR="00924C90" w:rsidRPr="00AE3783" w:rsidRDefault="00924C90" w:rsidP="0030638A">
          <w:pPr>
            <w:pStyle w:val="List"/>
            <w:widowControl/>
          </w:pPr>
          <w:r w:rsidRPr="00AE3783">
            <w:t>Rules and Statutes:</w:t>
          </w:r>
        </w:p>
        <w:p w14:paraId="5C5332F8" w14:textId="77777777" w:rsidR="00D360EE" w:rsidRPr="00AE3783" w:rsidRDefault="00D360EE" w:rsidP="0030638A">
          <w:pPr>
            <w:widowControl/>
            <w:numPr>
              <w:ilvl w:val="0"/>
              <w:numId w:val="9"/>
            </w:numPr>
            <w:spacing w:after="120"/>
            <w:ind w:left="1440"/>
            <w:jc w:val="both"/>
            <w:rPr>
              <w:rFonts w:ascii="Lucida Bright" w:hAnsi="Lucida Bright"/>
              <w:sz w:val="22"/>
              <w:szCs w:val="22"/>
            </w:rPr>
          </w:pPr>
          <w:r w:rsidRPr="00AE3783">
            <w:rPr>
              <w:rFonts w:ascii="Lucida Bright" w:hAnsi="Lucida Bright"/>
              <w:sz w:val="22"/>
              <w:szCs w:val="22"/>
            </w:rPr>
            <w:t xml:space="preserve">30 TAC Chapters </w:t>
          </w:r>
          <w:r w:rsidR="00AC5208" w:rsidRPr="00AE3783">
            <w:rPr>
              <w:rFonts w:ascii="Lucida Bright" w:hAnsi="Lucida Bright"/>
              <w:sz w:val="22"/>
              <w:szCs w:val="22"/>
            </w:rPr>
            <w:t xml:space="preserve">39, </w:t>
          </w:r>
          <w:r w:rsidRPr="00AE3783">
            <w:rPr>
              <w:rFonts w:ascii="Lucida Bright" w:hAnsi="Lucida Bright"/>
              <w:sz w:val="22"/>
              <w:szCs w:val="22"/>
            </w:rPr>
            <w:t>50</w:t>
          </w:r>
          <w:r w:rsidR="00AC5208" w:rsidRPr="00AE3783">
            <w:rPr>
              <w:rFonts w:ascii="Lucida Bright" w:hAnsi="Lucida Bright"/>
              <w:sz w:val="22"/>
              <w:szCs w:val="22"/>
            </w:rPr>
            <w:t>, 60</w:t>
          </w:r>
          <w:r w:rsidRPr="00AE3783">
            <w:rPr>
              <w:rFonts w:ascii="Lucida Bright" w:hAnsi="Lucida Bright"/>
              <w:sz w:val="22"/>
              <w:szCs w:val="22"/>
            </w:rPr>
            <w:t xml:space="preserve">, 205, </w:t>
          </w:r>
          <w:r w:rsidR="00AC5208" w:rsidRPr="00AE3783">
            <w:rPr>
              <w:rFonts w:ascii="Lucida Bright" w:hAnsi="Lucida Bright"/>
              <w:sz w:val="22"/>
              <w:szCs w:val="22"/>
            </w:rPr>
            <w:t xml:space="preserve">213, </w:t>
          </w:r>
          <w:r w:rsidRPr="00AE3783">
            <w:rPr>
              <w:rFonts w:ascii="Lucida Bright" w:hAnsi="Lucida Bright"/>
              <w:sz w:val="22"/>
              <w:szCs w:val="22"/>
            </w:rPr>
            <w:t>305</w:t>
          </w:r>
          <w:r w:rsidR="00BE2685" w:rsidRPr="00AE3783">
            <w:rPr>
              <w:rFonts w:ascii="Lucida Bright" w:hAnsi="Lucida Bright"/>
              <w:sz w:val="22"/>
              <w:szCs w:val="22"/>
            </w:rPr>
            <w:t xml:space="preserve">, </w:t>
          </w:r>
          <w:r w:rsidR="00AC5208" w:rsidRPr="00AE3783">
            <w:rPr>
              <w:rFonts w:ascii="Lucida Bright" w:hAnsi="Lucida Bright"/>
              <w:sz w:val="22"/>
              <w:szCs w:val="22"/>
            </w:rPr>
            <w:t xml:space="preserve">307, </w:t>
          </w:r>
          <w:r w:rsidR="00BE2685" w:rsidRPr="00AE3783">
            <w:rPr>
              <w:rFonts w:ascii="Lucida Bright" w:hAnsi="Lucida Bright"/>
              <w:sz w:val="22"/>
              <w:szCs w:val="22"/>
            </w:rPr>
            <w:t xml:space="preserve">309, 312, </w:t>
          </w:r>
          <w:r w:rsidR="00D011BC" w:rsidRPr="00AE3783">
            <w:rPr>
              <w:rFonts w:ascii="Lucida Bright" w:hAnsi="Lucida Bright"/>
              <w:sz w:val="22"/>
              <w:szCs w:val="22"/>
            </w:rPr>
            <w:t xml:space="preserve">321, </w:t>
          </w:r>
          <w:r w:rsidR="00AC5208" w:rsidRPr="00AE3783">
            <w:rPr>
              <w:rFonts w:ascii="Lucida Bright" w:hAnsi="Lucida Bright"/>
              <w:sz w:val="22"/>
              <w:szCs w:val="22"/>
            </w:rPr>
            <w:t xml:space="preserve">330, </w:t>
          </w:r>
          <w:r w:rsidR="00BE2685" w:rsidRPr="00AE3783">
            <w:rPr>
              <w:rFonts w:ascii="Lucida Bright" w:hAnsi="Lucida Bright"/>
              <w:sz w:val="22"/>
              <w:szCs w:val="22"/>
            </w:rPr>
            <w:t>332</w:t>
          </w:r>
          <w:r w:rsidR="00AC5208" w:rsidRPr="00AE3783">
            <w:rPr>
              <w:rFonts w:ascii="Lucida Bright" w:hAnsi="Lucida Bright"/>
              <w:sz w:val="22"/>
              <w:szCs w:val="22"/>
            </w:rPr>
            <w:t>, and 335</w:t>
          </w:r>
        </w:p>
        <w:p w14:paraId="7ED73BDE" w14:textId="63B7B80A" w:rsidR="004C146B" w:rsidRPr="00AE3783" w:rsidRDefault="00BA4717" w:rsidP="0030638A">
          <w:pPr>
            <w:widowControl/>
            <w:numPr>
              <w:ilvl w:val="1"/>
              <w:numId w:val="9"/>
            </w:numPr>
            <w:spacing w:after="120"/>
            <w:rPr>
              <w:rFonts w:ascii="Lucida Bright" w:hAnsi="Lucida Bright"/>
              <w:sz w:val="22"/>
              <w:szCs w:val="22"/>
            </w:rPr>
          </w:pPr>
          <w:r w:rsidRPr="00AE3783">
            <w:rPr>
              <w:rFonts w:ascii="Lucida Bright" w:hAnsi="Lucida Bright"/>
              <w:sz w:val="22"/>
              <w:szCs w:val="22"/>
            </w:rPr>
            <w:t>TWC §§</w:t>
          </w:r>
          <w:r w:rsidR="00DB5CD1" w:rsidRPr="00AE3783">
            <w:rPr>
              <w:rFonts w:ascii="Lucida Bright" w:hAnsi="Lucida Bright"/>
              <w:sz w:val="22"/>
              <w:szCs w:val="22"/>
            </w:rPr>
            <w:t xml:space="preserve"> </w:t>
          </w:r>
          <w:r w:rsidR="00D360EE" w:rsidRPr="00AE3783">
            <w:rPr>
              <w:rFonts w:ascii="Lucida Bright" w:hAnsi="Lucida Bright"/>
              <w:sz w:val="22"/>
              <w:szCs w:val="22"/>
            </w:rPr>
            <w:t>5.103</w:t>
          </w:r>
          <w:r w:rsidR="00BE2685" w:rsidRPr="00AE3783">
            <w:rPr>
              <w:rFonts w:ascii="Lucida Bright" w:hAnsi="Lucida Bright"/>
              <w:sz w:val="22"/>
              <w:szCs w:val="22"/>
            </w:rPr>
            <w:t xml:space="preserve">, </w:t>
          </w:r>
          <w:r w:rsidR="00D360EE" w:rsidRPr="00AE3783">
            <w:rPr>
              <w:rFonts w:ascii="Lucida Bright" w:hAnsi="Lucida Bright"/>
              <w:sz w:val="22"/>
              <w:szCs w:val="22"/>
            </w:rPr>
            <w:t>5.105</w:t>
          </w:r>
          <w:r w:rsidR="00BE2685" w:rsidRPr="00AE3783">
            <w:rPr>
              <w:rFonts w:ascii="Lucida Bright" w:hAnsi="Lucida Bright"/>
              <w:sz w:val="22"/>
              <w:szCs w:val="22"/>
            </w:rPr>
            <w:t>, 26.001,</w:t>
          </w:r>
          <w:r w:rsidR="006B2058" w:rsidRPr="00AE3783">
            <w:rPr>
              <w:rFonts w:ascii="Lucida Bright" w:hAnsi="Lucida Bright"/>
              <w:sz w:val="22"/>
              <w:szCs w:val="22"/>
            </w:rPr>
            <w:t xml:space="preserve"> </w:t>
          </w:r>
          <w:r w:rsidR="004308EA" w:rsidRPr="00AE3783">
            <w:rPr>
              <w:rFonts w:ascii="Lucida Bright" w:hAnsi="Lucida Bright"/>
              <w:sz w:val="22"/>
              <w:szCs w:val="22"/>
            </w:rPr>
            <w:t xml:space="preserve">26.014, </w:t>
          </w:r>
          <w:r w:rsidR="006B2058" w:rsidRPr="00AE3783">
            <w:rPr>
              <w:rFonts w:ascii="Lucida Bright" w:hAnsi="Lucida Bright"/>
              <w:sz w:val="22"/>
              <w:szCs w:val="22"/>
            </w:rPr>
            <w:t xml:space="preserve">26.027, 26.040, </w:t>
          </w:r>
          <w:r w:rsidR="00BE2685" w:rsidRPr="00AE3783">
            <w:rPr>
              <w:rFonts w:ascii="Lucida Bright" w:hAnsi="Lucida Bright"/>
              <w:sz w:val="22"/>
              <w:szCs w:val="22"/>
            </w:rPr>
            <w:t>and 26.121</w:t>
          </w:r>
        </w:p>
        <w:p w14:paraId="2220A372" w14:textId="1A1C4E79" w:rsidR="00D360EE" w:rsidRPr="00AE3783" w:rsidRDefault="00D360EE" w:rsidP="0030638A">
          <w:pPr>
            <w:widowControl/>
            <w:numPr>
              <w:ilvl w:val="1"/>
              <w:numId w:val="9"/>
            </w:numPr>
            <w:spacing w:after="120"/>
            <w:rPr>
              <w:rFonts w:ascii="Lucida Bright" w:hAnsi="Lucida Bright"/>
              <w:sz w:val="22"/>
              <w:szCs w:val="22"/>
            </w:rPr>
          </w:pPr>
          <w:r w:rsidRPr="00AE3783">
            <w:rPr>
              <w:rFonts w:ascii="Lucida Bright" w:hAnsi="Lucida Bright"/>
              <w:sz w:val="22"/>
              <w:szCs w:val="22"/>
            </w:rPr>
            <w:t>Texas Health and Safety Code §§</w:t>
          </w:r>
          <w:r w:rsidR="00DB5CD1" w:rsidRPr="00AE3783">
            <w:rPr>
              <w:rFonts w:ascii="Lucida Bright" w:hAnsi="Lucida Bright"/>
              <w:sz w:val="22"/>
              <w:szCs w:val="22"/>
            </w:rPr>
            <w:t xml:space="preserve"> </w:t>
          </w:r>
          <w:r w:rsidRPr="00AE3783">
            <w:rPr>
              <w:rFonts w:ascii="Lucida Bright" w:hAnsi="Lucida Bright"/>
              <w:sz w:val="22"/>
              <w:szCs w:val="22"/>
            </w:rPr>
            <w:t>361.017</w:t>
          </w:r>
          <w:r w:rsidR="00E87842" w:rsidRPr="00AE3783">
            <w:rPr>
              <w:rFonts w:ascii="Lucida Bright" w:hAnsi="Lucida Bright"/>
              <w:sz w:val="22"/>
              <w:szCs w:val="22"/>
            </w:rPr>
            <w:t>,</w:t>
          </w:r>
          <w:r w:rsidRPr="00AE3783">
            <w:rPr>
              <w:rFonts w:ascii="Lucida Bright" w:hAnsi="Lucida Bright"/>
              <w:sz w:val="22"/>
              <w:szCs w:val="22"/>
            </w:rPr>
            <w:t xml:space="preserve"> 361.024</w:t>
          </w:r>
          <w:r w:rsidR="00E87842" w:rsidRPr="00AE3783">
            <w:rPr>
              <w:rFonts w:ascii="Lucida Bright" w:hAnsi="Lucida Bright"/>
              <w:sz w:val="22"/>
              <w:szCs w:val="22"/>
            </w:rPr>
            <w:t>, 361.032-361.033, and 361.037</w:t>
          </w:r>
        </w:p>
        <w:p w14:paraId="592B0030" w14:textId="4AFB4595" w:rsidR="000E4465" w:rsidRPr="00AE3783" w:rsidRDefault="000E4465" w:rsidP="0030638A">
          <w:pPr>
            <w:widowControl/>
            <w:numPr>
              <w:ilvl w:val="1"/>
              <w:numId w:val="9"/>
            </w:numPr>
            <w:spacing w:after="120"/>
            <w:rPr>
              <w:rFonts w:ascii="Lucida Bright" w:hAnsi="Lucida Bright"/>
              <w:sz w:val="22"/>
              <w:szCs w:val="22"/>
            </w:rPr>
          </w:pPr>
          <w:r w:rsidRPr="00AE3783">
            <w:rPr>
              <w:rFonts w:ascii="Lucida Bright" w:hAnsi="Lucida Bright"/>
              <w:sz w:val="22"/>
              <w:szCs w:val="22"/>
            </w:rPr>
            <w:t>CWA §</w:t>
          </w:r>
          <w:r w:rsidR="00DB5CD1" w:rsidRPr="00AE3783">
            <w:rPr>
              <w:rFonts w:ascii="Lucida Bright" w:hAnsi="Lucida Bright"/>
              <w:sz w:val="22"/>
              <w:szCs w:val="22"/>
            </w:rPr>
            <w:t xml:space="preserve"> </w:t>
          </w:r>
          <w:r w:rsidRPr="00AE3783">
            <w:rPr>
              <w:rFonts w:ascii="Lucida Bright" w:hAnsi="Lucida Bright"/>
              <w:sz w:val="22"/>
              <w:szCs w:val="22"/>
            </w:rPr>
            <w:t>303(d)</w:t>
          </w:r>
        </w:p>
        <w:p w14:paraId="61B31EFB" w14:textId="77777777" w:rsidR="000E4465" w:rsidRPr="00AE3783" w:rsidRDefault="00451D90" w:rsidP="0030638A">
          <w:pPr>
            <w:widowControl/>
            <w:numPr>
              <w:ilvl w:val="1"/>
              <w:numId w:val="9"/>
            </w:numPr>
            <w:spacing w:after="240"/>
            <w:rPr>
              <w:rFonts w:ascii="Lucida Bright" w:hAnsi="Lucida Bright"/>
              <w:sz w:val="22"/>
              <w:szCs w:val="22"/>
            </w:rPr>
          </w:pPr>
          <w:r w:rsidRPr="00AE3783">
            <w:rPr>
              <w:rFonts w:ascii="Lucida Bright" w:hAnsi="Lucida Bright"/>
              <w:sz w:val="22"/>
              <w:szCs w:val="22"/>
            </w:rPr>
            <w:t>40 Code of Federal Regulations</w:t>
          </w:r>
        </w:p>
        <w:p w14:paraId="2FB87274" w14:textId="6E4AFD11" w:rsidR="0086433B" w:rsidRPr="00AE3783" w:rsidRDefault="0086433B" w:rsidP="0030638A">
          <w:pPr>
            <w:pStyle w:val="List"/>
            <w:keepNext/>
            <w:widowControl/>
          </w:pPr>
          <w:r w:rsidRPr="00AE3783">
            <w:lastRenderedPageBreak/>
            <w:t>Miscellaneous</w:t>
          </w:r>
          <w:r w:rsidR="00333517" w:rsidRPr="00AE3783">
            <w:t>:</w:t>
          </w:r>
        </w:p>
        <w:p w14:paraId="520B9BDD" w14:textId="64695793" w:rsidR="0016280F" w:rsidRPr="00AE3783" w:rsidRDefault="00FD289E" w:rsidP="0030638A">
          <w:pPr>
            <w:widowControl/>
            <w:tabs>
              <w:tab w:val="left" w:pos="720"/>
              <w:tab w:val="left" w:pos="108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ind w:left="1080"/>
            <w:jc w:val="both"/>
            <w:rPr>
              <w:rFonts w:ascii="Lucida Bright" w:hAnsi="Lucida Bright"/>
              <w:sz w:val="22"/>
              <w:szCs w:val="22"/>
            </w:rPr>
          </w:pPr>
          <w:r w:rsidRPr="00AE3783">
            <w:rPr>
              <w:rFonts w:ascii="Lucida Bright" w:hAnsi="Lucida Bright"/>
              <w:i/>
              <w:sz w:val="22"/>
              <w:szCs w:val="22"/>
            </w:rPr>
            <w:t xml:space="preserve">Status Report:  Implementing </w:t>
          </w:r>
          <w:r w:rsidR="00451D90" w:rsidRPr="00AE3783">
            <w:rPr>
              <w:rFonts w:ascii="Lucida Bright" w:hAnsi="Lucida Bright"/>
              <w:i/>
              <w:sz w:val="22"/>
              <w:szCs w:val="22"/>
            </w:rPr>
            <w:t xml:space="preserve">TMDLs to Reduce Phosphorus, Improving Water Quality in the North Bosque River. </w:t>
          </w:r>
          <w:r w:rsidR="00256F41" w:rsidRPr="00AE3783">
            <w:rPr>
              <w:rFonts w:ascii="Lucida Bright" w:hAnsi="Lucida Bright"/>
              <w:i/>
              <w:sz w:val="22"/>
              <w:szCs w:val="22"/>
            </w:rPr>
            <w:t xml:space="preserve">TCEQ, </w:t>
          </w:r>
          <w:r w:rsidR="00256F41" w:rsidRPr="00AE3783">
            <w:rPr>
              <w:rFonts w:ascii="Lucida Bright" w:hAnsi="Lucida Bright"/>
              <w:sz w:val="22"/>
              <w:szCs w:val="22"/>
            </w:rPr>
            <w:t>September 20</w:t>
          </w:r>
          <w:r w:rsidR="0006021B">
            <w:rPr>
              <w:rFonts w:ascii="Lucida Bright" w:hAnsi="Lucida Bright"/>
              <w:sz w:val="22"/>
              <w:szCs w:val="22"/>
            </w:rPr>
            <w:t>22.</w:t>
          </w:r>
        </w:p>
      </w:sdtContent>
    </w:sdt>
    <w:sectPr w:rsidR="0016280F" w:rsidRPr="00AE3783" w:rsidSect="0030638A">
      <w:headerReference w:type="default" r:id="rId8"/>
      <w:footerReference w:type="default" r:id="rId9"/>
      <w:type w:val="continuous"/>
      <w:pgSz w:w="12240" w:h="15840" w:code="1"/>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44B2" w14:textId="77777777" w:rsidR="00CC56C7" w:rsidRDefault="00CC56C7">
      <w:r>
        <w:separator/>
      </w:r>
    </w:p>
  </w:endnote>
  <w:endnote w:type="continuationSeparator" w:id="0">
    <w:p w14:paraId="6BDE5AD8" w14:textId="77777777" w:rsidR="00CC56C7" w:rsidRDefault="00C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25A9" w14:textId="77777777" w:rsidR="007A3B5B" w:rsidRDefault="007A3B5B" w:rsidP="007A3B5B">
    <w:pPr>
      <w:pStyle w:val="Footer"/>
      <w:jc w:val="center"/>
      <w:rPr>
        <w:rFonts w:ascii="Georgia" w:hAnsi="Georgia"/>
        <w:sz w:val="22"/>
        <w:szCs w:val="22"/>
      </w:rPr>
    </w:pPr>
  </w:p>
  <w:p w14:paraId="076C9D30" w14:textId="77777777" w:rsidR="00E87842" w:rsidRPr="007A3B5B" w:rsidRDefault="00E87842" w:rsidP="007A3B5B">
    <w:pPr>
      <w:pStyle w:val="Footer"/>
      <w:jc w:val="center"/>
      <w:rPr>
        <w:rFonts w:ascii="Georgia" w:hAnsi="Georgia"/>
        <w:sz w:val="22"/>
        <w:szCs w:val="22"/>
      </w:rPr>
    </w:pPr>
    <w:r w:rsidRPr="007A3B5B">
      <w:rPr>
        <w:rFonts w:ascii="Georgia" w:hAnsi="Georgia"/>
        <w:sz w:val="22"/>
        <w:szCs w:val="22"/>
      </w:rPr>
      <w:t xml:space="preserve">Page </w:t>
    </w:r>
    <w:r w:rsidRPr="007A3B5B">
      <w:rPr>
        <w:rStyle w:val="PageNumber"/>
        <w:rFonts w:ascii="Georgia" w:hAnsi="Georgia"/>
        <w:sz w:val="22"/>
        <w:szCs w:val="22"/>
      </w:rPr>
      <w:fldChar w:fldCharType="begin"/>
    </w:r>
    <w:r w:rsidRPr="007A3B5B">
      <w:rPr>
        <w:rStyle w:val="PageNumber"/>
        <w:rFonts w:ascii="Georgia" w:hAnsi="Georgia"/>
        <w:sz w:val="22"/>
        <w:szCs w:val="22"/>
      </w:rPr>
      <w:instrText xml:space="preserve"> PAGE </w:instrText>
    </w:r>
    <w:r w:rsidRPr="007A3B5B">
      <w:rPr>
        <w:rStyle w:val="PageNumber"/>
        <w:rFonts w:ascii="Georgia" w:hAnsi="Georgia"/>
        <w:sz w:val="22"/>
        <w:szCs w:val="22"/>
      </w:rPr>
      <w:fldChar w:fldCharType="separate"/>
    </w:r>
    <w:r w:rsidR="0045352C">
      <w:rPr>
        <w:rStyle w:val="PageNumber"/>
        <w:rFonts w:ascii="Georgia" w:hAnsi="Georgia"/>
        <w:noProof/>
        <w:sz w:val="22"/>
        <w:szCs w:val="22"/>
      </w:rPr>
      <w:t>9</w:t>
    </w:r>
    <w:r w:rsidRPr="007A3B5B">
      <w:rPr>
        <w:rStyle w:val="PageNumber"/>
        <w:rFonts w:ascii="Georgia" w:hAnsi="Georg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0EC9" w14:textId="77777777" w:rsidR="00CC56C7" w:rsidRDefault="00CC56C7">
      <w:r>
        <w:separator/>
      </w:r>
    </w:p>
  </w:footnote>
  <w:footnote w:type="continuationSeparator" w:id="0">
    <w:p w14:paraId="29D2B628" w14:textId="77777777" w:rsidR="00CC56C7" w:rsidRDefault="00CC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96B5" w14:textId="48176857" w:rsidR="00E87842" w:rsidRPr="004B1DB7" w:rsidRDefault="00E87842" w:rsidP="00155A1D">
    <w:pPr>
      <w:tabs>
        <w:tab w:val="center" w:pos="4680"/>
      </w:tabs>
      <w:rPr>
        <w:rFonts w:ascii="Lucida Bright" w:hAnsi="Lucida Bright"/>
        <w:sz w:val="22"/>
        <w:szCs w:val="22"/>
      </w:rPr>
    </w:pPr>
    <w:r w:rsidRPr="004B1DB7">
      <w:rPr>
        <w:rFonts w:ascii="Lucida Bright" w:hAnsi="Lucida Bright"/>
        <w:sz w:val="22"/>
        <w:szCs w:val="22"/>
      </w:rPr>
      <w:t xml:space="preserve">Fact Sheet and Executive Director’s </w:t>
    </w:r>
    <w:r w:rsidR="00182E60">
      <w:rPr>
        <w:rFonts w:ascii="Lucida Bright" w:hAnsi="Lucida Bright"/>
        <w:sz w:val="22"/>
        <w:szCs w:val="22"/>
      </w:rPr>
      <w:t xml:space="preserve">Final </w:t>
    </w:r>
    <w:r w:rsidRPr="004B1DB7">
      <w:rPr>
        <w:rFonts w:ascii="Lucida Bright" w:hAnsi="Lucida Bright"/>
        <w:sz w:val="22"/>
        <w:szCs w:val="22"/>
      </w:rPr>
      <w:t>Decision</w:t>
    </w:r>
  </w:p>
  <w:p w14:paraId="378D43E5" w14:textId="77777777" w:rsidR="00E87842" w:rsidRPr="004B1DB7" w:rsidRDefault="001C2513" w:rsidP="00155A1D">
    <w:pPr>
      <w:tabs>
        <w:tab w:val="center" w:pos="4680"/>
      </w:tabs>
      <w:rPr>
        <w:rFonts w:ascii="Lucida Bright" w:hAnsi="Lucida Bright"/>
        <w:sz w:val="22"/>
        <w:szCs w:val="22"/>
      </w:rPr>
    </w:pPr>
    <w:r w:rsidRPr="004B1DB7">
      <w:rPr>
        <w:rFonts w:ascii="Lucida Bright" w:hAnsi="Lucida Bright"/>
        <w:sz w:val="22"/>
        <w:szCs w:val="22"/>
      </w:rPr>
      <w:t xml:space="preserve">Livestock Manure Compost </w:t>
    </w:r>
    <w:r w:rsidR="00E87842" w:rsidRPr="004B1DB7">
      <w:rPr>
        <w:rFonts w:ascii="Lucida Bright" w:hAnsi="Lucida Bright"/>
        <w:sz w:val="22"/>
        <w:szCs w:val="22"/>
      </w:rPr>
      <w:t>General Permit No. WQG200000</w:t>
    </w:r>
  </w:p>
  <w:p w14:paraId="41726D20" w14:textId="77777777" w:rsidR="00E87842" w:rsidRPr="00127772" w:rsidRDefault="00E87842" w:rsidP="00207F57">
    <w:pPr>
      <w:tabs>
        <w:tab w:val="center" w:pos="468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6AB2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C8A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9018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6EE2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76F8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7418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27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4490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C60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8D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0000002"/>
    <w:multiLevelType w:val="multilevel"/>
    <w:tmpl w:val="00000000"/>
    <w:name w:val="AutoList10"/>
    <w:lvl w:ilvl="0">
      <w:start w:val="1"/>
      <w:numFmt w:val="decimal"/>
      <w:lvlText w:val="IX"/>
      <w:lvlJc w:val="left"/>
    </w:lvl>
    <w:lvl w:ilvl="1">
      <w:start w:val="1"/>
      <w:numFmt w:val="decimal"/>
      <w:lvlText w:val="IX"/>
      <w:lvlJc w:val="left"/>
    </w:lvl>
    <w:lvl w:ilvl="2">
      <w:start w:val="1"/>
      <w:numFmt w:val="decimal"/>
      <w:lvlText w:val="IX"/>
      <w:lvlJc w:val="left"/>
    </w:lvl>
    <w:lvl w:ilvl="3">
      <w:start w:val="1"/>
      <w:numFmt w:val="decimal"/>
      <w:lvlText w:val="IX"/>
      <w:lvlJc w:val="left"/>
    </w:lvl>
    <w:lvl w:ilvl="4">
      <w:start w:val="1"/>
      <w:numFmt w:val="decimal"/>
      <w:lvlText w:val="IX"/>
      <w:lvlJc w:val="left"/>
    </w:lvl>
    <w:lvl w:ilvl="5">
      <w:start w:val="1"/>
      <w:numFmt w:val="decimal"/>
      <w:lvlText w:val="IX"/>
      <w:lvlJc w:val="left"/>
    </w:lvl>
    <w:lvl w:ilvl="6">
      <w:start w:val="1"/>
      <w:numFmt w:val="decimal"/>
      <w:lvlText w:val="IX"/>
      <w:lvlJc w:val="left"/>
    </w:lvl>
    <w:lvl w:ilvl="7">
      <w:start w:val="1"/>
      <w:numFmt w:val="decimal"/>
      <w:lvlText w:val="IX"/>
      <w:lvlJc w:val="left"/>
    </w:lvl>
    <w:lvl w:ilvl="8">
      <w:numFmt w:val="decimal"/>
      <w:lvlText w:val=""/>
      <w:lvlJc w:val="left"/>
    </w:lvl>
  </w:abstractNum>
  <w:abstractNum w:abstractNumId="1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4"/>
    <w:multiLevelType w:val="multilevel"/>
    <w:tmpl w:val="00000000"/>
    <w:name w:val="AutoList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0000005"/>
    <w:multiLevelType w:val="multilevel"/>
    <w:tmpl w:val="00000000"/>
    <w:name w:val="AutoList3"/>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15" w15:restartNumberingAfterBreak="0">
    <w:nsid w:val="00000006"/>
    <w:multiLevelType w:val="multilevel"/>
    <w:tmpl w:val="00000000"/>
    <w:name w:val="AutoList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B"/>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6"/>
    <w:multiLevelType w:val="multilevel"/>
    <w:tmpl w:val="00000000"/>
    <w:name w:val="AutoList8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8E13F05"/>
    <w:multiLevelType w:val="hybridMultilevel"/>
    <w:tmpl w:val="18805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05F1E"/>
    <w:multiLevelType w:val="hybridMultilevel"/>
    <w:tmpl w:val="7A6E5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B0298"/>
    <w:multiLevelType w:val="hybridMultilevel"/>
    <w:tmpl w:val="3D66F108"/>
    <w:lvl w:ilvl="0" w:tplc="42A411F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6C5080A"/>
    <w:multiLevelType w:val="hybridMultilevel"/>
    <w:tmpl w:val="1D9C360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7772E"/>
    <w:multiLevelType w:val="hybridMultilevel"/>
    <w:tmpl w:val="D89C65BA"/>
    <w:lvl w:ilvl="0" w:tplc="385690F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07E5A"/>
    <w:multiLevelType w:val="hybridMultilevel"/>
    <w:tmpl w:val="3E0E2080"/>
    <w:lvl w:ilvl="0" w:tplc="2D1279D6">
      <w:start w:val="1"/>
      <w:numFmt w:val="upperLetter"/>
      <w:pStyle w:val="List"/>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62ED9"/>
    <w:multiLevelType w:val="multilevel"/>
    <w:tmpl w:val="0680C5E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1D20A4"/>
    <w:multiLevelType w:val="hybridMultilevel"/>
    <w:tmpl w:val="F0D00450"/>
    <w:lvl w:ilvl="0" w:tplc="1E086C30">
      <w:start w:val="1"/>
      <w:numFmt w:val="decimal"/>
      <w:lvlText w:val="(%1)"/>
      <w:lvlJc w:val="left"/>
      <w:pPr>
        <w:ind w:left="1800" w:hanging="360"/>
      </w:pPr>
      <w:rPr>
        <w:rFonts w:hint="default"/>
      </w:rPr>
    </w:lvl>
    <w:lvl w:ilvl="1" w:tplc="D0944FF0">
      <w:start w:val="1"/>
      <w:numFmt w:val="decimal"/>
      <w:pStyle w:val="List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699169">
    <w:abstractNumId w:val="10"/>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548639358">
    <w:abstractNumId w:val="1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86318178">
    <w:abstractNumId w:val="22"/>
  </w:num>
  <w:num w:numId="4" w16cid:durableId="775519197">
    <w:abstractNumId w:val="1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4056492">
    <w:abstractNumId w:val="1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973751614">
    <w:abstractNumId w:val="1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059478814">
    <w:abstractNumId w:val="20"/>
  </w:num>
  <w:num w:numId="8" w16cid:durableId="1039008826">
    <w:abstractNumId w:val="19"/>
  </w:num>
  <w:num w:numId="9" w16cid:durableId="1757626620">
    <w:abstractNumId w:val="18"/>
  </w:num>
  <w:num w:numId="10" w16cid:durableId="1314022926">
    <w:abstractNumId w:val="24"/>
  </w:num>
  <w:num w:numId="11" w16cid:durableId="675421876">
    <w:abstractNumId w:val="21"/>
  </w:num>
  <w:num w:numId="12" w16cid:durableId="1619027610">
    <w:abstractNumId w:val="9"/>
  </w:num>
  <w:num w:numId="13" w16cid:durableId="919021760">
    <w:abstractNumId w:val="7"/>
  </w:num>
  <w:num w:numId="14" w16cid:durableId="1915702852">
    <w:abstractNumId w:val="6"/>
  </w:num>
  <w:num w:numId="15" w16cid:durableId="2117216590">
    <w:abstractNumId w:val="5"/>
  </w:num>
  <w:num w:numId="16" w16cid:durableId="572590728">
    <w:abstractNumId w:val="4"/>
  </w:num>
  <w:num w:numId="17" w16cid:durableId="2134933206">
    <w:abstractNumId w:val="8"/>
  </w:num>
  <w:num w:numId="18" w16cid:durableId="1929002001">
    <w:abstractNumId w:val="3"/>
  </w:num>
  <w:num w:numId="19" w16cid:durableId="1990861514">
    <w:abstractNumId w:val="2"/>
  </w:num>
  <w:num w:numId="20" w16cid:durableId="1522549918">
    <w:abstractNumId w:val="1"/>
  </w:num>
  <w:num w:numId="21" w16cid:durableId="1882785996">
    <w:abstractNumId w:val="0"/>
  </w:num>
  <w:num w:numId="22" w16cid:durableId="1147668925">
    <w:abstractNumId w:val="23"/>
  </w:num>
  <w:num w:numId="23" w16cid:durableId="1970739494">
    <w:abstractNumId w:val="25"/>
  </w:num>
  <w:num w:numId="24" w16cid:durableId="1840542446">
    <w:abstractNumId w:val="23"/>
    <w:lvlOverride w:ilvl="0">
      <w:startOverride w:val="1"/>
    </w:lvlOverride>
  </w:num>
  <w:num w:numId="25" w16cid:durableId="2015953773">
    <w:abstractNumId w:val="25"/>
    <w:lvlOverride w:ilvl="0">
      <w:startOverride w:val="1"/>
    </w:lvlOverride>
  </w:num>
  <w:num w:numId="26" w16cid:durableId="778598893">
    <w:abstractNumId w:val="25"/>
    <w:lvlOverride w:ilvl="0">
      <w:startOverride w:val="1"/>
    </w:lvlOverride>
  </w:num>
  <w:num w:numId="27" w16cid:durableId="1528787569">
    <w:abstractNumId w:val="25"/>
    <w:lvlOverride w:ilvl="0">
      <w:startOverride w:val="1"/>
    </w:lvlOverride>
  </w:num>
  <w:num w:numId="28" w16cid:durableId="717170768">
    <w:abstractNumId w:val="23"/>
    <w:lvlOverride w:ilvl="0">
      <w:startOverride w:val="1"/>
    </w:lvlOverride>
  </w:num>
  <w:num w:numId="29" w16cid:durableId="938566887">
    <w:abstractNumId w:val="23"/>
    <w:lvlOverride w:ilvl="0">
      <w:startOverride w:val="1"/>
    </w:lvlOverride>
  </w:num>
  <w:num w:numId="30" w16cid:durableId="1549800981">
    <w:abstractNumId w:val="23"/>
    <w:lvlOverride w:ilvl="0">
      <w:startOverride w:val="1"/>
    </w:lvlOverride>
  </w:num>
  <w:num w:numId="31" w16cid:durableId="1938826580">
    <w:abstractNumId w:val="23"/>
    <w:lvlOverride w:ilvl="0">
      <w:startOverride w:val="1"/>
    </w:lvlOverride>
  </w:num>
  <w:num w:numId="32" w16cid:durableId="359016632">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3B"/>
    <w:rsid w:val="0001110D"/>
    <w:rsid w:val="0002586E"/>
    <w:rsid w:val="000272CE"/>
    <w:rsid w:val="000277BF"/>
    <w:rsid w:val="0003457D"/>
    <w:rsid w:val="00036D94"/>
    <w:rsid w:val="00050D9C"/>
    <w:rsid w:val="00051BD4"/>
    <w:rsid w:val="0006021B"/>
    <w:rsid w:val="00060E44"/>
    <w:rsid w:val="000810C8"/>
    <w:rsid w:val="00081AF4"/>
    <w:rsid w:val="00094CC8"/>
    <w:rsid w:val="000B042F"/>
    <w:rsid w:val="000D1118"/>
    <w:rsid w:val="000E4465"/>
    <w:rsid w:val="000F1D19"/>
    <w:rsid w:val="000F454C"/>
    <w:rsid w:val="001005BB"/>
    <w:rsid w:val="00102429"/>
    <w:rsid w:val="00104728"/>
    <w:rsid w:val="0010504F"/>
    <w:rsid w:val="00105C7E"/>
    <w:rsid w:val="00105E77"/>
    <w:rsid w:val="001066A0"/>
    <w:rsid w:val="001174C7"/>
    <w:rsid w:val="00121404"/>
    <w:rsid w:val="00125340"/>
    <w:rsid w:val="00127253"/>
    <w:rsid w:val="001275B0"/>
    <w:rsid w:val="00127772"/>
    <w:rsid w:val="001278C0"/>
    <w:rsid w:val="00133784"/>
    <w:rsid w:val="001465FA"/>
    <w:rsid w:val="0015203D"/>
    <w:rsid w:val="00155A1D"/>
    <w:rsid w:val="001605BF"/>
    <w:rsid w:val="00161C8D"/>
    <w:rsid w:val="0016280F"/>
    <w:rsid w:val="001678ED"/>
    <w:rsid w:val="00176B74"/>
    <w:rsid w:val="00182E60"/>
    <w:rsid w:val="001A2A45"/>
    <w:rsid w:val="001A6A01"/>
    <w:rsid w:val="001B011B"/>
    <w:rsid w:val="001B538B"/>
    <w:rsid w:val="001C2513"/>
    <w:rsid w:val="001C2F92"/>
    <w:rsid w:val="001C4F67"/>
    <w:rsid w:val="001D1495"/>
    <w:rsid w:val="001F76A9"/>
    <w:rsid w:val="002001D1"/>
    <w:rsid w:val="00206A68"/>
    <w:rsid w:val="00207F57"/>
    <w:rsid w:val="00221709"/>
    <w:rsid w:val="00230484"/>
    <w:rsid w:val="002319B7"/>
    <w:rsid w:val="00235D3E"/>
    <w:rsid w:val="0024116A"/>
    <w:rsid w:val="00241CCB"/>
    <w:rsid w:val="00250DC1"/>
    <w:rsid w:val="00256C24"/>
    <w:rsid w:val="00256F41"/>
    <w:rsid w:val="00265F75"/>
    <w:rsid w:val="002677CE"/>
    <w:rsid w:val="00267D65"/>
    <w:rsid w:val="0027297D"/>
    <w:rsid w:val="0028536C"/>
    <w:rsid w:val="00292C05"/>
    <w:rsid w:val="00292E5A"/>
    <w:rsid w:val="002A13F3"/>
    <w:rsid w:val="002A470D"/>
    <w:rsid w:val="002A61F2"/>
    <w:rsid w:val="002F3868"/>
    <w:rsid w:val="00302743"/>
    <w:rsid w:val="0030638A"/>
    <w:rsid w:val="003072B0"/>
    <w:rsid w:val="00307F34"/>
    <w:rsid w:val="003170A2"/>
    <w:rsid w:val="00333517"/>
    <w:rsid w:val="00334A5E"/>
    <w:rsid w:val="00335F89"/>
    <w:rsid w:val="0033660F"/>
    <w:rsid w:val="0033690D"/>
    <w:rsid w:val="00343DD2"/>
    <w:rsid w:val="0035695A"/>
    <w:rsid w:val="00365345"/>
    <w:rsid w:val="0037671D"/>
    <w:rsid w:val="003B577A"/>
    <w:rsid w:val="003B7276"/>
    <w:rsid w:val="003C2B6C"/>
    <w:rsid w:val="003C7C71"/>
    <w:rsid w:val="003F17EB"/>
    <w:rsid w:val="003F4FE2"/>
    <w:rsid w:val="00401154"/>
    <w:rsid w:val="00402F53"/>
    <w:rsid w:val="00414A9B"/>
    <w:rsid w:val="0042086F"/>
    <w:rsid w:val="0042447A"/>
    <w:rsid w:val="00425C45"/>
    <w:rsid w:val="00427B77"/>
    <w:rsid w:val="004308EA"/>
    <w:rsid w:val="00430FBE"/>
    <w:rsid w:val="00431553"/>
    <w:rsid w:val="00435A72"/>
    <w:rsid w:val="00436A2D"/>
    <w:rsid w:val="004379CD"/>
    <w:rsid w:val="004462F2"/>
    <w:rsid w:val="00450E27"/>
    <w:rsid w:val="00451D90"/>
    <w:rsid w:val="0045352C"/>
    <w:rsid w:val="00455D8D"/>
    <w:rsid w:val="004614E8"/>
    <w:rsid w:val="00465209"/>
    <w:rsid w:val="0046566F"/>
    <w:rsid w:val="00475A54"/>
    <w:rsid w:val="0048532A"/>
    <w:rsid w:val="004863BC"/>
    <w:rsid w:val="0048777D"/>
    <w:rsid w:val="004879C4"/>
    <w:rsid w:val="004A16DB"/>
    <w:rsid w:val="004B1DB7"/>
    <w:rsid w:val="004B4023"/>
    <w:rsid w:val="004B5977"/>
    <w:rsid w:val="004C146B"/>
    <w:rsid w:val="004C22DD"/>
    <w:rsid w:val="004C37A6"/>
    <w:rsid w:val="004C4F80"/>
    <w:rsid w:val="004C70D2"/>
    <w:rsid w:val="004D4AF5"/>
    <w:rsid w:val="004E5881"/>
    <w:rsid w:val="004F3656"/>
    <w:rsid w:val="00505DE3"/>
    <w:rsid w:val="00510FA7"/>
    <w:rsid w:val="00512781"/>
    <w:rsid w:val="00513D71"/>
    <w:rsid w:val="0051706C"/>
    <w:rsid w:val="00517CA3"/>
    <w:rsid w:val="00524837"/>
    <w:rsid w:val="00526079"/>
    <w:rsid w:val="0053083B"/>
    <w:rsid w:val="00533CD5"/>
    <w:rsid w:val="00536BEC"/>
    <w:rsid w:val="005720BB"/>
    <w:rsid w:val="0057242D"/>
    <w:rsid w:val="00575D4C"/>
    <w:rsid w:val="00593736"/>
    <w:rsid w:val="005A52A6"/>
    <w:rsid w:val="005A61F5"/>
    <w:rsid w:val="005B3297"/>
    <w:rsid w:val="005B3DC7"/>
    <w:rsid w:val="005C7CDD"/>
    <w:rsid w:val="005D5EC2"/>
    <w:rsid w:val="005E7011"/>
    <w:rsid w:val="00621FC5"/>
    <w:rsid w:val="00632745"/>
    <w:rsid w:val="00642970"/>
    <w:rsid w:val="00644A87"/>
    <w:rsid w:val="00652EC9"/>
    <w:rsid w:val="0066207E"/>
    <w:rsid w:val="00693274"/>
    <w:rsid w:val="006A0EB4"/>
    <w:rsid w:val="006B2058"/>
    <w:rsid w:val="006B2FB7"/>
    <w:rsid w:val="006B7979"/>
    <w:rsid w:val="006C310D"/>
    <w:rsid w:val="006C47BE"/>
    <w:rsid w:val="006D3A76"/>
    <w:rsid w:val="006E11C9"/>
    <w:rsid w:val="006E3BA7"/>
    <w:rsid w:val="006F1C5B"/>
    <w:rsid w:val="006F4D82"/>
    <w:rsid w:val="00714A67"/>
    <w:rsid w:val="00730F36"/>
    <w:rsid w:val="00740CA6"/>
    <w:rsid w:val="00743F18"/>
    <w:rsid w:val="00754436"/>
    <w:rsid w:val="00754C17"/>
    <w:rsid w:val="00772B63"/>
    <w:rsid w:val="00774AC1"/>
    <w:rsid w:val="00775AEF"/>
    <w:rsid w:val="00777B1F"/>
    <w:rsid w:val="00785251"/>
    <w:rsid w:val="007A3B5B"/>
    <w:rsid w:val="007A4CEA"/>
    <w:rsid w:val="007D1D6C"/>
    <w:rsid w:val="007E3CEB"/>
    <w:rsid w:val="007E67B6"/>
    <w:rsid w:val="007E7CE6"/>
    <w:rsid w:val="007F442F"/>
    <w:rsid w:val="007F7C5C"/>
    <w:rsid w:val="0080007C"/>
    <w:rsid w:val="0080432F"/>
    <w:rsid w:val="00807B46"/>
    <w:rsid w:val="00821AC1"/>
    <w:rsid w:val="00835B3D"/>
    <w:rsid w:val="008465E5"/>
    <w:rsid w:val="00855C06"/>
    <w:rsid w:val="00863420"/>
    <w:rsid w:val="0086433B"/>
    <w:rsid w:val="008721BC"/>
    <w:rsid w:val="0088768A"/>
    <w:rsid w:val="0089035F"/>
    <w:rsid w:val="00895038"/>
    <w:rsid w:val="008A014A"/>
    <w:rsid w:val="008A582D"/>
    <w:rsid w:val="008C7963"/>
    <w:rsid w:val="008D08DE"/>
    <w:rsid w:val="008D5109"/>
    <w:rsid w:val="008F36E0"/>
    <w:rsid w:val="00902AC0"/>
    <w:rsid w:val="009105F5"/>
    <w:rsid w:val="00924C90"/>
    <w:rsid w:val="0092734F"/>
    <w:rsid w:val="009327F9"/>
    <w:rsid w:val="00935147"/>
    <w:rsid w:val="009435F6"/>
    <w:rsid w:val="009477A1"/>
    <w:rsid w:val="00961963"/>
    <w:rsid w:val="00976ECC"/>
    <w:rsid w:val="00984174"/>
    <w:rsid w:val="009956A4"/>
    <w:rsid w:val="009C5AE0"/>
    <w:rsid w:val="009D1544"/>
    <w:rsid w:val="009D388A"/>
    <w:rsid w:val="009D6682"/>
    <w:rsid w:val="009E5311"/>
    <w:rsid w:val="009E5D9A"/>
    <w:rsid w:val="009E7A2E"/>
    <w:rsid w:val="00A03801"/>
    <w:rsid w:val="00A071F7"/>
    <w:rsid w:val="00A12536"/>
    <w:rsid w:val="00A20909"/>
    <w:rsid w:val="00A22896"/>
    <w:rsid w:val="00A25AD3"/>
    <w:rsid w:val="00A27E84"/>
    <w:rsid w:val="00A32E9F"/>
    <w:rsid w:val="00A47E12"/>
    <w:rsid w:val="00A5071D"/>
    <w:rsid w:val="00A5209C"/>
    <w:rsid w:val="00A52C94"/>
    <w:rsid w:val="00A74B9E"/>
    <w:rsid w:val="00A90361"/>
    <w:rsid w:val="00AB51FA"/>
    <w:rsid w:val="00AC5208"/>
    <w:rsid w:val="00AD39B0"/>
    <w:rsid w:val="00AD760A"/>
    <w:rsid w:val="00AE0D6B"/>
    <w:rsid w:val="00AE3783"/>
    <w:rsid w:val="00AF1F6D"/>
    <w:rsid w:val="00AF459A"/>
    <w:rsid w:val="00B06411"/>
    <w:rsid w:val="00B20E91"/>
    <w:rsid w:val="00B62E79"/>
    <w:rsid w:val="00B7236C"/>
    <w:rsid w:val="00B8300A"/>
    <w:rsid w:val="00B9220D"/>
    <w:rsid w:val="00B97EE2"/>
    <w:rsid w:val="00BA1202"/>
    <w:rsid w:val="00BA3B3C"/>
    <w:rsid w:val="00BA4717"/>
    <w:rsid w:val="00BA6157"/>
    <w:rsid w:val="00BA67BF"/>
    <w:rsid w:val="00BA6BD8"/>
    <w:rsid w:val="00BA6E27"/>
    <w:rsid w:val="00BB6F2D"/>
    <w:rsid w:val="00BC0487"/>
    <w:rsid w:val="00BC0889"/>
    <w:rsid w:val="00BD3C27"/>
    <w:rsid w:val="00BE2685"/>
    <w:rsid w:val="00C26B99"/>
    <w:rsid w:val="00C51FC8"/>
    <w:rsid w:val="00C853AF"/>
    <w:rsid w:val="00CA0069"/>
    <w:rsid w:val="00CA1AA0"/>
    <w:rsid w:val="00CA4329"/>
    <w:rsid w:val="00CB7E08"/>
    <w:rsid w:val="00CC56C7"/>
    <w:rsid w:val="00CC6D8A"/>
    <w:rsid w:val="00CD2ED3"/>
    <w:rsid w:val="00CE11E9"/>
    <w:rsid w:val="00CF079C"/>
    <w:rsid w:val="00CF5B8F"/>
    <w:rsid w:val="00CF775D"/>
    <w:rsid w:val="00CF7D68"/>
    <w:rsid w:val="00D011BC"/>
    <w:rsid w:val="00D079C7"/>
    <w:rsid w:val="00D216EC"/>
    <w:rsid w:val="00D23897"/>
    <w:rsid w:val="00D35F44"/>
    <w:rsid w:val="00D360EE"/>
    <w:rsid w:val="00D40BEB"/>
    <w:rsid w:val="00D44804"/>
    <w:rsid w:val="00D52B12"/>
    <w:rsid w:val="00D63C9F"/>
    <w:rsid w:val="00D66278"/>
    <w:rsid w:val="00D662E2"/>
    <w:rsid w:val="00D75265"/>
    <w:rsid w:val="00D75C70"/>
    <w:rsid w:val="00D81D64"/>
    <w:rsid w:val="00D85320"/>
    <w:rsid w:val="00D9116B"/>
    <w:rsid w:val="00D9198A"/>
    <w:rsid w:val="00D93F58"/>
    <w:rsid w:val="00DA37A3"/>
    <w:rsid w:val="00DB5CD1"/>
    <w:rsid w:val="00DB69F2"/>
    <w:rsid w:val="00DC633E"/>
    <w:rsid w:val="00DD3258"/>
    <w:rsid w:val="00DE0409"/>
    <w:rsid w:val="00DE524E"/>
    <w:rsid w:val="00DE70BF"/>
    <w:rsid w:val="00DF0AD5"/>
    <w:rsid w:val="00DF6A82"/>
    <w:rsid w:val="00E0560E"/>
    <w:rsid w:val="00E0596B"/>
    <w:rsid w:val="00E103D0"/>
    <w:rsid w:val="00E175E2"/>
    <w:rsid w:val="00E22EE6"/>
    <w:rsid w:val="00E53FF6"/>
    <w:rsid w:val="00E6008B"/>
    <w:rsid w:val="00E67933"/>
    <w:rsid w:val="00E801C9"/>
    <w:rsid w:val="00E8323E"/>
    <w:rsid w:val="00E87842"/>
    <w:rsid w:val="00E953AA"/>
    <w:rsid w:val="00E95502"/>
    <w:rsid w:val="00EB44EA"/>
    <w:rsid w:val="00EB5604"/>
    <w:rsid w:val="00EC26CC"/>
    <w:rsid w:val="00EC6D15"/>
    <w:rsid w:val="00EE1CC9"/>
    <w:rsid w:val="00EE2650"/>
    <w:rsid w:val="00EE2AA2"/>
    <w:rsid w:val="00EF365C"/>
    <w:rsid w:val="00F00313"/>
    <w:rsid w:val="00F00F9C"/>
    <w:rsid w:val="00F0108F"/>
    <w:rsid w:val="00F07FEF"/>
    <w:rsid w:val="00F377B7"/>
    <w:rsid w:val="00F51AEE"/>
    <w:rsid w:val="00F53CD6"/>
    <w:rsid w:val="00F77EEB"/>
    <w:rsid w:val="00F80FCD"/>
    <w:rsid w:val="00F872C4"/>
    <w:rsid w:val="00F90906"/>
    <w:rsid w:val="00F96466"/>
    <w:rsid w:val="00FA6545"/>
    <w:rsid w:val="00FA76C6"/>
    <w:rsid w:val="00FC03B5"/>
    <w:rsid w:val="00FC1A25"/>
    <w:rsid w:val="00FC2ADC"/>
    <w:rsid w:val="00FD289E"/>
    <w:rsid w:val="00FD7B88"/>
    <w:rsid w:val="00FE3BB7"/>
    <w:rsid w:val="00FF0170"/>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62BA64"/>
  <w15:chartTrackingRefBased/>
  <w15:docId w15:val="{D2257FE5-B309-4D40-8D40-1732389C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7"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6A4"/>
    <w:pPr>
      <w:widowControl w:val="0"/>
      <w:autoSpaceDE w:val="0"/>
      <w:autoSpaceDN w:val="0"/>
      <w:adjustRightInd w:val="0"/>
    </w:pPr>
    <w:rPr>
      <w:sz w:val="24"/>
      <w:szCs w:val="24"/>
    </w:rPr>
  </w:style>
  <w:style w:type="paragraph" w:styleId="Heading1">
    <w:name w:val="heading 1"/>
    <w:basedOn w:val="Normal"/>
    <w:next w:val="Normal"/>
    <w:link w:val="Heading1Char"/>
    <w:qFormat/>
    <w:rsid w:val="00D75C70"/>
    <w:pPr>
      <w:keepNext/>
      <w:spacing w:before="240" w:after="60"/>
      <w:outlineLvl w:val="0"/>
    </w:pPr>
    <w:rPr>
      <w:rFonts w:ascii="Cambria" w:hAnsi="Cambria"/>
      <w:b/>
      <w:bCs/>
      <w:kern w:val="32"/>
      <w:sz w:val="32"/>
      <w:szCs w:val="32"/>
    </w:rPr>
  </w:style>
  <w:style w:type="paragraph" w:styleId="Heading2">
    <w:name w:val="heading 2"/>
    <w:basedOn w:val="Normal"/>
    <w:next w:val="Normal"/>
    <w:qFormat/>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F079C"/>
    <w:pPr>
      <w:tabs>
        <w:tab w:val="center" w:pos="4320"/>
        <w:tab w:val="right" w:pos="8640"/>
      </w:tabs>
    </w:pPr>
  </w:style>
  <w:style w:type="paragraph" w:styleId="Footer">
    <w:name w:val="footer"/>
    <w:basedOn w:val="Normal"/>
    <w:rsid w:val="00CF079C"/>
    <w:pPr>
      <w:tabs>
        <w:tab w:val="center" w:pos="4320"/>
        <w:tab w:val="right" w:pos="8640"/>
      </w:tabs>
    </w:pPr>
  </w:style>
  <w:style w:type="character" w:styleId="PageNumber">
    <w:name w:val="page number"/>
    <w:basedOn w:val="DefaultParagraphFont"/>
    <w:rsid w:val="008F36E0"/>
  </w:style>
  <w:style w:type="paragraph" w:customStyle="1" w:styleId="Level1">
    <w:name w:val="Level 1"/>
    <w:basedOn w:val="Normal"/>
    <w:rsid w:val="008D08DE"/>
    <w:pPr>
      <w:numPr>
        <w:numId w:val="10"/>
      </w:numPr>
      <w:ind w:left="1440"/>
      <w:outlineLvl w:val="0"/>
    </w:pPr>
  </w:style>
  <w:style w:type="paragraph" w:styleId="BalloonText">
    <w:name w:val="Balloon Text"/>
    <w:basedOn w:val="Normal"/>
    <w:link w:val="BalloonTextChar"/>
    <w:rsid w:val="000810C8"/>
    <w:rPr>
      <w:rFonts w:ascii="Tahoma" w:hAnsi="Tahoma" w:cs="Tahoma"/>
      <w:sz w:val="16"/>
      <w:szCs w:val="16"/>
    </w:rPr>
  </w:style>
  <w:style w:type="character" w:customStyle="1" w:styleId="BalloonTextChar">
    <w:name w:val="Balloon Text Char"/>
    <w:link w:val="BalloonText"/>
    <w:rsid w:val="000810C8"/>
    <w:rPr>
      <w:rFonts w:ascii="Tahoma" w:hAnsi="Tahoma" w:cs="Tahoma"/>
      <w:sz w:val="16"/>
      <w:szCs w:val="16"/>
    </w:rPr>
  </w:style>
  <w:style w:type="character" w:customStyle="1" w:styleId="Heading1Char">
    <w:name w:val="Heading 1 Char"/>
    <w:link w:val="Heading1"/>
    <w:rsid w:val="00D75C70"/>
    <w:rPr>
      <w:rFonts w:ascii="Cambria" w:eastAsia="Times New Roman" w:hAnsi="Cambria" w:cs="Times New Roman"/>
      <w:b/>
      <w:bCs/>
      <w:kern w:val="32"/>
      <w:sz w:val="32"/>
      <w:szCs w:val="32"/>
    </w:rPr>
  </w:style>
  <w:style w:type="paragraph" w:styleId="Title">
    <w:name w:val="Title"/>
    <w:basedOn w:val="Heading1"/>
    <w:next w:val="Subtitle"/>
    <w:link w:val="TitleChar"/>
    <w:uiPriority w:val="97"/>
    <w:qFormat/>
    <w:rsid w:val="001D1495"/>
    <w:pPr>
      <w:keepNext w:val="0"/>
      <w:widowControl/>
      <w:pBdr>
        <w:bottom w:val="single" w:sz="8" w:space="4" w:color="4F81BD"/>
      </w:pBdr>
      <w:autoSpaceDE/>
      <w:autoSpaceDN/>
      <w:adjustRightInd/>
      <w:spacing w:before="480" w:after="300"/>
      <w:contextualSpacing/>
    </w:pPr>
    <w:rPr>
      <w:rFonts w:ascii="Georgia" w:hAnsi="Georgia"/>
      <w:smallCaps/>
      <w:spacing w:val="5"/>
      <w:kern w:val="28"/>
      <w:sz w:val="28"/>
      <w:szCs w:val="52"/>
    </w:rPr>
  </w:style>
  <w:style w:type="character" w:customStyle="1" w:styleId="TitleChar">
    <w:name w:val="Title Char"/>
    <w:link w:val="Title"/>
    <w:uiPriority w:val="97"/>
    <w:rsid w:val="001D1495"/>
    <w:rPr>
      <w:rFonts w:ascii="Georgia" w:hAnsi="Georgia"/>
      <w:b/>
      <w:bCs/>
      <w:smallCaps/>
      <w:spacing w:val="5"/>
      <w:kern w:val="28"/>
      <w:sz w:val="28"/>
      <w:szCs w:val="52"/>
    </w:rPr>
  </w:style>
  <w:style w:type="paragraph" w:styleId="BodyText">
    <w:name w:val="Body Text"/>
    <w:link w:val="BodyTextChar"/>
    <w:qFormat/>
    <w:rsid w:val="001D1495"/>
    <w:pPr>
      <w:spacing w:after="120"/>
    </w:pPr>
    <w:rPr>
      <w:rFonts w:ascii="Georgia" w:eastAsia="Calibri" w:hAnsi="Georgia"/>
      <w:sz w:val="22"/>
      <w:szCs w:val="24"/>
    </w:rPr>
  </w:style>
  <w:style w:type="character" w:customStyle="1" w:styleId="BodyTextChar">
    <w:name w:val="Body Text Char"/>
    <w:link w:val="BodyText"/>
    <w:rsid w:val="001D1495"/>
    <w:rPr>
      <w:rFonts w:ascii="Georgia" w:eastAsia="Calibri" w:hAnsi="Georgia"/>
      <w:sz w:val="22"/>
      <w:szCs w:val="24"/>
    </w:rPr>
  </w:style>
  <w:style w:type="paragraph" w:styleId="Subtitle">
    <w:name w:val="Subtitle"/>
    <w:basedOn w:val="Normal"/>
    <w:next w:val="Normal"/>
    <w:link w:val="SubtitleChar"/>
    <w:qFormat/>
    <w:rsid w:val="001D1495"/>
    <w:pPr>
      <w:spacing w:after="60"/>
      <w:jc w:val="center"/>
      <w:outlineLvl w:val="1"/>
    </w:pPr>
    <w:rPr>
      <w:rFonts w:ascii="Cambria" w:hAnsi="Cambria"/>
    </w:rPr>
  </w:style>
  <w:style w:type="character" w:customStyle="1" w:styleId="SubtitleChar">
    <w:name w:val="Subtitle Char"/>
    <w:link w:val="Subtitle"/>
    <w:rsid w:val="001D1495"/>
    <w:rPr>
      <w:rFonts w:ascii="Cambria" w:eastAsia="Times New Roman" w:hAnsi="Cambria" w:cs="Times New Roman"/>
      <w:sz w:val="24"/>
      <w:szCs w:val="24"/>
    </w:rPr>
  </w:style>
  <w:style w:type="character" w:styleId="CommentReference">
    <w:name w:val="annotation reference"/>
    <w:rsid w:val="006C310D"/>
    <w:rPr>
      <w:sz w:val="16"/>
      <w:szCs w:val="16"/>
    </w:rPr>
  </w:style>
  <w:style w:type="paragraph" w:styleId="CommentText">
    <w:name w:val="annotation text"/>
    <w:basedOn w:val="Normal"/>
    <w:link w:val="CommentTextChar"/>
    <w:rsid w:val="006C310D"/>
    <w:rPr>
      <w:sz w:val="20"/>
      <w:szCs w:val="20"/>
    </w:rPr>
  </w:style>
  <w:style w:type="character" w:customStyle="1" w:styleId="CommentTextChar">
    <w:name w:val="Comment Text Char"/>
    <w:basedOn w:val="DefaultParagraphFont"/>
    <w:link w:val="CommentText"/>
    <w:rsid w:val="006C310D"/>
  </w:style>
  <w:style w:type="paragraph" w:styleId="CommentSubject">
    <w:name w:val="annotation subject"/>
    <w:basedOn w:val="CommentText"/>
    <w:next w:val="CommentText"/>
    <w:link w:val="CommentSubjectChar"/>
    <w:rsid w:val="006C310D"/>
    <w:rPr>
      <w:b/>
      <w:bCs/>
    </w:rPr>
  </w:style>
  <w:style w:type="character" w:customStyle="1" w:styleId="CommentSubjectChar">
    <w:name w:val="Comment Subject Char"/>
    <w:link w:val="CommentSubject"/>
    <w:rsid w:val="006C310D"/>
    <w:rPr>
      <w:b/>
      <w:bCs/>
    </w:rPr>
  </w:style>
  <w:style w:type="paragraph" w:styleId="Revision">
    <w:name w:val="Revision"/>
    <w:hidden/>
    <w:uiPriority w:val="99"/>
    <w:semiHidden/>
    <w:rsid w:val="006C310D"/>
    <w:rPr>
      <w:sz w:val="24"/>
      <w:szCs w:val="24"/>
    </w:rPr>
  </w:style>
  <w:style w:type="paragraph" w:styleId="ListParagraph">
    <w:name w:val="List Paragraph"/>
    <w:basedOn w:val="Normal"/>
    <w:uiPriority w:val="34"/>
    <w:qFormat/>
    <w:rsid w:val="00E6008B"/>
    <w:pPr>
      <w:widowControl/>
      <w:autoSpaceDE/>
      <w:autoSpaceDN/>
      <w:adjustRightInd/>
      <w:ind w:left="720"/>
      <w:contextualSpacing/>
    </w:pPr>
    <w:rPr>
      <w:rFonts w:ascii="Georgia" w:hAnsi="Georgia"/>
      <w:sz w:val="22"/>
    </w:rPr>
  </w:style>
  <w:style w:type="paragraph" w:styleId="List">
    <w:name w:val="List"/>
    <w:basedOn w:val="Normal"/>
    <w:rsid w:val="009956A4"/>
    <w:pPr>
      <w:numPr>
        <w:numId w:val="22"/>
      </w:numPr>
      <w:spacing w:after="240"/>
      <w:ind w:left="993" w:hanging="446"/>
    </w:pPr>
    <w:rPr>
      <w:rFonts w:ascii="Lucida Bright" w:hAnsi="Lucida Bright"/>
      <w:sz w:val="22"/>
      <w:szCs w:val="22"/>
    </w:rPr>
  </w:style>
  <w:style w:type="paragraph" w:styleId="List2">
    <w:name w:val="List 2"/>
    <w:basedOn w:val="Normal"/>
    <w:rsid w:val="009956A4"/>
    <w:pPr>
      <w:widowControl/>
      <w:numPr>
        <w:ilvl w:val="1"/>
        <w:numId w:val="23"/>
      </w:numPr>
      <w:tabs>
        <w:tab w:val="left" w:pos="-1080"/>
        <w:tab w:val="left" w:pos="-720"/>
        <w:tab w:val="left" w:pos="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s>
      <w:spacing w:after="240" w:line="238" w:lineRule="auto"/>
      <w:ind w:left="1620" w:hanging="540"/>
    </w:pPr>
    <w:rPr>
      <w:rFonts w:ascii="Lucida Bright" w:hAnsi="Lucida Bright"/>
      <w:color w:val="000000"/>
      <w:kern w:val="2"/>
      <w:sz w:val="22"/>
      <w:szCs w:val="22"/>
    </w:rPr>
  </w:style>
  <w:style w:type="paragraph" w:styleId="ListBullet3">
    <w:name w:val="List Bullet 3"/>
    <w:basedOn w:val="Normal"/>
    <w:rsid w:val="005720BB"/>
    <w:pPr>
      <w:numPr>
        <w:numId w:val="14"/>
      </w:numPr>
      <w:contextualSpacing/>
    </w:pPr>
  </w:style>
  <w:style w:type="paragraph" w:styleId="ListBullet4">
    <w:name w:val="List Bullet 4"/>
    <w:basedOn w:val="Normal"/>
    <w:rsid w:val="005720BB"/>
    <w:pPr>
      <w:numPr>
        <w:numId w:val="15"/>
      </w:numPr>
      <w:ind w:hanging="450"/>
      <w:contextualSpacing/>
    </w:pPr>
    <w:rPr>
      <w:rFonts w:ascii="Lucida Bright" w:eastAsiaTheme="majorEastAsia" w:hAnsi="Lucida Bright"/>
      <w:sz w:val="22"/>
      <w:szCs w:val="22"/>
    </w:rPr>
  </w:style>
  <w:style w:type="character" w:styleId="PlaceholderText">
    <w:name w:val="Placeholder Text"/>
    <w:basedOn w:val="DefaultParagraphFont"/>
    <w:uiPriority w:val="99"/>
    <w:semiHidden/>
    <w:rsid w:val="00A12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329A14-A5E9-4092-9E7A-15C38BDB4A8C}"/>
      </w:docPartPr>
      <w:docPartBody>
        <w:p w:rsidR="009C39F2" w:rsidRDefault="009C39F2">
          <w:r w:rsidRPr="00851E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F2"/>
    <w:rsid w:val="009C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9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59EF-6352-4D35-BA52-1FAB9D3B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3558</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WQG20 FACT SHEET</vt:lpstr>
    </vt:vector>
  </TitlesOfParts>
  <Company>TCEQ</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WQG20 FACT SHEET</dc:title>
  <dc:subject/>
  <dc:creator>TCEQ</dc:creator>
  <cp:keywords/>
  <cp:lastModifiedBy>Shannon Gibson</cp:lastModifiedBy>
  <cp:revision>4</cp:revision>
  <cp:lastPrinted>2023-03-17T18:58:00Z</cp:lastPrinted>
  <dcterms:created xsi:type="dcterms:W3CDTF">2023-06-08T15:35:00Z</dcterms:created>
  <dcterms:modified xsi:type="dcterms:W3CDTF">2023-10-16T16:58:00Z</dcterms:modified>
</cp:coreProperties>
</file>