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BookTitle"/>
          <w:sz w:val="28"/>
          <w:szCs w:val="28"/>
        </w:rPr>
        <w:id w:val="-1004505887"/>
        <w:lock w:val="contentLocked"/>
        <w:placeholder>
          <w:docPart w:val="DefaultPlaceholder_-1854013440"/>
        </w:placeholder>
        <w:group/>
      </w:sdtPr>
      <w:sdtEndPr>
        <w:rPr>
          <w:rStyle w:val="DefaultParagraphFont"/>
          <w:b w:val="0"/>
          <w:bCs w:val="0"/>
          <w:smallCaps w:val="0"/>
          <w:spacing w:val="0"/>
          <w:sz w:val="22"/>
          <w:szCs w:val="24"/>
        </w:rPr>
      </w:sdtEndPr>
      <w:sdtContent>
        <w:p w14:paraId="618B6192" w14:textId="53F46699" w:rsidR="00BA6A27" w:rsidRPr="00BC22EA" w:rsidRDefault="00C63B88" w:rsidP="00C76BE6">
          <w:pPr>
            <w:jc w:val="center"/>
            <w:rPr>
              <w:rStyle w:val="BookTitle"/>
              <w:sz w:val="28"/>
              <w:szCs w:val="28"/>
            </w:rPr>
          </w:pPr>
          <w:r w:rsidRPr="00BC22EA">
            <w:rPr>
              <w:rStyle w:val="BookTitle"/>
              <w:sz w:val="28"/>
              <w:szCs w:val="28"/>
            </w:rPr>
            <w:t xml:space="preserve">TEXAS </w:t>
          </w:r>
          <w:r w:rsidRPr="00BC22EA">
            <w:rPr>
              <w:rStyle w:val="Strong"/>
              <w:sz w:val="28"/>
              <w:szCs w:val="28"/>
            </w:rPr>
            <w:t>COMMISSION</w:t>
          </w:r>
          <w:r w:rsidRPr="00BC22EA">
            <w:rPr>
              <w:rStyle w:val="BookTitle"/>
              <w:sz w:val="28"/>
              <w:szCs w:val="28"/>
            </w:rPr>
            <w:t xml:space="preserve"> ON ENVIRONMENTAL QUALITY</w:t>
          </w:r>
        </w:p>
        <w:p w14:paraId="3B2AFB07" w14:textId="77777777" w:rsidR="00F53ADA" w:rsidRPr="00BC22EA" w:rsidRDefault="009563BE" w:rsidP="00C76BE6">
          <w:pPr>
            <w:jc w:val="center"/>
          </w:pPr>
          <w:r w:rsidRPr="00BC22EA">
            <w:rPr>
              <w:noProof/>
            </w:rPr>
            <w:drawing>
              <wp:inline distT="0" distB="0" distL="0" distR="0" wp14:anchorId="1CE8236F" wp14:editId="354FD441">
                <wp:extent cx="862330" cy="819785"/>
                <wp:effectExtent l="0" t="0" r="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330" cy="819785"/>
                        </a:xfrm>
                        <a:prstGeom prst="rect">
                          <a:avLst/>
                        </a:prstGeom>
                        <a:noFill/>
                        <a:ln>
                          <a:noFill/>
                        </a:ln>
                      </pic:spPr>
                    </pic:pic>
                  </a:graphicData>
                </a:graphic>
              </wp:inline>
            </w:drawing>
          </w:r>
        </w:p>
        <w:p w14:paraId="7AECFEFA" w14:textId="77777777" w:rsidR="00140BC3" w:rsidRPr="00400832" w:rsidRDefault="00140BC3" w:rsidP="00400832">
          <w:pPr>
            <w:spacing w:after="0"/>
            <w:jc w:val="center"/>
            <w:rPr>
              <w:bCs/>
              <w:sz w:val="24"/>
              <w:u w:val="single"/>
            </w:rPr>
          </w:pPr>
          <w:r w:rsidRPr="00400832">
            <w:rPr>
              <w:bCs/>
              <w:sz w:val="24"/>
              <w:u w:val="single"/>
            </w:rPr>
            <w:t>GENERAL PERMIT TO DISCHARGE WASTES</w:t>
          </w:r>
        </w:p>
        <w:p w14:paraId="70FEA8F0" w14:textId="77777777" w:rsidR="00140BC3" w:rsidRPr="00BC22EA" w:rsidRDefault="00140BC3" w:rsidP="00F74BCC">
          <w:pPr>
            <w:spacing w:after="0"/>
            <w:jc w:val="center"/>
          </w:pPr>
          <w:r w:rsidRPr="00BC22EA">
            <w:t xml:space="preserve">under the provisions of </w:t>
          </w:r>
          <w:r w:rsidR="00F74BCC" w:rsidRPr="00BC22EA">
            <w:t xml:space="preserve">the Clean Water Act </w:t>
          </w:r>
          <w:r w:rsidRPr="00BC22EA">
            <w:t xml:space="preserve">Section 402 </w:t>
          </w:r>
        </w:p>
        <w:p w14:paraId="74A40395" w14:textId="77777777" w:rsidR="00140BC3" w:rsidRPr="00BC22EA" w:rsidRDefault="00140BC3" w:rsidP="00F74BCC">
          <w:pPr>
            <w:spacing w:after="0"/>
            <w:jc w:val="center"/>
          </w:pPr>
          <w:r w:rsidRPr="00BC22EA">
            <w:t xml:space="preserve">and </w:t>
          </w:r>
          <w:r w:rsidR="00F74BCC" w:rsidRPr="00BC22EA">
            <w:t>Texas Water Code Chapter 26</w:t>
          </w:r>
        </w:p>
        <w:p w14:paraId="532A69D5" w14:textId="77777777" w:rsidR="00140BC3" w:rsidRPr="00BC22EA" w:rsidRDefault="00F53ADA" w:rsidP="00F74BCC">
          <w:pPr>
            <w:spacing w:before="120" w:after="0"/>
            <w:jc w:val="center"/>
          </w:pPr>
          <w:r w:rsidRPr="00BC22EA">
            <w:t xml:space="preserve">This </w:t>
          </w:r>
          <w:r w:rsidR="00140BC3" w:rsidRPr="00BC22EA">
            <w:t>permit supersedes and replaces</w:t>
          </w:r>
        </w:p>
        <w:p w14:paraId="1D2AF037" w14:textId="1A390562" w:rsidR="000018C8" w:rsidRPr="00BC22EA" w:rsidRDefault="00F53ADA" w:rsidP="00F74BCC">
          <w:pPr>
            <w:jc w:val="center"/>
          </w:pPr>
          <w:r w:rsidRPr="00BC22EA">
            <w:t>TPDES General Permit No. TXG110000</w:t>
          </w:r>
          <w:r w:rsidR="00140BC3" w:rsidRPr="00BC22EA">
            <w:t>,</w:t>
          </w:r>
          <w:r w:rsidRPr="00BC22EA">
            <w:t xml:space="preserve"> </w:t>
          </w:r>
          <w:r w:rsidR="005A6AE5">
            <w:t>effective</w:t>
          </w:r>
          <w:r w:rsidR="005A6AE5" w:rsidRPr="00BC22EA">
            <w:t xml:space="preserve"> </w:t>
          </w:r>
          <w:r w:rsidR="005A6AE5">
            <w:t>November 7, 2021</w:t>
          </w:r>
          <w:r w:rsidRPr="00BC22EA">
            <w:t>.</w:t>
          </w:r>
        </w:p>
        <w:p w14:paraId="134E2DAC" w14:textId="77777777" w:rsidR="000018C8" w:rsidRPr="00BC22EA" w:rsidRDefault="000018C8" w:rsidP="00C76BE6">
          <w:pPr>
            <w:jc w:val="center"/>
          </w:pPr>
        </w:p>
        <w:p w14:paraId="393AE219" w14:textId="20B4EBCB" w:rsidR="000018C8" w:rsidRPr="00BC22EA" w:rsidRDefault="000018C8" w:rsidP="00400832">
          <w:pPr>
            <w:pStyle w:val="BodyText"/>
          </w:pPr>
          <w:r w:rsidRPr="00BC22EA">
            <w:t xml:space="preserve">Facility wastewater and </w:t>
          </w:r>
          <w:r w:rsidR="006E6F08" w:rsidRPr="00BC22EA">
            <w:t>stormwater</w:t>
          </w:r>
          <w:r w:rsidRPr="00BC22EA">
            <w:t xml:space="preserve"> associated with industrial activities may be discharged from ready-mixed concrete plants, concrete products plants, and their associated facilities (S</w:t>
          </w:r>
          <w:r w:rsidR="00F74BCC" w:rsidRPr="00BC22EA">
            <w:t xml:space="preserve">tandard Industrial </w:t>
          </w:r>
          <w:r w:rsidR="00856AFA">
            <w:t xml:space="preserve">Classification </w:t>
          </w:r>
          <w:r w:rsidR="00F74BCC" w:rsidRPr="00BC22EA">
            <w:t>Codes</w:t>
          </w:r>
          <w:r w:rsidRPr="00BC22EA">
            <w:t xml:space="preserve"> 3271, 3272, and 3273) located in the state of Texas, </w:t>
          </w:r>
        </w:p>
        <w:p w14:paraId="23009EEB" w14:textId="6FB1CEDB" w:rsidR="000018C8" w:rsidRPr="00BC22EA" w:rsidRDefault="000018C8" w:rsidP="00400832">
          <w:pPr>
            <w:pStyle w:val="BodyText"/>
          </w:pPr>
          <w:r w:rsidRPr="00BC22EA">
            <w:t xml:space="preserve">into or adjacent to water in the state, including exceptional, high, intermediate, limited, or </w:t>
          </w:r>
          <w:r w:rsidR="006E6F08" w:rsidRPr="00BC22EA">
            <w:t>minimal</w:t>
          </w:r>
          <w:r w:rsidRPr="00BC22EA">
            <w:t xml:space="preserve"> aquatic life use </w:t>
          </w:r>
          <w:r w:rsidR="00300CED">
            <w:t xml:space="preserve">receiving waters </w:t>
          </w:r>
          <w:r w:rsidRPr="00BC22EA">
            <w:t xml:space="preserve">as </w:t>
          </w:r>
          <w:r w:rsidR="00737133">
            <w:t>identified</w:t>
          </w:r>
          <w:r w:rsidR="00737133" w:rsidRPr="00BC22EA">
            <w:t xml:space="preserve"> </w:t>
          </w:r>
          <w:r w:rsidRPr="00BC22EA">
            <w:t>in the Texas Surface Water Quality Standards</w:t>
          </w:r>
          <w:r w:rsidR="00012F0A" w:rsidRPr="00BC22EA">
            <w:t>,</w:t>
          </w:r>
        </w:p>
        <w:p w14:paraId="69DD5BEF" w14:textId="77777777" w:rsidR="000018C8" w:rsidRPr="00BC22EA" w:rsidRDefault="000018C8" w:rsidP="00400832">
          <w:pPr>
            <w:pStyle w:val="BodyText"/>
          </w:pPr>
          <w:r w:rsidRPr="00BC22EA">
            <w:t xml:space="preserve">only according to effluent limitations, monitoring </w:t>
          </w:r>
          <w:r w:rsidR="00355907" w:rsidRPr="00BC22EA">
            <w:t>requirements</w:t>
          </w:r>
          <w:r w:rsidR="000453B8" w:rsidRPr="00BC22EA">
            <w:t>,</w:t>
          </w:r>
          <w:r w:rsidRPr="00BC22EA">
            <w:t xml:space="preserve"> and other conditions set forth in this general permit, as well as the rules of the Texas Commission on Environmental Quality (TCEQ</w:t>
          </w:r>
          <w:r w:rsidR="00F74BCC" w:rsidRPr="00BC22EA">
            <w:t xml:space="preserve"> or commission</w:t>
          </w:r>
          <w:r w:rsidRPr="00BC22EA">
            <w:t xml:space="preserve">), the laws of the State of </w:t>
          </w:r>
          <w:r w:rsidR="004D249C" w:rsidRPr="00BC22EA">
            <w:t>Texas, and other orders of the c</w:t>
          </w:r>
          <w:r w:rsidRPr="00BC22EA">
            <w:t>ommis</w:t>
          </w:r>
          <w:r w:rsidR="003C0AAD" w:rsidRPr="00BC22EA">
            <w:t xml:space="preserve">sion. </w:t>
          </w:r>
          <w:r w:rsidRPr="00BC22EA">
            <w:t>The issuance of this general permit does not grant to the permittee the right to use private or public property for conveyance of wastewa</w:t>
          </w:r>
          <w:r w:rsidR="003C0AAD" w:rsidRPr="00BC22EA">
            <w:t xml:space="preserve">ter along the discharge route. </w:t>
          </w:r>
          <w:r w:rsidRPr="00BC22EA">
            <w:t>This includes property belonging to, but not limited to, any individual, partnership,</w:t>
          </w:r>
          <w:r w:rsidR="003C0AAD" w:rsidRPr="00BC22EA">
            <w:t xml:space="preserve"> corporation, or other entity. </w:t>
          </w:r>
          <w:r w:rsidRPr="00BC22EA">
            <w:t>Neither does this general permit authorize any invasion of personal rights nor any violation of federal, state,</w:t>
          </w:r>
          <w:r w:rsidR="003C0AAD" w:rsidRPr="00BC22EA">
            <w:t xml:space="preserve"> or local laws or regulations. </w:t>
          </w:r>
          <w:r w:rsidRPr="00BC22EA">
            <w:t>It is the responsibility of the permittee to acquire property rights as may be necessary to use the discharge route.</w:t>
          </w:r>
        </w:p>
        <w:p w14:paraId="6C1CD35C" w14:textId="53716533" w:rsidR="000018C8" w:rsidRPr="00BC22EA" w:rsidRDefault="000018C8" w:rsidP="00400832">
          <w:pPr>
            <w:pStyle w:val="BodyText"/>
          </w:pPr>
          <w:r w:rsidRPr="00BC22EA">
            <w:t xml:space="preserve">This general permit and the authorization contained herein will expire at midnight </w:t>
          </w:r>
          <w:r w:rsidR="005A6AE5">
            <w:t xml:space="preserve">five years </w:t>
          </w:r>
          <w:r w:rsidR="008901D2">
            <w:t>after</w:t>
          </w:r>
          <w:r w:rsidR="005A6AE5">
            <w:t xml:space="preserve"> the effective date</w:t>
          </w:r>
          <w:r w:rsidRPr="00BC22EA">
            <w:t>.</w:t>
          </w:r>
        </w:p>
        <w:p w14:paraId="1BE1CDA6" w14:textId="77777777" w:rsidR="00AC3430" w:rsidRDefault="00AC3430" w:rsidP="00400832">
          <w:pPr>
            <w:pStyle w:val="BodyText"/>
          </w:pPr>
        </w:p>
        <w:p w14:paraId="4FF958A9" w14:textId="77777777" w:rsidR="00AC3430" w:rsidRPr="00BC22EA" w:rsidRDefault="00AC3430" w:rsidP="00400832">
          <w:pPr>
            <w:pStyle w:val="BodyText"/>
            <w:spacing w:after="240"/>
          </w:pPr>
          <w:r w:rsidRPr="00BC22EA">
            <w:t xml:space="preserve">ISSUED DATE: </w:t>
          </w:r>
        </w:p>
        <w:p w14:paraId="28E57413" w14:textId="40443237" w:rsidR="000018C8" w:rsidRPr="00BC22EA" w:rsidRDefault="000018C8" w:rsidP="00400832">
          <w:pPr>
            <w:spacing w:after="1440"/>
          </w:pPr>
          <w:r w:rsidRPr="00BC22EA">
            <w:t>EFFECTIVE DATE:</w:t>
          </w:r>
          <w:r w:rsidR="007C4A0B" w:rsidRPr="00BC22EA">
            <w:t xml:space="preserve"> </w:t>
          </w:r>
          <w:r w:rsidR="004E5AE5" w:rsidRPr="00BC22EA">
            <w:t xml:space="preserve">November </w:t>
          </w:r>
          <w:r w:rsidR="00566FA1" w:rsidRPr="00BC22EA">
            <w:t>7</w:t>
          </w:r>
          <w:r w:rsidR="004E5AE5" w:rsidRPr="00BC22EA">
            <w:t xml:space="preserve">, </w:t>
          </w:r>
          <w:r w:rsidR="00D0452E" w:rsidRPr="00BC22EA">
            <w:t>20</w:t>
          </w:r>
          <w:r w:rsidR="00D0452E">
            <w:t>2</w:t>
          </w:r>
          <w:r w:rsidR="005A6AE5">
            <w:t>6</w:t>
          </w:r>
        </w:p>
        <w:p w14:paraId="4E2A0157" w14:textId="59370167" w:rsidR="000018C8" w:rsidRPr="00062CF8" w:rsidRDefault="00C76BE6" w:rsidP="005A6AE5">
          <w:pPr>
            <w:tabs>
              <w:tab w:val="left" w:pos="5040"/>
              <w:tab w:val="left" w:pos="8460"/>
            </w:tabs>
            <w:rPr>
              <w:u w:val="single"/>
            </w:rPr>
          </w:pPr>
          <w:r w:rsidRPr="00BC22EA">
            <w:tab/>
          </w:r>
          <w:r w:rsidR="005A6AE5">
            <w:rPr>
              <w:u w:val="single"/>
            </w:rPr>
            <w:tab/>
          </w:r>
        </w:p>
        <w:p w14:paraId="3C8241F2" w14:textId="5653934F" w:rsidR="00C63B88" w:rsidRPr="00BC22EA" w:rsidRDefault="000018C8" w:rsidP="00400832">
          <w:pPr>
            <w:tabs>
              <w:tab w:val="left" w:pos="5040"/>
              <w:tab w:val="left" w:pos="5220"/>
            </w:tabs>
            <w:spacing w:after="0"/>
            <w:jc w:val="center"/>
            <w:rPr>
              <w:rStyle w:val="TitleChar"/>
              <w:rFonts w:ascii="Lucida Bright" w:eastAsia="SimSun" w:hAnsi="Lucida Bright"/>
              <w:b w:val="0"/>
            </w:rPr>
          </w:pPr>
          <w:r w:rsidRPr="00BC22EA">
            <w:t>For the Commission</w:t>
          </w:r>
          <w:r w:rsidR="00BA6A27" w:rsidRPr="00BC22EA">
            <w:br w:type="page"/>
          </w:r>
          <w:r w:rsidR="00C63B88" w:rsidRPr="00BC22EA">
            <w:rPr>
              <w:b/>
            </w:rPr>
            <w:lastRenderedPageBreak/>
            <w:t>TCEQ General Permit Number TXG110000</w:t>
          </w:r>
        </w:p>
        <w:p w14:paraId="6C28A47F" w14:textId="0B4BEAEF" w:rsidR="00C63B88" w:rsidRPr="00BC22EA" w:rsidRDefault="000453B8" w:rsidP="00AC3430">
          <w:pPr>
            <w:jc w:val="center"/>
          </w:pPr>
          <w:r w:rsidRPr="00BC22EA">
            <w:t>Relating t</w:t>
          </w:r>
          <w:r w:rsidR="00C63B88" w:rsidRPr="00BC22EA">
            <w:t>o Discharges of Facility Wastewater and Stormwater Associated with Industrial Activity from Ready-Mixed Concrete Plants, Con</w:t>
          </w:r>
          <w:r w:rsidR="00AE0AC9" w:rsidRPr="00BC22EA">
            <w:t>crete Products Plants, and</w:t>
          </w:r>
          <w:r w:rsidR="00C63B88" w:rsidRPr="00BC22EA">
            <w:t xml:space="preserve"> Associated Facilities</w:t>
          </w:r>
        </w:p>
        <w:p w14:paraId="6E3B9631" w14:textId="77777777" w:rsidR="00E312C8" w:rsidRPr="00BC22EA" w:rsidRDefault="00E312C8">
          <w:pPr>
            <w:pStyle w:val="TOCHeading"/>
          </w:pPr>
          <w:r w:rsidRPr="00BC22EA">
            <w:t>Table of Contents</w:t>
          </w:r>
        </w:p>
        <w:p w14:paraId="7E16BA0B" w14:textId="1E70B4CF" w:rsidR="000E4866" w:rsidRDefault="00E312C8">
          <w:pPr>
            <w:pStyle w:val="TOC1"/>
            <w:tabs>
              <w:tab w:val="right" w:leader="dot" w:pos="9530"/>
            </w:tabs>
            <w:rPr>
              <w:rFonts w:asciiTheme="minorHAnsi" w:eastAsiaTheme="minorEastAsia" w:hAnsiTheme="minorHAnsi" w:cstheme="minorBidi"/>
              <w:noProof/>
              <w:kern w:val="2"/>
              <w:sz w:val="24"/>
              <w14:ligatures w14:val="standardContextual"/>
            </w:rPr>
          </w:pPr>
          <w:r w:rsidRPr="00BC22EA">
            <w:rPr>
              <w:sz w:val="24"/>
            </w:rPr>
            <w:fldChar w:fldCharType="begin"/>
          </w:r>
          <w:r w:rsidRPr="00BC22EA">
            <w:instrText xml:space="preserve"> TOC \o "1-3" \h \z \u </w:instrText>
          </w:r>
          <w:r w:rsidRPr="00BC22EA">
            <w:rPr>
              <w:sz w:val="24"/>
            </w:rPr>
            <w:fldChar w:fldCharType="separate"/>
          </w:r>
          <w:hyperlink w:anchor="_Toc196219267" w:history="1">
            <w:r w:rsidR="000E4866" w:rsidRPr="003D4EEE">
              <w:rPr>
                <w:rStyle w:val="Hyperlink"/>
                <w:noProof/>
              </w:rPr>
              <w:t>Part I. Definitions</w:t>
            </w:r>
            <w:r w:rsidR="000E4866">
              <w:rPr>
                <w:noProof/>
                <w:webHidden/>
              </w:rPr>
              <w:tab/>
            </w:r>
            <w:r w:rsidR="000E4866">
              <w:rPr>
                <w:noProof/>
                <w:webHidden/>
              </w:rPr>
              <w:fldChar w:fldCharType="begin"/>
            </w:r>
            <w:r w:rsidR="000E4866">
              <w:rPr>
                <w:noProof/>
                <w:webHidden/>
              </w:rPr>
              <w:instrText xml:space="preserve"> PAGEREF _Toc196219267 \h </w:instrText>
            </w:r>
            <w:r w:rsidR="000E4866">
              <w:rPr>
                <w:noProof/>
                <w:webHidden/>
              </w:rPr>
            </w:r>
            <w:r w:rsidR="000E4866">
              <w:rPr>
                <w:noProof/>
                <w:webHidden/>
              </w:rPr>
              <w:fldChar w:fldCharType="separate"/>
            </w:r>
            <w:r w:rsidR="00961AF5">
              <w:rPr>
                <w:noProof/>
                <w:webHidden/>
              </w:rPr>
              <w:t>3</w:t>
            </w:r>
            <w:r w:rsidR="000E4866">
              <w:rPr>
                <w:noProof/>
                <w:webHidden/>
              </w:rPr>
              <w:fldChar w:fldCharType="end"/>
            </w:r>
          </w:hyperlink>
        </w:p>
        <w:p w14:paraId="48EC2B03" w14:textId="471EECCF" w:rsidR="000E4866" w:rsidRDefault="000E4866">
          <w:pPr>
            <w:pStyle w:val="TOC1"/>
            <w:tabs>
              <w:tab w:val="right" w:leader="dot" w:pos="9530"/>
            </w:tabs>
            <w:rPr>
              <w:rFonts w:asciiTheme="minorHAnsi" w:eastAsiaTheme="minorEastAsia" w:hAnsiTheme="minorHAnsi" w:cstheme="minorBidi"/>
              <w:noProof/>
              <w:kern w:val="2"/>
              <w:sz w:val="24"/>
              <w14:ligatures w14:val="standardContextual"/>
            </w:rPr>
          </w:pPr>
          <w:hyperlink w:anchor="_Toc196219268" w:history="1">
            <w:r w:rsidRPr="003D4EEE">
              <w:rPr>
                <w:rStyle w:val="Hyperlink"/>
                <w:noProof/>
              </w:rPr>
              <w:t>Part II. Permit Applicability and Authorization</w:t>
            </w:r>
            <w:r>
              <w:rPr>
                <w:noProof/>
                <w:webHidden/>
              </w:rPr>
              <w:tab/>
            </w:r>
            <w:r>
              <w:rPr>
                <w:noProof/>
                <w:webHidden/>
              </w:rPr>
              <w:fldChar w:fldCharType="begin"/>
            </w:r>
            <w:r>
              <w:rPr>
                <w:noProof/>
                <w:webHidden/>
              </w:rPr>
              <w:instrText xml:space="preserve"> PAGEREF _Toc196219268 \h </w:instrText>
            </w:r>
            <w:r>
              <w:rPr>
                <w:noProof/>
                <w:webHidden/>
              </w:rPr>
            </w:r>
            <w:r>
              <w:rPr>
                <w:noProof/>
                <w:webHidden/>
              </w:rPr>
              <w:fldChar w:fldCharType="separate"/>
            </w:r>
            <w:r w:rsidR="00961AF5">
              <w:rPr>
                <w:noProof/>
                <w:webHidden/>
              </w:rPr>
              <w:t>7</w:t>
            </w:r>
            <w:r>
              <w:rPr>
                <w:noProof/>
                <w:webHidden/>
              </w:rPr>
              <w:fldChar w:fldCharType="end"/>
            </w:r>
          </w:hyperlink>
        </w:p>
        <w:p w14:paraId="273AE50A" w14:textId="3D08DB64" w:rsidR="000E4866" w:rsidRDefault="000E4866">
          <w:pPr>
            <w:pStyle w:val="TOC2"/>
            <w:rPr>
              <w:rFonts w:asciiTheme="minorHAnsi" w:eastAsiaTheme="minorEastAsia" w:hAnsiTheme="minorHAnsi" w:cstheme="minorBidi"/>
              <w:noProof/>
              <w:kern w:val="2"/>
              <w:sz w:val="24"/>
              <w14:ligatures w14:val="standardContextual"/>
            </w:rPr>
          </w:pPr>
          <w:hyperlink w:anchor="_Toc196219269" w:history="1">
            <w:r w:rsidRPr="003D4EEE">
              <w:rPr>
                <w:rStyle w:val="Hyperlink"/>
                <w:noProof/>
              </w:rPr>
              <w:t>Section A. Discharges Covered</w:t>
            </w:r>
            <w:r>
              <w:rPr>
                <w:noProof/>
                <w:webHidden/>
              </w:rPr>
              <w:tab/>
            </w:r>
            <w:r>
              <w:rPr>
                <w:noProof/>
                <w:webHidden/>
              </w:rPr>
              <w:fldChar w:fldCharType="begin"/>
            </w:r>
            <w:r>
              <w:rPr>
                <w:noProof/>
                <w:webHidden/>
              </w:rPr>
              <w:instrText xml:space="preserve"> PAGEREF _Toc196219269 \h </w:instrText>
            </w:r>
            <w:r>
              <w:rPr>
                <w:noProof/>
                <w:webHidden/>
              </w:rPr>
            </w:r>
            <w:r>
              <w:rPr>
                <w:noProof/>
                <w:webHidden/>
              </w:rPr>
              <w:fldChar w:fldCharType="separate"/>
            </w:r>
            <w:r w:rsidR="00961AF5">
              <w:rPr>
                <w:noProof/>
                <w:webHidden/>
              </w:rPr>
              <w:t>7</w:t>
            </w:r>
            <w:r>
              <w:rPr>
                <w:noProof/>
                <w:webHidden/>
              </w:rPr>
              <w:fldChar w:fldCharType="end"/>
            </w:r>
          </w:hyperlink>
        </w:p>
        <w:p w14:paraId="19716709" w14:textId="700CFA7F" w:rsidR="000E4866" w:rsidRDefault="000E4866">
          <w:pPr>
            <w:pStyle w:val="TOC2"/>
            <w:rPr>
              <w:rFonts w:asciiTheme="minorHAnsi" w:eastAsiaTheme="minorEastAsia" w:hAnsiTheme="minorHAnsi" w:cstheme="minorBidi"/>
              <w:noProof/>
              <w:kern w:val="2"/>
              <w:sz w:val="24"/>
              <w14:ligatures w14:val="standardContextual"/>
            </w:rPr>
          </w:pPr>
          <w:hyperlink w:anchor="_Toc196219270" w:history="1">
            <w:r w:rsidRPr="003D4EEE">
              <w:rPr>
                <w:rStyle w:val="Hyperlink"/>
                <w:noProof/>
              </w:rPr>
              <w:t>Section B. Limitations on Authorization</w:t>
            </w:r>
            <w:r>
              <w:rPr>
                <w:noProof/>
                <w:webHidden/>
              </w:rPr>
              <w:tab/>
            </w:r>
            <w:r>
              <w:rPr>
                <w:noProof/>
                <w:webHidden/>
              </w:rPr>
              <w:fldChar w:fldCharType="begin"/>
            </w:r>
            <w:r>
              <w:rPr>
                <w:noProof/>
                <w:webHidden/>
              </w:rPr>
              <w:instrText xml:space="preserve"> PAGEREF _Toc196219270 \h </w:instrText>
            </w:r>
            <w:r>
              <w:rPr>
                <w:noProof/>
                <w:webHidden/>
              </w:rPr>
            </w:r>
            <w:r>
              <w:rPr>
                <w:noProof/>
                <w:webHidden/>
              </w:rPr>
              <w:fldChar w:fldCharType="separate"/>
            </w:r>
            <w:r w:rsidR="00961AF5">
              <w:rPr>
                <w:noProof/>
                <w:webHidden/>
              </w:rPr>
              <w:t>7</w:t>
            </w:r>
            <w:r>
              <w:rPr>
                <w:noProof/>
                <w:webHidden/>
              </w:rPr>
              <w:fldChar w:fldCharType="end"/>
            </w:r>
          </w:hyperlink>
        </w:p>
        <w:p w14:paraId="2E8A72CD" w14:textId="4C83C3C8" w:rsidR="000E4866" w:rsidRDefault="000E4866">
          <w:pPr>
            <w:pStyle w:val="TOC2"/>
            <w:rPr>
              <w:rFonts w:asciiTheme="minorHAnsi" w:eastAsiaTheme="minorEastAsia" w:hAnsiTheme="minorHAnsi" w:cstheme="minorBidi"/>
              <w:noProof/>
              <w:kern w:val="2"/>
              <w:sz w:val="24"/>
              <w14:ligatures w14:val="standardContextual"/>
            </w:rPr>
          </w:pPr>
          <w:hyperlink w:anchor="_Toc196219271" w:history="1">
            <w:r w:rsidRPr="003D4EEE">
              <w:rPr>
                <w:rStyle w:val="Hyperlink"/>
                <w:noProof/>
              </w:rPr>
              <w:t>Section C. Application for Authorization</w:t>
            </w:r>
            <w:r>
              <w:rPr>
                <w:noProof/>
                <w:webHidden/>
              </w:rPr>
              <w:tab/>
            </w:r>
            <w:r>
              <w:rPr>
                <w:noProof/>
                <w:webHidden/>
              </w:rPr>
              <w:fldChar w:fldCharType="begin"/>
            </w:r>
            <w:r>
              <w:rPr>
                <w:noProof/>
                <w:webHidden/>
              </w:rPr>
              <w:instrText xml:space="preserve"> PAGEREF _Toc196219271 \h </w:instrText>
            </w:r>
            <w:r>
              <w:rPr>
                <w:noProof/>
                <w:webHidden/>
              </w:rPr>
            </w:r>
            <w:r>
              <w:rPr>
                <w:noProof/>
                <w:webHidden/>
              </w:rPr>
              <w:fldChar w:fldCharType="separate"/>
            </w:r>
            <w:r w:rsidR="00961AF5">
              <w:rPr>
                <w:noProof/>
                <w:webHidden/>
              </w:rPr>
              <w:t>8</w:t>
            </w:r>
            <w:r>
              <w:rPr>
                <w:noProof/>
                <w:webHidden/>
              </w:rPr>
              <w:fldChar w:fldCharType="end"/>
            </w:r>
          </w:hyperlink>
        </w:p>
        <w:p w14:paraId="1062F499" w14:textId="2D8A1032" w:rsidR="000E4866" w:rsidRDefault="000E4866">
          <w:pPr>
            <w:pStyle w:val="TOC2"/>
            <w:rPr>
              <w:rFonts w:asciiTheme="minorHAnsi" w:eastAsiaTheme="minorEastAsia" w:hAnsiTheme="minorHAnsi" w:cstheme="minorBidi"/>
              <w:noProof/>
              <w:kern w:val="2"/>
              <w:sz w:val="24"/>
              <w14:ligatures w14:val="standardContextual"/>
            </w:rPr>
          </w:pPr>
          <w:hyperlink w:anchor="_Toc196219272" w:history="1">
            <w:r w:rsidRPr="003D4EEE">
              <w:rPr>
                <w:rStyle w:val="Hyperlink"/>
                <w:noProof/>
              </w:rPr>
              <w:t>Section D. Termination of Authorization</w:t>
            </w:r>
            <w:r>
              <w:rPr>
                <w:noProof/>
                <w:webHidden/>
              </w:rPr>
              <w:tab/>
            </w:r>
            <w:r>
              <w:rPr>
                <w:noProof/>
                <w:webHidden/>
              </w:rPr>
              <w:fldChar w:fldCharType="begin"/>
            </w:r>
            <w:r>
              <w:rPr>
                <w:noProof/>
                <w:webHidden/>
              </w:rPr>
              <w:instrText xml:space="preserve"> PAGEREF _Toc196219272 \h </w:instrText>
            </w:r>
            <w:r>
              <w:rPr>
                <w:noProof/>
                <w:webHidden/>
              </w:rPr>
            </w:r>
            <w:r>
              <w:rPr>
                <w:noProof/>
                <w:webHidden/>
              </w:rPr>
              <w:fldChar w:fldCharType="separate"/>
            </w:r>
            <w:r w:rsidR="00961AF5">
              <w:rPr>
                <w:noProof/>
                <w:webHidden/>
              </w:rPr>
              <w:t>9</w:t>
            </w:r>
            <w:r>
              <w:rPr>
                <w:noProof/>
                <w:webHidden/>
              </w:rPr>
              <w:fldChar w:fldCharType="end"/>
            </w:r>
          </w:hyperlink>
        </w:p>
        <w:p w14:paraId="3F4E480E" w14:textId="14DD09DE" w:rsidR="000E4866" w:rsidRDefault="000E4866">
          <w:pPr>
            <w:pStyle w:val="TOC2"/>
            <w:rPr>
              <w:rFonts w:asciiTheme="minorHAnsi" w:eastAsiaTheme="minorEastAsia" w:hAnsiTheme="minorHAnsi" w:cstheme="minorBidi"/>
              <w:noProof/>
              <w:kern w:val="2"/>
              <w:sz w:val="24"/>
              <w14:ligatures w14:val="standardContextual"/>
            </w:rPr>
          </w:pPr>
          <w:hyperlink w:anchor="_Toc196219273" w:history="1">
            <w:r w:rsidRPr="003D4EEE">
              <w:rPr>
                <w:rStyle w:val="Hyperlink"/>
                <w:noProof/>
              </w:rPr>
              <w:t>Section E. Authorization Under an Individual Permit</w:t>
            </w:r>
            <w:r>
              <w:rPr>
                <w:noProof/>
                <w:webHidden/>
              </w:rPr>
              <w:tab/>
            </w:r>
            <w:r>
              <w:rPr>
                <w:noProof/>
                <w:webHidden/>
              </w:rPr>
              <w:fldChar w:fldCharType="begin"/>
            </w:r>
            <w:r>
              <w:rPr>
                <w:noProof/>
                <w:webHidden/>
              </w:rPr>
              <w:instrText xml:space="preserve"> PAGEREF _Toc196219273 \h </w:instrText>
            </w:r>
            <w:r>
              <w:rPr>
                <w:noProof/>
                <w:webHidden/>
              </w:rPr>
            </w:r>
            <w:r>
              <w:rPr>
                <w:noProof/>
                <w:webHidden/>
              </w:rPr>
              <w:fldChar w:fldCharType="separate"/>
            </w:r>
            <w:r w:rsidR="00961AF5">
              <w:rPr>
                <w:noProof/>
                <w:webHidden/>
              </w:rPr>
              <w:t>10</w:t>
            </w:r>
            <w:r>
              <w:rPr>
                <w:noProof/>
                <w:webHidden/>
              </w:rPr>
              <w:fldChar w:fldCharType="end"/>
            </w:r>
          </w:hyperlink>
        </w:p>
        <w:p w14:paraId="392F1CF3" w14:textId="16A5FC36" w:rsidR="000E4866" w:rsidRDefault="000E4866">
          <w:pPr>
            <w:pStyle w:val="TOC2"/>
            <w:rPr>
              <w:rFonts w:asciiTheme="minorHAnsi" w:eastAsiaTheme="minorEastAsia" w:hAnsiTheme="minorHAnsi" w:cstheme="minorBidi"/>
              <w:noProof/>
              <w:kern w:val="2"/>
              <w:sz w:val="24"/>
              <w14:ligatures w14:val="standardContextual"/>
            </w:rPr>
          </w:pPr>
          <w:hyperlink w:anchor="_Toc196219274" w:history="1">
            <w:r w:rsidRPr="003D4EEE">
              <w:rPr>
                <w:rStyle w:val="Hyperlink"/>
                <w:noProof/>
              </w:rPr>
              <w:t>Section F. Permit Expiration</w:t>
            </w:r>
            <w:r>
              <w:rPr>
                <w:noProof/>
                <w:webHidden/>
              </w:rPr>
              <w:tab/>
            </w:r>
            <w:r>
              <w:rPr>
                <w:noProof/>
                <w:webHidden/>
              </w:rPr>
              <w:fldChar w:fldCharType="begin"/>
            </w:r>
            <w:r>
              <w:rPr>
                <w:noProof/>
                <w:webHidden/>
              </w:rPr>
              <w:instrText xml:space="preserve"> PAGEREF _Toc196219274 \h </w:instrText>
            </w:r>
            <w:r>
              <w:rPr>
                <w:noProof/>
                <w:webHidden/>
              </w:rPr>
            </w:r>
            <w:r>
              <w:rPr>
                <w:noProof/>
                <w:webHidden/>
              </w:rPr>
              <w:fldChar w:fldCharType="separate"/>
            </w:r>
            <w:r w:rsidR="00961AF5">
              <w:rPr>
                <w:noProof/>
                <w:webHidden/>
              </w:rPr>
              <w:t>11</w:t>
            </w:r>
            <w:r>
              <w:rPr>
                <w:noProof/>
                <w:webHidden/>
              </w:rPr>
              <w:fldChar w:fldCharType="end"/>
            </w:r>
          </w:hyperlink>
        </w:p>
        <w:p w14:paraId="5F766447" w14:textId="629FDD0A" w:rsidR="000E4866" w:rsidRDefault="000E4866">
          <w:pPr>
            <w:pStyle w:val="TOC1"/>
            <w:tabs>
              <w:tab w:val="right" w:leader="dot" w:pos="9530"/>
            </w:tabs>
            <w:rPr>
              <w:rFonts w:asciiTheme="minorHAnsi" w:eastAsiaTheme="minorEastAsia" w:hAnsiTheme="minorHAnsi" w:cstheme="minorBidi"/>
              <w:noProof/>
              <w:kern w:val="2"/>
              <w:sz w:val="24"/>
              <w14:ligatures w14:val="standardContextual"/>
            </w:rPr>
          </w:pPr>
          <w:hyperlink w:anchor="_Toc196219275" w:history="1">
            <w:r w:rsidRPr="003D4EEE">
              <w:rPr>
                <w:rStyle w:val="Hyperlink"/>
                <w:noProof/>
              </w:rPr>
              <w:t>Part III. Permit Requirements</w:t>
            </w:r>
            <w:r>
              <w:rPr>
                <w:noProof/>
                <w:webHidden/>
              </w:rPr>
              <w:tab/>
            </w:r>
            <w:r>
              <w:rPr>
                <w:noProof/>
                <w:webHidden/>
              </w:rPr>
              <w:fldChar w:fldCharType="begin"/>
            </w:r>
            <w:r>
              <w:rPr>
                <w:noProof/>
                <w:webHidden/>
              </w:rPr>
              <w:instrText xml:space="preserve"> PAGEREF _Toc196219275 \h </w:instrText>
            </w:r>
            <w:r>
              <w:rPr>
                <w:noProof/>
                <w:webHidden/>
              </w:rPr>
            </w:r>
            <w:r>
              <w:rPr>
                <w:noProof/>
                <w:webHidden/>
              </w:rPr>
              <w:fldChar w:fldCharType="separate"/>
            </w:r>
            <w:r w:rsidR="00961AF5">
              <w:rPr>
                <w:noProof/>
                <w:webHidden/>
              </w:rPr>
              <w:t>12</w:t>
            </w:r>
            <w:r>
              <w:rPr>
                <w:noProof/>
                <w:webHidden/>
              </w:rPr>
              <w:fldChar w:fldCharType="end"/>
            </w:r>
          </w:hyperlink>
        </w:p>
        <w:p w14:paraId="5BF1D501" w14:textId="6BF62E12" w:rsidR="000E4866" w:rsidRDefault="000E4866">
          <w:pPr>
            <w:pStyle w:val="TOC2"/>
            <w:rPr>
              <w:rFonts w:asciiTheme="minorHAnsi" w:eastAsiaTheme="minorEastAsia" w:hAnsiTheme="minorHAnsi" w:cstheme="minorBidi"/>
              <w:noProof/>
              <w:kern w:val="2"/>
              <w:sz w:val="24"/>
              <w14:ligatures w14:val="standardContextual"/>
            </w:rPr>
          </w:pPr>
          <w:hyperlink w:anchor="_Toc196219276" w:history="1">
            <w:r w:rsidRPr="003D4EEE">
              <w:rPr>
                <w:rStyle w:val="Hyperlink"/>
                <w:noProof/>
              </w:rPr>
              <w:t>Section A. Discharge of Wastewater and Wastewater Commingled with Stormwater</w:t>
            </w:r>
            <w:r>
              <w:rPr>
                <w:noProof/>
                <w:webHidden/>
              </w:rPr>
              <w:tab/>
            </w:r>
            <w:r>
              <w:rPr>
                <w:noProof/>
                <w:webHidden/>
              </w:rPr>
              <w:fldChar w:fldCharType="begin"/>
            </w:r>
            <w:r>
              <w:rPr>
                <w:noProof/>
                <w:webHidden/>
              </w:rPr>
              <w:instrText xml:space="preserve"> PAGEREF _Toc196219276 \h </w:instrText>
            </w:r>
            <w:r>
              <w:rPr>
                <w:noProof/>
                <w:webHidden/>
              </w:rPr>
            </w:r>
            <w:r>
              <w:rPr>
                <w:noProof/>
                <w:webHidden/>
              </w:rPr>
              <w:fldChar w:fldCharType="separate"/>
            </w:r>
            <w:r w:rsidR="00961AF5">
              <w:rPr>
                <w:noProof/>
                <w:webHidden/>
              </w:rPr>
              <w:t>12</w:t>
            </w:r>
            <w:r>
              <w:rPr>
                <w:noProof/>
                <w:webHidden/>
              </w:rPr>
              <w:fldChar w:fldCharType="end"/>
            </w:r>
          </w:hyperlink>
        </w:p>
        <w:p w14:paraId="67855FB4" w14:textId="19416184" w:rsidR="000E4866" w:rsidRDefault="000E4866">
          <w:pPr>
            <w:pStyle w:val="TOC2"/>
            <w:rPr>
              <w:rFonts w:asciiTheme="minorHAnsi" w:eastAsiaTheme="minorEastAsia" w:hAnsiTheme="minorHAnsi" w:cstheme="minorBidi"/>
              <w:noProof/>
              <w:kern w:val="2"/>
              <w:sz w:val="24"/>
              <w14:ligatures w14:val="standardContextual"/>
            </w:rPr>
          </w:pPr>
          <w:hyperlink w:anchor="_Toc196219277" w:history="1">
            <w:r w:rsidRPr="003D4EEE">
              <w:rPr>
                <w:rStyle w:val="Hyperlink"/>
                <w:noProof/>
              </w:rPr>
              <w:t>Section B. Stormwater Discharges Associated with Industrial Activity</w:t>
            </w:r>
            <w:r>
              <w:rPr>
                <w:noProof/>
                <w:webHidden/>
              </w:rPr>
              <w:tab/>
            </w:r>
            <w:r>
              <w:rPr>
                <w:noProof/>
                <w:webHidden/>
              </w:rPr>
              <w:fldChar w:fldCharType="begin"/>
            </w:r>
            <w:r>
              <w:rPr>
                <w:noProof/>
                <w:webHidden/>
              </w:rPr>
              <w:instrText xml:space="preserve"> PAGEREF _Toc196219277 \h </w:instrText>
            </w:r>
            <w:r>
              <w:rPr>
                <w:noProof/>
                <w:webHidden/>
              </w:rPr>
            </w:r>
            <w:r>
              <w:rPr>
                <w:noProof/>
                <w:webHidden/>
              </w:rPr>
              <w:fldChar w:fldCharType="separate"/>
            </w:r>
            <w:r w:rsidR="00961AF5">
              <w:rPr>
                <w:noProof/>
                <w:webHidden/>
              </w:rPr>
              <w:t>16</w:t>
            </w:r>
            <w:r>
              <w:rPr>
                <w:noProof/>
                <w:webHidden/>
              </w:rPr>
              <w:fldChar w:fldCharType="end"/>
            </w:r>
          </w:hyperlink>
        </w:p>
        <w:p w14:paraId="02B55C27" w14:textId="42826A16" w:rsidR="000E4866" w:rsidRDefault="000E4866">
          <w:pPr>
            <w:pStyle w:val="TOC2"/>
            <w:rPr>
              <w:rFonts w:asciiTheme="minorHAnsi" w:eastAsiaTheme="minorEastAsia" w:hAnsiTheme="minorHAnsi" w:cstheme="minorBidi"/>
              <w:noProof/>
              <w:kern w:val="2"/>
              <w:sz w:val="24"/>
              <w14:ligatures w14:val="standardContextual"/>
            </w:rPr>
          </w:pPr>
          <w:hyperlink w:anchor="_Toc196219278" w:history="1">
            <w:r w:rsidRPr="003D4EEE">
              <w:rPr>
                <w:rStyle w:val="Hyperlink"/>
                <w:noProof/>
              </w:rPr>
              <w:t>Section C. Beneficial Re-Use of Facility Wastewater and Stormwater</w:t>
            </w:r>
            <w:r>
              <w:rPr>
                <w:noProof/>
                <w:webHidden/>
              </w:rPr>
              <w:tab/>
            </w:r>
            <w:r>
              <w:rPr>
                <w:noProof/>
                <w:webHidden/>
              </w:rPr>
              <w:fldChar w:fldCharType="begin"/>
            </w:r>
            <w:r>
              <w:rPr>
                <w:noProof/>
                <w:webHidden/>
              </w:rPr>
              <w:instrText xml:space="preserve"> PAGEREF _Toc196219278 \h </w:instrText>
            </w:r>
            <w:r>
              <w:rPr>
                <w:noProof/>
                <w:webHidden/>
              </w:rPr>
            </w:r>
            <w:r>
              <w:rPr>
                <w:noProof/>
                <w:webHidden/>
              </w:rPr>
              <w:fldChar w:fldCharType="separate"/>
            </w:r>
            <w:r w:rsidR="00961AF5">
              <w:rPr>
                <w:noProof/>
                <w:webHidden/>
              </w:rPr>
              <w:t>27</w:t>
            </w:r>
            <w:r>
              <w:rPr>
                <w:noProof/>
                <w:webHidden/>
              </w:rPr>
              <w:fldChar w:fldCharType="end"/>
            </w:r>
          </w:hyperlink>
        </w:p>
        <w:p w14:paraId="029CFCE5" w14:textId="6CD060CE" w:rsidR="000E4866" w:rsidRDefault="000E4866">
          <w:pPr>
            <w:pStyle w:val="TOC2"/>
            <w:rPr>
              <w:rFonts w:asciiTheme="minorHAnsi" w:eastAsiaTheme="minorEastAsia" w:hAnsiTheme="minorHAnsi" w:cstheme="minorBidi"/>
              <w:noProof/>
              <w:kern w:val="2"/>
              <w:sz w:val="24"/>
              <w14:ligatures w14:val="standardContextual"/>
            </w:rPr>
          </w:pPr>
          <w:hyperlink w:anchor="_Toc196219279" w:history="1">
            <w:r w:rsidRPr="003D4EEE">
              <w:rPr>
                <w:rStyle w:val="Hyperlink"/>
                <w:noProof/>
              </w:rPr>
              <w:t>Section D. General Requirements</w:t>
            </w:r>
            <w:r>
              <w:rPr>
                <w:noProof/>
                <w:webHidden/>
              </w:rPr>
              <w:tab/>
            </w:r>
            <w:r>
              <w:rPr>
                <w:noProof/>
                <w:webHidden/>
              </w:rPr>
              <w:fldChar w:fldCharType="begin"/>
            </w:r>
            <w:r>
              <w:rPr>
                <w:noProof/>
                <w:webHidden/>
              </w:rPr>
              <w:instrText xml:space="preserve"> PAGEREF _Toc196219279 \h </w:instrText>
            </w:r>
            <w:r>
              <w:rPr>
                <w:noProof/>
                <w:webHidden/>
              </w:rPr>
            </w:r>
            <w:r>
              <w:rPr>
                <w:noProof/>
                <w:webHidden/>
              </w:rPr>
              <w:fldChar w:fldCharType="separate"/>
            </w:r>
            <w:r w:rsidR="00961AF5">
              <w:rPr>
                <w:noProof/>
                <w:webHidden/>
              </w:rPr>
              <w:t>28</w:t>
            </w:r>
            <w:r>
              <w:rPr>
                <w:noProof/>
                <w:webHidden/>
              </w:rPr>
              <w:fldChar w:fldCharType="end"/>
            </w:r>
          </w:hyperlink>
        </w:p>
        <w:p w14:paraId="5B9E7D90" w14:textId="636B7630" w:rsidR="000E4866" w:rsidRDefault="000E4866">
          <w:pPr>
            <w:pStyle w:val="TOC1"/>
            <w:tabs>
              <w:tab w:val="right" w:leader="dot" w:pos="9530"/>
            </w:tabs>
            <w:rPr>
              <w:rFonts w:asciiTheme="minorHAnsi" w:eastAsiaTheme="minorEastAsia" w:hAnsiTheme="minorHAnsi" w:cstheme="minorBidi"/>
              <w:noProof/>
              <w:kern w:val="2"/>
              <w:sz w:val="24"/>
              <w14:ligatures w14:val="standardContextual"/>
            </w:rPr>
          </w:pPr>
          <w:hyperlink w:anchor="_Toc196219280" w:history="1">
            <w:r w:rsidRPr="003D4EEE">
              <w:rPr>
                <w:rStyle w:val="Hyperlink"/>
                <w:noProof/>
              </w:rPr>
              <w:t>Part IV. Standard Permit Conditions</w:t>
            </w:r>
            <w:r>
              <w:rPr>
                <w:noProof/>
                <w:webHidden/>
              </w:rPr>
              <w:tab/>
            </w:r>
            <w:r>
              <w:rPr>
                <w:noProof/>
                <w:webHidden/>
              </w:rPr>
              <w:fldChar w:fldCharType="begin"/>
            </w:r>
            <w:r>
              <w:rPr>
                <w:noProof/>
                <w:webHidden/>
              </w:rPr>
              <w:instrText xml:space="preserve"> PAGEREF _Toc196219280 \h </w:instrText>
            </w:r>
            <w:r>
              <w:rPr>
                <w:noProof/>
                <w:webHidden/>
              </w:rPr>
            </w:r>
            <w:r>
              <w:rPr>
                <w:noProof/>
                <w:webHidden/>
              </w:rPr>
              <w:fldChar w:fldCharType="separate"/>
            </w:r>
            <w:r w:rsidR="00961AF5">
              <w:rPr>
                <w:noProof/>
                <w:webHidden/>
              </w:rPr>
              <w:t>29</w:t>
            </w:r>
            <w:r>
              <w:rPr>
                <w:noProof/>
                <w:webHidden/>
              </w:rPr>
              <w:fldChar w:fldCharType="end"/>
            </w:r>
          </w:hyperlink>
        </w:p>
        <w:p w14:paraId="6A43D9C4" w14:textId="5E5ECDD9" w:rsidR="000E4866" w:rsidRDefault="000E4866">
          <w:pPr>
            <w:pStyle w:val="TOC1"/>
            <w:tabs>
              <w:tab w:val="right" w:leader="dot" w:pos="9530"/>
            </w:tabs>
            <w:rPr>
              <w:rFonts w:asciiTheme="minorHAnsi" w:eastAsiaTheme="minorEastAsia" w:hAnsiTheme="minorHAnsi" w:cstheme="minorBidi"/>
              <w:noProof/>
              <w:kern w:val="2"/>
              <w:sz w:val="24"/>
              <w14:ligatures w14:val="standardContextual"/>
            </w:rPr>
          </w:pPr>
          <w:hyperlink w:anchor="_Toc196219281" w:history="1">
            <w:r w:rsidRPr="003D4EEE">
              <w:rPr>
                <w:rStyle w:val="Hyperlink"/>
                <w:noProof/>
              </w:rPr>
              <w:t>Part V. Fees</w:t>
            </w:r>
            <w:r>
              <w:rPr>
                <w:noProof/>
                <w:webHidden/>
              </w:rPr>
              <w:tab/>
            </w:r>
            <w:r>
              <w:rPr>
                <w:noProof/>
                <w:webHidden/>
              </w:rPr>
              <w:fldChar w:fldCharType="begin"/>
            </w:r>
            <w:r>
              <w:rPr>
                <w:noProof/>
                <w:webHidden/>
              </w:rPr>
              <w:instrText xml:space="preserve"> PAGEREF _Toc196219281 \h </w:instrText>
            </w:r>
            <w:r>
              <w:rPr>
                <w:noProof/>
                <w:webHidden/>
              </w:rPr>
            </w:r>
            <w:r>
              <w:rPr>
                <w:noProof/>
                <w:webHidden/>
              </w:rPr>
              <w:fldChar w:fldCharType="separate"/>
            </w:r>
            <w:r w:rsidR="00961AF5">
              <w:rPr>
                <w:noProof/>
                <w:webHidden/>
              </w:rPr>
              <w:t>31</w:t>
            </w:r>
            <w:r>
              <w:rPr>
                <w:noProof/>
                <w:webHidden/>
              </w:rPr>
              <w:fldChar w:fldCharType="end"/>
            </w:r>
          </w:hyperlink>
        </w:p>
        <w:p w14:paraId="2BB43CEF" w14:textId="1ED04362" w:rsidR="00ED5A3C" w:rsidRDefault="00E312C8" w:rsidP="00E312C8">
          <w:pPr>
            <w:pStyle w:val="Heading1"/>
          </w:pPr>
          <w:r w:rsidRPr="00BC22EA">
            <w:rPr>
              <w:noProof/>
            </w:rPr>
            <w:fldChar w:fldCharType="end"/>
          </w:r>
          <w:r w:rsidR="00DE03BD" w:rsidRPr="00BC22EA">
            <w:br w:type="page"/>
          </w:r>
          <w:bookmarkStart w:id="0" w:name="_Toc419104021"/>
          <w:bookmarkStart w:id="1" w:name="_Toc196219267"/>
          <w:r w:rsidR="000018C8" w:rsidRPr="00BC22EA">
            <w:lastRenderedPageBreak/>
            <w:t>Part I.</w:t>
          </w:r>
          <w:r w:rsidR="007C4A0B" w:rsidRPr="00BC22EA">
            <w:t xml:space="preserve"> </w:t>
          </w:r>
          <w:r w:rsidR="000018C8" w:rsidRPr="00BC22EA">
            <w:t>Definitions</w:t>
          </w:r>
          <w:bookmarkEnd w:id="0"/>
          <w:bookmarkEnd w:id="1"/>
        </w:p>
        <w:p w14:paraId="060EFBAB" w14:textId="798AC017" w:rsidR="00AC3430" w:rsidRPr="00AC3430" w:rsidRDefault="00AC3430" w:rsidP="00400832">
          <w:pPr>
            <w:pStyle w:val="BodyText"/>
          </w:pPr>
          <w:r w:rsidRPr="00E815A7">
            <w:t>All definitions in the Texas Water Code (TWC), §</w:t>
          </w:r>
          <w:r>
            <w:t xml:space="preserve"> </w:t>
          </w:r>
          <w:r w:rsidRPr="00E815A7">
            <w:t xml:space="preserve">26.001 and Title 30 Texas Administrative Code (30 TAC) Chapter 305, </w:t>
          </w:r>
          <w:r w:rsidRPr="00E815A7">
            <w:rPr>
              <w:i/>
            </w:rPr>
            <w:t>Consolidated Permits</w:t>
          </w:r>
          <w:r w:rsidRPr="00E815A7">
            <w:t>, shall apply to this permit and are incorporated by reference. Some specific definitions of words or phrases used in this general permit are as follows:</w:t>
          </w:r>
        </w:p>
        <w:p w14:paraId="3C925F49" w14:textId="77777777" w:rsidR="000018C8" w:rsidRPr="00BC22EA" w:rsidRDefault="000018C8" w:rsidP="00400832">
          <w:pPr>
            <w:pStyle w:val="BodyText"/>
          </w:pPr>
          <w:r w:rsidRPr="00BC22EA">
            <w:rPr>
              <w:rStyle w:val="Strong"/>
            </w:rPr>
            <w:t xml:space="preserve">Associated facilities </w:t>
          </w:r>
          <w:r w:rsidRPr="00BC22EA">
            <w:t>-</w:t>
          </w:r>
          <w:r w:rsidRPr="00BC22EA">
            <w:rPr>
              <w:b/>
              <w:bCs/>
            </w:rPr>
            <w:t xml:space="preserve"> </w:t>
          </w:r>
          <w:r w:rsidRPr="00BC22EA">
            <w:t xml:space="preserve">Facilities </w:t>
          </w:r>
          <w:r w:rsidR="0018515A" w:rsidRPr="00BC22EA">
            <w:t>associated with ready-mixed concrete plants</w:t>
          </w:r>
          <w:r w:rsidR="006C3E20" w:rsidRPr="00BC22EA">
            <w:t>,</w:t>
          </w:r>
          <w:r w:rsidR="0018515A" w:rsidRPr="00BC22EA">
            <w:t xml:space="preserve"> </w:t>
          </w:r>
          <w:r w:rsidR="006C3E20" w:rsidRPr="00BC22EA">
            <w:t xml:space="preserve">including temporary concrete batch plants, </w:t>
          </w:r>
          <w:r w:rsidR="0018515A" w:rsidRPr="00BC22EA">
            <w:t>or concrete product plant</w:t>
          </w:r>
          <w:r w:rsidR="006C3E20" w:rsidRPr="00BC22EA">
            <w:t>s</w:t>
          </w:r>
          <w:r w:rsidR="001C1487" w:rsidRPr="00BC22EA">
            <w:t xml:space="preserve"> and establishments where maintenance and washing of ready-mix vehicles (both interior an</w:t>
          </w:r>
          <w:r w:rsidR="006C3E20" w:rsidRPr="00BC22EA">
            <w:t>d exterior) or equipment occurs.</w:t>
          </w:r>
        </w:p>
        <w:p w14:paraId="565E51C7" w14:textId="2A817124" w:rsidR="00DC5AFB" w:rsidRPr="00BC22EA" w:rsidRDefault="00DC5AFB" w:rsidP="00400832">
          <w:pPr>
            <w:pStyle w:val="BodyText"/>
          </w:pPr>
          <w:r w:rsidRPr="00BC22EA">
            <w:rPr>
              <w:rStyle w:val="Strong"/>
            </w:rPr>
            <w:t xml:space="preserve">Best management practices </w:t>
          </w:r>
          <w:r w:rsidR="00402934" w:rsidRPr="00BC22EA">
            <w:rPr>
              <w:rStyle w:val="Strong"/>
            </w:rPr>
            <w:t xml:space="preserve">(BMPs) </w:t>
          </w:r>
          <w:r w:rsidRPr="00BC22EA">
            <w:t>- Schedule of activities, prohibition of practices, maintenance procedures,</w:t>
          </w:r>
          <w:r w:rsidR="00A7074A">
            <w:t xml:space="preserve"> structural controls,</w:t>
          </w:r>
          <w:r w:rsidRPr="00BC22EA">
            <w:t xml:space="preserve"> and other management practices to prevent or reduce the discharge of pollutants to water in the state. BMPs also include treatment requirements, operating procedures, and practices to control site runoff, spill</w:t>
          </w:r>
          <w:r w:rsidR="00D55420">
            <w:t>age</w:t>
          </w:r>
          <w:r w:rsidRPr="00BC22EA">
            <w:t xml:space="preserve"> or leaks, sludge or waste disposal, drainage from raw material storage, or the abatement of nuisance odors and con</w:t>
          </w:r>
          <w:r w:rsidR="002110D5" w:rsidRPr="00BC22EA">
            <w:t xml:space="preserve">ditions. </w:t>
          </w:r>
          <w:r w:rsidRPr="00BC22EA">
            <w:t>BMPs are those measures that are reasonable and necessary to achieve a performance standard that protects and maintains air and water quality standards as well as existing and potential uses of groundwater.</w:t>
          </w:r>
        </w:p>
        <w:p w14:paraId="7B742C76" w14:textId="06491C87" w:rsidR="000018C8" w:rsidRPr="00BC22EA" w:rsidRDefault="000018C8" w:rsidP="00400832">
          <w:pPr>
            <w:pStyle w:val="BodyText"/>
          </w:pPr>
          <w:r w:rsidRPr="00BC22EA">
            <w:rPr>
              <w:rStyle w:val="Strong"/>
            </w:rPr>
            <w:t>Concrete products plants</w:t>
          </w:r>
          <w:r w:rsidRPr="00BC22EA">
            <w:t xml:space="preserve"> - Facilities primarily engaged in manufacturing concrete products as classified by </w:t>
          </w:r>
          <w:r w:rsidR="00DA50E7" w:rsidRPr="00BC22EA">
            <w:t xml:space="preserve">Standard Industrial </w:t>
          </w:r>
          <w:r w:rsidR="00DA50E7">
            <w:t>Classification (</w:t>
          </w:r>
          <w:r w:rsidRPr="00BC22EA">
            <w:t>SIC</w:t>
          </w:r>
          <w:r w:rsidR="00DA50E7">
            <w:t>)</w:t>
          </w:r>
          <w:r w:rsidRPr="00BC22EA">
            <w:t xml:space="preserve"> Code 3272 and facilities primarily engaged in manufacturing concrete building blocks and bricks from a combination of cement and aggregate as classified by SIC Code 3271.</w:t>
          </w:r>
        </w:p>
        <w:p w14:paraId="32DA9DA9" w14:textId="77777777" w:rsidR="000018C8" w:rsidRPr="00BC22EA" w:rsidRDefault="000018C8" w:rsidP="00400832">
          <w:pPr>
            <w:pStyle w:val="BodyText"/>
          </w:pPr>
          <w:r w:rsidRPr="00BC22EA">
            <w:rPr>
              <w:rStyle w:val="Strong"/>
            </w:rPr>
            <w:t xml:space="preserve">Daily maximum </w:t>
          </w:r>
          <w:r w:rsidRPr="00BC22EA">
            <w:t>-</w:t>
          </w:r>
          <w:r w:rsidRPr="00BC22EA">
            <w:rPr>
              <w:rStyle w:val="Strong"/>
            </w:rPr>
            <w:t xml:space="preserve"> </w:t>
          </w:r>
          <w:r w:rsidRPr="00BC22EA">
            <w:t>The maximum concentration, by grab sample, measured on a single day within a single calendar month.</w:t>
          </w:r>
        </w:p>
        <w:p w14:paraId="07DF1A5D" w14:textId="77777777" w:rsidR="000018C8" w:rsidRPr="00BC22EA" w:rsidRDefault="000018C8" w:rsidP="00400832">
          <w:pPr>
            <w:pStyle w:val="BodyText"/>
          </w:pPr>
          <w:r w:rsidRPr="00BC22EA">
            <w:rPr>
              <w:rStyle w:val="Strong"/>
            </w:rPr>
            <w:t>Discharge</w:t>
          </w:r>
          <w:r w:rsidRPr="00BC22EA">
            <w:t xml:space="preserve"> - Deposit, conduct, drain, emit, throw, run, allow to seep, or otherwise release or dispose of, or to allow, permit, or suffer any of these acts or omissions.</w:t>
          </w:r>
        </w:p>
        <w:p w14:paraId="15031D95" w14:textId="77777777" w:rsidR="000018C8" w:rsidRPr="00BC22EA" w:rsidRDefault="000018C8" w:rsidP="00400832">
          <w:pPr>
            <w:pStyle w:val="BodyText"/>
          </w:pPr>
          <w:r w:rsidRPr="00BC22EA">
            <w:rPr>
              <w:rStyle w:val="Strong"/>
            </w:rPr>
            <w:t xml:space="preserve">Domestic </w:t>
          </w:r>
          <w:r w:rsidR="00D05ADA" w:rsidRPr="00BC22EA">
            <w:rPr>
              <w:rStyle w:val="Strong"/>
            </w:rPr>
            <w:t>s</w:t>
          </w:r>
          <w:r w:rsidRPr="00BC22EA">
            <w:rPr>
              <w:rStyle w:val="Strong"/>
            </w:rPr>
            <w:t>ewage</w:t>
          </w:r>
          <w:r w:rsidRPr="00BC22EA">
            <w:t xml:space="preserve"> - </w:t>
          </w:r>
          <w:r w:rsidR="003F76E6" w:rsidRPr="00BC22EA">
            <w:t>Wastewater which originates primarily from kitchen, bathroom, and laundry sources, including waste from food preparation, dishwashing, garbage grinding, toilets, baths, showers, and sinks</w:t>
          </w:r>
          <w:r w:rsidRPr="00BC22EA">
            <w:t>.</w:t>
          </w:r>
        </w:p>
        <w:p w14:paraId="33928EA8" w14:textId="59B1DCF4" w:rsidR="00750CC6" w:rsidRPr="00BC22EA" w:rsidRDefault="00750CC6" w:rsidP="00400832">
          <w:pPr>
            <w:pStyle w:val="BodyText"/>
          </w:pPr>
          <w:r w:rsidRPr="00BC22EA">
            <w:rPr>
              <w:rStyle w:val="Strong"/>
            </w:rPr>
            <w:t xml:space="preserve">Edwards Aquifer </w:t>
          </w:r>
          <w:r w:rsidRPr="00BC22EA">
            <w:t xml:space="preserve">- As defined </w:t>
          </w:r>
          <w:r w:rsidR="00260A59" w:rsidRPr="00BC22EA">
            <w:t>in</w:t>
          </w:r>
          <w:r w:rsidRPr="00BC22EA">
            <w:t xml:space="preserve"> 30 </w:t>
          </w:r>
          <w:r w:rsidR="0009573B">
            <w:t>TAC</w:t>
          </w:r>
          <w:r w:rsidRPr="00BC22EA">
            <w:t xml:space="preserve"> </w:t>
          </w:r>
          <w:r w:rsidR="00F74BCC" w:rsidRPr="00BC22EA">
            <w:t>§</w:t>
          </w:r>
          <w:r w:rsidR="00D55420">
            <w:t xml:space="preserve"> </w:t>
          </w:r>
          <w:r w:rsidRPr="00BC22EA">
            <w:t>213.3</w:t>
          </w:r>
          <w:r w:rsidR="00D55420">
            <w:t xml:space="preserve"> (relating to the Edwards Aquifer)</w:t>
          </w:r>
          <w:r w:rsidR="00F74BCC" w:rsidRPr="00BC22EA">
            <w:t xml:space="preserve">, </w:t>
          </w:r>
          <w:r w:rsidRPr="00BC22EA">
            <w:t>that portion of an arcuate belt of porous, water-bearing, predominantly carbonate rocks known as the Edwards and Associated Limestones in the Balcones Fault Zone trending from west to east to northeast in Kinney, Uvalde, Medina, Bexar, Comal, Hays, Travis, and Williamson Counties; and composed of the Salmon Peak Limestone, McKnight Formation, West Nueces Formation, Devil</w:t>
          </w:r>
          <w:r w:rsidR="000E53B7" w:rsidRPr="00BC22EA">
            <w:t>'</w:t>
          </w:r>
          <w:r w:rsidRPr="00BC22EA">
            <w:t>s River Limestone, Person Formation, Kainer Formation, Edwards Formation, and Georgetown Formation. The permeable aquifer units generally overlie the less-permeable Glen Rose Formation to the south, overlie the less-permeable Comanche Peak and Walnut Formations north of the Colorado River, and underlie the less-permeable Del Rio Clay regionally.</w:t>
          </w:r>
          <w:r w:rsidR="002338D7">
            <w:t xml:space="preserve"> </w:t>
          </w:r>
          <w:r w:rsidR="005A1737">
            <w:rPr>
              <w:rStyle w:val="Strong"/>
              <w:b w:val="0"/>
              <w:bCs w:val="0"/>
            </w:rPr>
            <w:t>T</w:t>
          </w:r>
          <w:r w:rsidR="005A1737" w:rsidRPr="007B6DBA">
            <w:rPr>
              <w:rStyle w:val="Strong"/>
              <w:b w:val="0"/>
              <w:bCs w:val="0"/>
            </w:rPr>
            <w:t xml:space="preserve">he Edwards Aquifer map viewer </w:t>
          </w:r>
          <w:r w:rsidR="005A1737">
            <w:rPr>
              <w:rStyle w:val="Strong"/>
              <w:b w:val="0"/>
              <w:bCs w:val="0"/>
            </w:rPr>
            <w:t xml:space="preserve">is located </w:t>
          </w:r>
          <w:r w:rsidR="005A1737" w:rsidRPr="007B6DBA">
            <w:rPr>
              <w:rStyle w:val="Strong"/>
              <w:b w:val="0"/>
              <w:bCs w:val="0"/>
            </w:rPr>
            <w:t>at</w:t>
          </w:r>
          <w:r w:rsidR="005A1737">
            <w:rPr>
              <w:rStyle w:val="Strong"/>
              <w:b w:val="0"/>
              <w:bCs w:val="0"/>
            </w:rPr>
            <w:t xml:space="preserve"> </w:t>
          </w:r>
          <w:hyperlink r:id="rId12" w:history="1">
            <w:r w:rsidR="005A1737" w:rsidRPr="007B6DBA">
              <w:rPr>
                <w:rStyle w:val="Hyperlink"/>
              </w:rPr>
              <w:t>https://www.tceq.texas.gov/gis/edwards-viewer.html</w:t>
            </w:r>
          </w:hyperlink>
          <w:r w:rsidR="005A1737">
            <w:rPr>
              <w:rStyle w:val="Strong"/>
              <w:b w:val="0"/>
              <w:bCs w:val="0"/>
            </w:rPr>
            <w:t>.</w:t>
          </w:r>
        </w:p>
        <w:p w14:paraId="18779F58" w14:textId="7A246821" w:rsidR="00750CC6" w:rsidRDefault="00750CC6">
          <w:pPr>
            <w:pStyle w:val="BodyText"/>
          </w:pPr>
          <w:r w:rsidRPr="00BC22EA">
            <w:rPr>
              <w:rStyle w:val="Strong"/>
            </w:rPr>
            <w:t>Edwards Aquifer Recharge Zone</w:t>
          </w:r>
          <w:r w:rsidRPr="00BC22EA">
            <w:t xml:space="preserve"> - Generally, that area where the stratigraphic units constituting the Edwards Aquifer crop out, including the outcrops of other geologic formations in proximity to the Edwards Aquifer, where caves, sinkholes, faults, fractures, or other permeable features would create a potential for recharge of surface waters into the Edwards Aquifer. The recharge zone is identified as that area designated </w:t>
          </w:r>
          <w:r w:rsidRPr="00BC22EA">
            <w:lastRenderedPageBreak/>
            <w:t xml:space="preserve">as such on official maps located in the offices of </w:t>
          </w:r>
          <w:r w:rsidR="002110D5" w:rsidRPr="00BC22EA">
            <w:t>TCEQ</w:t>
          </w:r>
          <w:r w:rsidRPr="00BC22EA">
            <w:t xml:space="preserve"> and the appropriate underground water conservation district(s).</w:t>
          </w:r>
          <w:r w:rsidR="002338D7">
            <w:t xml:space="preserve"> </w:t>
          </w:r>
          <w:r w:rsidR="002338D7" w:rsidRPr="007B6DBA">
            <w:rPr>
              <w:rStyle w:val="Strong"/>
              <w:b w:val="0"/>
              <w:bCs w:val="0"/>
            </w:rPr>
            <w:t xml:space="preserve">The </w:t>
          </w:r>
          <w:r w:rsidR="002338D7">
            <w:rPr>
              <w:rStyle w:val="Strong"/>
              <w:b w:val="0"/>
              <w:bCs w:val="0"/>
            </w:rPr>
            <w:t>recharge</w:t>
          </w:r>
          <w:r w:rsidR="002338D7" w:rsidRPr="007B6DBA">
            <w:rPr>
              <w:rStyle w:val="Strong"/>
              <w:b w:val="0"/>
              <w:bCs w:val="0"/>
            </w:rPr>
            <w:t xml:space="preserve"> zone is illustrated on the Edwards Aquifer map viewer at</w:t>
          </w:r>
          <w:r w:rsidR="002338D7">
            <w:rPr>
              <w:rStyle w:val="Strong"/>
              <w:b w:val="0"/>
              <w:bCs w:val="0"/>
            </w:rPr>
            <w:t xml:space="preserve"> </w:t>
          </w:r>
          <w:hyperlink r:id="rId13" w:history="1">
            <w:r w:rsidR="002338D7" w:rsidRPr="007B6DBA">
              <w:rPr>
                <w:rStyle w:val="Hyperlink"/>
              </w:rPr>
              <w:t>https://www.tceq.texas.gov/gis/edwards-viewer.html</w:t>
            </w:r>
          </w:hyperlink>
          <w:r w:rsidR="002338D7">
            <w:rPr>
              <w:rStyle w:val="Strong"/>
              <w:b w:val="0"/>
              <w:bCs w:val="0"/>
            </w:rPr>
            <w:t>.</w:t>
          </w:r>
        </w:p>
        <w:p w14:paraId="0867B7D4" w14:textId="18D0251C" w:rsidR="008736A6" w:rsidRPr="00BC22EA" w:rsidRDefault="008736A6" w:rsidP="00400832">
          <w:pPr>
            <w:pStyle w:val="BodyText"/>
          </w:pPr>
          <w:r w:rsidRPr="004F6CC7">
            <w:rPr>
              <w:rStyle w:val="Strong"/>
            </w:rPr>
            <w:t xml:space="preserve">Edwards Aquifer Contributing Zone – </w:t>
          </w:r>
          <w:r w:rsidRPr="007B6DBA">
            <w:rPr>
              <w:rStyle w:val="Strong"/>
              <w:b w:val="0"/>
              <w:bCs w:val="0"/>
            </w:rPr>
            <w:t>The area or watershed where runoff from</w:t>
          </w:r>
          <w:r>
            <w:rPr>
              <w:rStyle w:val="Strong"/>
              <w:b w:val="0"/>
              <w:bCs w:val="0"/>
            </w:rPr>
            <w:t xml:space="preserve"> </w:t>
          </w:r>
          <w:r w:rsidRPr="007B6DBA">
            <w:rPr>
              <w:rStyle w:val="Strong"/>
              <w:b w:val="0"/>
              <w:bCs w:val="0"/>
            </w:rPr>
            <w:t>precipitation flows downgradient to the recharge zone of the Edwards Aquifer. The contributing zone is located upstream (upgradient) and generally north and northwest of the recharge zone for the following counties: all areas within Kinney County, except the area within the watershed draining to Segment No. 2304 of the Rio Grande Basin; all areas within Uvalde, Medina, Bexar, and Comal Counties; all areas within Hays and Travis Counties, except the area within the watersheds draining to the Colorado River above a point 1.3 miles upstream from Tom Miller Dam, Lake Austin at the confluence of Barrow Brook Cove, Segment No. 1403 of the Colorado River Basin; and all areas within Williamson County, except the area within the watersheds draining to the Lampasas River above the dam at Stillhouse Hollow reservoir, Segment No. 1216 of the Brazos River Basin. The contributing zone is illustrated on the Edwards Aquifer map viewer at</w:t>
          </w:r>
          <w:r>
            <w:rPr>
              <w:rStyle w:val="Strong"/>
              <w:b w:val="0"/>
              <w:bCs w:val="0"/>
            </w:rPr>
            <w:t xml:space="preserve"> </w:t>
          </w:r>
          <w:hyperlink r:id="rId14" w:history="1">
            <w:r w:rsidRPr="007B6DBA">
              <w:rPr>
                <w:rStyle w:val="Hyperlink"/>
              </w:rPr>
              <w:t>https://www.tceq.texas.gov/gis/edwards-viewer.html</w:t>
            </w:r>
          </w:hyperlink>
          <w:r>
            <w:rPr>
              <w:rStyle w:val="Strong"/>
              <w:b w:val="0"/>
              <w:bCs w:val="0"/>
            </w:rPr>
            <w:t>.</w:t>
          </w:r>
        </w:p>
        <w:p w14:paraId="7FFA791C" w14:textId="68D543E5" w:rsidR="0023146C" w:rsidRDefault="0023146C" w:rsidP="00400832">
          <w:pPr>
            <w:pStyle w:val="BodyText"/>
            <w:rPr>
              <w:rStyle w:val="Strong"/>
            </w:rPr>
          </w:pPr>
          <w:r>
            <w:rPr>
              <w:rStyle w:val="Strong"/>
            </w:rPr>
            <w:t xml:space="preserve">Estimate </w:t>
          </w:r>
          <w:r w:rsidRPr="00BC22EA">
            <w:t xml:space="preserve">- </w:t>
          </w:r>
          <w:r>
            <w:t xml:space="preserve">Generally subjective measurements based on the ability of experienced field staffers to estimate distances, depths, and velocities. Refer to TCEQ’s Surface Water Quality Monitoring Procedures, Volume 1: Physical and Chemical Monitoring Methods at </w:t>
          </w:r>
          <w:hyperlink r:id="rId15" w:history="1">
            <w:r w:rsidRPr="0045123C">
              <w:rPr>
                <w:rStyle w:val="Hyperlink"/>
              </w:rPr>
              <w:t>https://www.tceq.texas.gov/downloads/publications/rg/swqm-procedures-volume-1.pdf</w:t>
            </w:r>
          </w:hyperlink>
          <w:r>
            <w:t xml:space="preserve"> for information on how to estimate flow. </w:t>
          </w:r>
        </w:p>
        <w:p w14:paraId="4028C46B" w14:textId="6B3C3642" w:rsidR="000018C8" w:rsidRPr="00BC22EA" w:rsidRDefault="000018C8" w:rsidP="00400832">
          <w:pPr>
            <w:pStyle w:val="BodyText"/>
          </w:pPr>
          <w:r w:rsidRPr="00BC22EA">
            <w:rPr>
              <w:rStyle w:val="Strong"/>
            </w:rPr>
            <w:t xml:space="preserve">Facility </w:t>
          </w:r>
          <w:r w:rsidRPr="00BC22EA">
            <w:t xml:space="preserve">- Any </w:t>
          </w:r>
          <w:r w:rsidR="0003700A" w:rsidRPr="00BC22EA">
            <w:t>National Pollutant Discharge Elimination System (</w:t>
          </w:r>
          <w:r w:rsidRPr="00BC22EA">
            <w:t>NPDES</w:t>
          </w:r>
          <w:r w:rsidR="0003700A" w:rsidRPr="00BC22EA">
            <w:t>)</w:t>
          </w:r>
          <w:r w:rsidRPr="00BC22EA">
            <w:t xml:space="preserve"> </w:t>
          </w:r>
          <w:r w:rsidR="000E53B7" w:rsidRPr="00BC22EA">
            <w:t>"</w:t>
          </w:r>
          <w:r w:rsidRPr="00BC22EA">
            <w:t xml:space="preserve">point source'' (as defined in 40 </w:t>
          </w:r>
          <w:r w:rsidR="00220AFA" w:rsidRPr="00BC22EA">
            <w:t>Code of Federal Regulations (</w:t>
          </w:r>
          <w:r w:rsidRPr="00BC22EA">
            <w:t>CFR</w:t>
          </w:r>
          <w:r w:rsidR="00220AFA" w:rsidRPr="00BC22EA">
            <w:t>)</w:t>
          </w:r>
          <w:r w:rsidRPr="00BC22EA">
            <w:t xml:space="preserve"> </w:t>
          </w:r>
          <w:r w:rsidR="002110D5" w:rsidRPr="00BC22EA">
            <w:t>§</w:t>
          </w:r>
          <w:r w:rsidRPr="00BC22EA">
            <w:t xml:space="preserve">122.2) or any other facility or activity that is subject to regulation under the </w:t>
          </w:r>
          <w:r w:rsidR="00750CC6" w:rsidRPr="00BC22EA">
            <w:t xml:space="preserve">Texas </w:t>
          </w:r>
          <w:r w:rsidR="00562AA6" w:rsidRPr="00BC22EA">
            <w:t xml:space="preserve">Pollutant </w:t>
          </w:r>
          <w:r w:rsidR="00750CC6" w:rsidRPr="00BC22EA">
            <w:t>Discharge Elimination System (TPDES)</w:t>
          </w:r>
          <w:r w:rsidRPr="00BC22EA">
            <w:t xml:space="preserve"> program.</w:t>
          </w:r>
        </w:p>
        <w:p w14:paraId="7704015A" w14:textId="77777777" w:rsidR="000018C8" w:rsidRPr="00BC22EA" w:rsidRDefault="000018C8" w:rsidP="00400832">
          <w:pPr>
            <w:pStyle w:val="BodyText"/>
          </w:pPr>
          <w:r w:rsidRPr="00BC22EA">
            <w:rPr>
              <w:rStyle w:val="Strong"/>
            </w:rPr>
            <w:t xml:space="preserve">Facility </w:t>
          </w:r>
          <w:r w:rsidR="00D05ADA" w:rsidRPr="00BC22EA">
            <w:rPr>
              <w:rStyle w:val="Strong"/>
            </w:rPr>
            <w:t>w</w:t>
          </w:r>
          <w:r w:rsidRPr="00BC22EA">
            <w:rPr>
              <w:rStyle w:val="Strong"/>
            </w:rPr>
            <w:t>astewater</w:t>
          </w:r>
          <w:r w:rsidRPr="00BC22EA">
            <w:t xml:space="preserve"> - For the purpose of this general permit, any wastewater that is generated at ready-mixed concrete plants, concrete products plants, or associated facilities authorized by this permit, but not including domestic sewage.</w:t>
          </w:r>
        </w:p>
        <w:p w14:paraId="6FB4DAA5" w14:textId="1E0CE115" w:rsidR="000018C8" w:rsidRPr="00BC22EA" w:rsidRDefault="000018C8" w:rsidP="00400832">
          <w:pPr>
            <w:pStyle w:val="BodyText"/>
          </w:pPr>
          <w:r w:rsidRPr="00BC22EA">
            <w:rPr>
              <w:rStyle w:val="Strong"/>
            </w:rPr>
            <w:t>General permit</w:t>
          </w:r>
          <w:r w:rsidRPr="00BC22EA">
            <w:t xml:space="preserve"> - A permit issued under the provisions of 30 </w:t>
          </w:r>
          <w:r w:rsidR="00220AFA" w:rsidRPr="00BC22EA">
            <w:t>TAC</w:t>
          </w:r>
          <w:r w:rsidRPr="00BC22EA">
            <w:t xml:space="preserve"> Chapter 205</w:t>
          </w:r>
          <w:r w:rsidRPr="00BC22EA">
            <w:rPr>
              <w:i/>
            </w:rPr>
            <w:t xml:space="preserve">, </w:t>
          </w:r>
          <w:r w:rsidR="00797909" w:rsidRPr="00BC22EA">
            <w:rPr>
              <w:i/>
            </w:rPr>
            <w:t xml:space="preserve">General Permits for Waste Discharges, </w:t>
          </w:r>
          <w:r w:rsidRPr="00BC22EA">
            <w:t xml:space="preserve">authorizing the discharge of waste into or adjacent to water in the state for one or more categories of waste discharge within a geographical area of the state or the entire state as provided by </w:t>
          </w:r>
          <w:r w:rsidR="00B335B5" w:rsidRPr="00BC22EA">
            <w:t>TWC</w:t>
          </w:r>
          <w:r w:rsidRPr="00BC22EA">
            <w:t xml:space="preserve"> </w:t>
          </w:r>
          <w:r w:rsidR="000E53B7" w:rsidRPr="00BC22EA">
            <w:t>§</w:t>
          </w:r>
          <w:r w:rsidR="00D55420">
            <w:t xml:space="preserve"> </w:t>
          </w:r>
          <w:r w:rsidRPr="00BC22EA">
            <w:t>26.040</w:t>
          </w:r>
          <w:r w:rsidR="00797909" w:rsidRPr="00BC22EA">
            <w:t xml:space="preserve">, </w:t>
          </w:r>
          <w:r w:rsidR="00797909" w:rsidRPr="00BC22EA">
            <w:rPr>
              <w:i/>
            </w:rPr>
            <w:t>General Permits</w:t>
          </w:r>
          <w:r w:rsidRPr="00BC22EA">
            <w:t>.</w:t>
          </w:r>
        </w:p>
        <w:p w14:paraId="0834DD03" w14:textId="77777777" w:rsidR="000018C8" w:rsidRPr="00BC22EA" w:rsidRDefault="000018C8" w:rsidP="00400832">
          <w:pPr>
            <w:pStyle w:val="BodyText"/>
          </w:pPr>
          <w:r w:rsidRPr="00BC22EA">
            <w:rPr>
              <w:rStyle w:val="Strong"/>
            </w:rPr>
            <w:t>Grab sample</w:t>
          </w:r>
          <w:r w:rsidRPr="00BC22EA">
            <w:t xml:space="preserve"> - An individual sample collected in less than 15 minutes.</w:t>
          </w:r>
        </w:p>
        <w:p w14:paraId="6F0F734F" w14:textId="77777777" w:rsidR="00657987" w:rsidRPr="00BC22EA" w:rsidRDefault="000018C8" w:rsidP="00400832">
          <w:pPr>
            <w:pStyle w:val="BodyText"/>
          </w:pPr>
          <w:r w:rsidRPr="00BC22EA">
            <w:rPr>
              <w:rStyle w:val="Strong"/>
            </w:rPr>
            <w:t xml:space="preserve">Inactive </w:t>
          </w:r>
          <w:r w:rsidR="00E71C4B" w:rsidRPr="00BC22EA">
            <w:rPr>
              <w:rStyle w:val="Strong"/>
            </w:rPr>
            <w:t>i</w:t>
          </w:r>
          <w:r w:rsidRPr="00BC22EA">
            <w:rPr>
              <w:rStyle w:val="Strong"/>
            </w:rPr>
            <w:t xml:space="preserve">ndustrial </w:t>
          </w:r>
          <w:r w:rsidR="00E71C4B" w:rsidRPr="00BC22EA">
            <w:rPr>
              <w:rStyle w:val="Strong"/>
            </w:rPr>
            <w:t>f</w:t>
          </w:r>
          <w:r w:rsidRPr="00BC22EA">
            <w:rPr>
              <w:rStyle w:val="Strong"/>
            </w:rPr>
            <w:t>acilit</w:t>
          </w:r>
          <w:r w:rsidR="00E736A8" w:rsidRPr="00BC22EA">
            <w:rPr>
              <w:rStyle w:val="Strong"/>
            </w:rPr>
            <w:t>y (or inactive status)</w:t>
          </w:r>
          <w:r w:rsidRPr="00BC22EA">
            <w:t xml:space="preserve"> - A facility </w:t>
          </w:r>
          <w:r w:rsidR="00657987" w:rsidRPr="00BC22EA">
            <w:t>where all industrial activities are suspended</w:t>
          </w:r>
          <w:r w:rsidRPr="00BC22EA">
            <w:t xml:space="preserve"> </w:t>
          </w:r>
          <w:r w:rsidR="00657987" w:rsidRPr="00BC22EA">
            <w:t>and</w:t>
          </w:r>
          <w:r w:rsidRPr="00BC22EA">
            <w:t xml:space="preserve"> no industrial materials or activities are exposed to </w:t>
          </w:r>
          <w:r w:rsidR="006E6F08" w:rsidRPr="00BC22EA">
            <w:t>stormwater</w:t>
          </w:r>
          <w:r w:rsidRPr="00BC22EA">
            <w:t>.</w:t>
          </w:r>
        </w:p>
        <w:p w14:paraId="3EC798E2" w14:textId="77777777" w:rsidR="00E71C4B" w:rsidRPr="00BC22EA" w:rsidRDefault="00E71C4B" w:rsidP="00400832">
          <w:pPr>
            <w:pStyle w:val="BodyText"/>
          </w:pPr>
          <w:r w:rsidRPr="00BC22EA">
            <w:rPr>
              <w:rStyle w:val="Strong"/>
            </w:rPr>
            <w:t xml:space="preserve">Monthly average </w:t>
          </w:r>
          <w:r w:rsidRPr="00BC22EA">
            <w:t xml:space="preserve">- The arithmetic average of results of analyses for a parameter from a minimum of four samples of the discharges that occur in a single calendar month. When results of analyses of four samples are not available in a single calendar month, the arithmetic average of the most recent results, not to exceed four, must be reported as the </w:t>
          </w:r>
          <w:r w:rsidR="00E736A8" w:rsidRPr="00BC22EA">
            <w:t>monthly</w:t>
          </w:r>
          <w:r w:rsidRPr="00BC22EA">
            <w:t xml:space="preserve"> average concentration.</w:t>
          </w:r>
        </w:p>
        <w:p w14:paraId="0A40E142" w14:textId="77777777" w:rsidR="002110D5" w:rsidRPr="00BC22EA" w:rsidRDefault="000018C8" w:rsidP="00400832">
          <w:pPr>
            <w:pStyle w:val="BodyText"/>
          </w:pPr>
          <w:r w:rsidRPr="00BC22EA">
            <w:rPr>
              <w:rStyle w:val="Strong"/>
            </w:rPr>
            <w:t xml:space="preserve">Municipal separate storm sewer system (MS4) </w:t>
          </w:r>
          <w:r w:rsidRPr="00BC22EA">
            <w:t xml:space="preserve">- A conveyance or system of conveyances (including roads with drainage systems, municipal streets, catch basins, curbs, gutters, ditches, man-made channels, or storm drains): </w:t>
          </w:r>
        </w:p>
        <w:p w14:paraId="760E5B91" w14:textId="62171177" w:rsidR="00B65278" w:rsidRPr="00BC22EA" w:rsidRDefault="00220AFA" w:rsidP="00400832">
          <w:pPr>
            <w:pStyle w:val="ListNumber"/>
          </w:pPr>
          <w:r w:rsidRPr="00BC22EA">
            <w:t>o</w:t>
          </w:r>
          <w:r w:rsidR="000018C8" w:rsidRPr="00BC22EA">
            <w:t xml:space="preserve">wned or operated by the United States, a state, city, town, borough, county, </w:t>
          </w:r>
          <w:r w:rsidR="002970A6">
            <w:t xml:space="preserve">parish, </w:t>
          </w:r>
          <w:r w:rsidR="000018C8" w:rsidRPr="00BC22EA">
            <w:t xml:space="preserve">district, association, or other public body (created by or pursuant to </w:t>
          </w:r>
          <w:r w:rsidR="00261C25" w:rsidRPr="00BC22EA">
            <w:t xml:space="preserve">state </w:t>
          </w:r>
          <w:r w:rsidR="000018C8" w:rsidRPr="00BC22EA">
            <w:t xml:space="preserve">law) having </w:t>
          </w:r>
          <w:r w:rsidR="000018C8" w:rsidRPr="00BC22EA">
            <w:lastRenderedPageBreak/>
            <w:t xml:space="preserve">jurisdiction over disposal of sewage, industrial wastes, </w:t>
          </w:r>
          <w:r w:rsidR="006E6F08" w:rsidRPr="00BC22EA">
            <w:t>stormwater</w:t>
          </w:r>
          <w:r w:rsidR="000018C8" w:rsidRPr="00BC22EA">
            <w:t xml:space="preserve">, or other wastes, including special districts under </w:t>
          </w:r>
          <w:r w:rsidR="00261C25" w:rsidRPr="00BC22EA">
            <w:t xml:space="preserve">state </w:t>
          </w:r>
          <w:r w:rsidR="000018C8" w:rsidRPr="00BC22EA">
            <w:t xml:space="preserve">law such as a sewer district, flood control district or drainage district, or similar entity, or an Indian tribe or an authorized Indian tribal organization, or a designated and approved management agency under </w:t>
          </w:r>
          <w:r w:rsidRPr="00BC22EA">
            <w:t>Clean Water Act (</w:t>
          </w:r>
          <w:r w:rsidR="000018C8" w:rsidRPr="00BC22EA">
            <w:t>CWA</w:t>
          </w:r>
          <w:r w:rsidRPr="00BC22EA">
            <w:t>)</w:t>
          </w:r>
          <w:r w:rsidR="00261C25" w:rsidRPr="00BC22EA">
            <w:t xml:space="preserve"> §208</w:t>
          </w:r>
          <w:r w:rsidR="002970A6" w:rsidRPr="002970A6">
            <w:t xml:space="preserve"> that discharges to surface water in the state</w:t>
          </w:r>
          <w:r w:rsidR="000018C8" w:rsidRPr="00BC22EA">
            <w:t xml:space="preserve">; </w:t>
          </w:r>
        </w:p>
        <w:p w14:paraId="1FDBCB87" w14:textId="77777777" w:rsidR="00B65278" w:rsidRPr="00BC22EA" w:rsidRDefault="00220AFA" w:rsidP="00400832">
          <w:pPr>
            <w:pStyle w:val="ListNumber"/>
          </w:pPr>
          <w:r w:rsidRPr="00BC22EA">
            <w:t>d</w:t>
          </w:r>
          <w:r w:rsidR="000018C8" w:rsidRPr="00BC22EA">
            <w:t xml:space="preserve">esigned or used for collecting or conveying </w:t>
          </w:r>
          <w:r w:rsidR="006E6F08" w:rsidRPr="00BC22EA">
            <w:t>stormwater</w:t>
          </w:r>
          <w:r w:rsidR="000018C8" w:rsidRPr="00BC22EA">
            <w:t xml:space="preserve">; </w:t>
          </w:r>
        </w:p>
        <w:p w14:paraId="4E1BCBA4" w14:textId="77777777" w:rsidR="00B65278" w:rsidRPr="00BC22EA" w:rsidRDefault="00220AFA" w:rsidP="00400832">
          <w:pPr>
            <w:pStyle w:val="ListNumber"/>
          </w:pPr>
          <w:r w:rsidRPr="00BC22EA">
            <w:t>w</w:t>
          </w:r>
          <w:r w:rsidR="000018C8" w:rsidRPr="00BC22EA">
            <w:t>hich is not a combined sewer; and</w:t>
          </w:r>
        </w:p>
        <w:p w14:paraId="1B602500" w14:textId="77777777" w:rsidR="00B65278" w:rsidRPr="00BC22EA" w:rsidRDefault="00220AFA" w:rsidP="00400832">
          <w:pPr>
            <w:pStyle w:val="ListNumber"/>
          </w:pPr>
          <w:r w:rsidRPr="00BC22EA">
            <w:t>w</w:t>
          </w:r>
          <w:r w:rsidR="000018C8" w:rsidRPr="00BC22EA">
            <w:t xml:space="preserve">hich is not part of a publicly owned treatment works (POTW) as defined at 40 CFR </w:t>
          </w:r>
          <w:r w:rsidR="00770878" w:rsidRPr="00BC22EA">
            <w:t>§</w:t>
          </w:r>
          <w:r w:rsidR="000018C8" w:rsidRPr="00BC22EA">
            <w:t>122.2</w:t>
          </w:r>
          <w:r w:rsidR="00402934" w:rsidRPr="00BC22EA">
            <w:t>.</w:t>
          </w:r>
          <w:r w:rsidR="007C4A0B" w:rsidRPr="00BC22EA">
            <w:t xml:space="preserve"> </w:t>
          </w:r>
        </w:p>
        <w:p w14:paraId="52784358" w14:textId="61BBC667" w:rsidR="000018C8" w:rsidRPr="00BC22EA" w:rsidRDefault="000453B8" w:rsidP="00400832">
          <w:pPr>
            <w:pStyle w:val="BodyText"/>
          </w:pPr>
          <w:r w:rsidRPr="00BC22EA">
            <w:rPr>
              <w:rStyle w:val="Strong"/>
            </w:rPr>
            <w:t>Notice of C</w:t>
          </w:r>
          <w:r w:rsidR="000018C8" w:rsidRPr="00BC22EA">
            <w:rPr>
              <w:rStyle w:val="Strong"/>
            </w:rPr>
            <w:t>hange</w:t>
          </w:r>
          <w:r w:rsidR="00402934" w:rsidRPr="00BC22EA">
            <w:rPr>
              <w:rStyle w:val="Strong"/>
            </w:rPr>
            <w:t xml:space="preserve"> (</w:t>
          </w:r>
          <w:r w:rsidR="000018C8" w:rsidRPr="00BC22EA">
            <w:rPr>
              <w:rStyle w:val="Strong"/>
            </w:rPr>
            <w:t>NOC</w:t>
          </w:r>
          <w:r w:rsidR="00402934" w:rsidRPr="00BC22EA">
            <w:rPr>
              <w:rStyle w:val="Strong"/>
            </w:rPr>
            <w:t>)</w:t>
          </w:r>
          <w:r w:rsidR="000018C8" w:rsidRPr="00BC22EA">
            <w:rPr>
              <w:rStyle w:val="Strong"/>
            </w:rPr>
            <w:t xml:space="preserve"> </w:t>
          </w:r>
          <w:r w:rsidR="000018C8" w:rsidRPr="00BC22EA">
            <w:t xml:space="preserve">- A written submission to the executive director from a permittee authorized under </w:t>
          </w:r>
          <w:r w:rsidR="00834FF1">
            <w:t>this</w:t>
          </w:r>
          <w:r w:rsidR="000018C8" w:rsidRPr="00BC22EA">
            <w:t xml:space="preserve"> general permit, providing information on changes to information previously provided to the </w:t>
          </w:r>
          <w:r w:rsidR="00B65278" w:rsidRPr="00BC22EA">
            <w:t>executive director</w:t>
          </w:r>
          <w:r w:rsidR="000018C8" w:rsidRPr="00BC22EA">
            <w:t xml:space="preserve"> </w:t>
          </w:r>
          <w:r w:rsidR="00025B5E">
            <w:t xml:space="preserve">in a notice of intent form </w:t>
          </w:r>
          <w:r w:rsidR="000018C8" w:rsidRPr="00BC22EA">
            <w:t>or any changes with respect to the nature or operations of the facility or the characteristics of the discharge.</w:t>
          </w:r>
        </w:p>
        <w:p w14:paraId="6ABC78B5" w14:textId="282888FF" w:rsidR="009E6CF7" w:rsidRPr="00BC22EA" w:rsidRDefault="000453B8" w:rsidP="00400832">
          <w:pPr>
            <w:pStyle w:val="BodyText"/>
          </w:pPr>
          <w:r w:rsidRPr="00BC22EA">
            <w:rPr>
              <w:rStyle w:val="Strong"/>
            </w:rPr>
            <w:t>Notice of I</w:t>
          </w:r>
          <w:r w:rsidR="000018C8" w:rsidRPr="00BC22EA">
            <w:rPr>
              <w:rStyle w:val="Strong"/>
            </w:rPr>
            <w:t>ntent</w:t>
          </w:r>
          <w:r w:rsidR="00402934" w:rsidRPr="00BC22EA">
            <w:rPr>
              <w:rStyle w:val="Strong"/>
            </w:rPr>
            <w:t xml:space="preserve"> (</w:t>
          </w:r>
          <w:r w:rsidR="000018C8" w:rsidRPr="00BC22EA">
            <w:rPr>
              <w:rStyle w:val="Strong"/>
            </w:rPr>
            <w:t>NOI</w:t>
          </w:r>
          <w:r w:rsidR="00402934" w:rsidRPr="00BC22EA">
            <w:rPr>
              <w:rStyle w:val="Strong"/>
            </w:rPr>
            <w:t>)</w:t>
          </w:r>
          <w:r w:rsidR="000018C8" w:rsidRPr="00BC22EA">
            <w:t xml:space="preserve"> - A written submission to the executive director from an applicant </w:t>
          </w:r>
          <w:r w:rsidR="00903B9A">
            <w:t>request</w:t>
          </w:r>
          <w:r w:rsidR="00402934" w:rsidRPr="00BC22EA">
            <w:t xml:space="preserve">ing </w:t>
          </w:r>
          <w:r w:rsidR="000C0FEE">
            <w:t>authorization</w:t>
          </w:r>
          <w:r w:rsidR="000018C8" w:rsidRPr="00BC22EA">
            <w:t xml:space="preserve"> under th</w:t>
          </w:r>
          <w:r w:rsidR="00903B9A">
            <w:t>is</w:t>
          </w:r>
          <w:r w:rsidR="000018C8" w:rsidRPr="00BC22EA">
            <w:t xml:space="preserve"> general permit.</w:t>
          </w:r>
        </w:p>
        <w:p w14:paraId="5B6FAD9D" w14:textId="7A46349F" w:rsidR="000018C8" w:rsidRPr="00BC22EA" w:rsidRDefault="000453B8" w:rsidP="00400832">
          <w:pPr>
            <w:pStyle w:val="BodyText"/>
          </w:pPr>
          <w:r w:rsidRPr="00BC22EA">
            <w:rPr>
              <w:rStyle w:val="Strong"/>
            </w:rPr>
            <w:t>Notice of T</w:t>
          </w:r>
          <w:r w:rsidR="000018C8" w:rsidRPr="00BC22EA">
            <w:rPr>
              <w:rStyle w:val="Strong"/>
            </w:rPr>
            <w:t xml:space="preserve">ermination </w:t>
          </w:r>
          <w:r w:rsidR="00402934" w:rsidRPr="00BC22EA">
            <w:rPr>
              <w:rStyle w:val="Strong"/>
            </w:rPr>
            <w:t>(</w:t>
          </w:r>
          <w:r w:rsidR="000018C8" w:rsidRPr="00BC22EA">
            <w:rPr>
              <w:rStyle w:val="Strong"/>
            </w:rPr>
            <w:t>NOT</w:t>
          </w:r>
          <w:r w:rsidR="00402934" w:rsidRPr="00BC22EA">
            <w:rPr>
              <w:rStyle w:val="Strong"/>
            </w:rPr>
            <w:t>)</w:t>
          </w:r>
          <w:r w:rsidR="000018C8" w:rsidRPr="00BC22EA">
            <w:t xml:space="preserve"> - A written submission to the executive director from a permittee authorized under </w:t>
          </w:r>
          <w:r w:rsidR="004728E0">
            <w:t>this</w:t>
          </w:r>
          <w:r w:rsidR="000018C8" w:rsidRPr="00BC22EA">
            <w:t xml:space="preserve"> general permit</w:t>
          </w:r>
          <w:r w:rsidR="006202C9">
            <w:t xml:space="preserve"> requesting termination of </w:t>
          </w:r>
          <w:r w:rsidR="000C0FEE">
            <w:t>authorization</w:t>
          </w:r>
          <w:r w:rsidR="000018C8" w:rsidRPr="00BC22EA">
            <w:t>.</w:t>
          </w:r>
        </w:p>
        <w:p w14:paraId="66645585" w14:textId="77777777" w:rsidR="000018C8" w:rsidRPr="00BC22EA" w:rsidRDefault="000018C8" w:rsidP="00400832">
          <w:pPr>
            <w:pStyle w:val="BodyText"/>
          </w:pPr>
          <w:r w:rsidRPr="00BC22EA">
            <w:rPr>
              <w:rStyle w:val="Strong"/>
            </w:rPr>
            <w:t>Operator</w:t>
          </w:r>
          <w:r w:rsidRPr="00BC22EA">
            <w:t xml:space="preserve"> - The person responsible for the overall operation of a facility.</w:t>
          </w:r>
        </w:p>
        <w:p w14:paraId="3231C854" w14:textId="77777777" w:rsidR="000018C8" w:rsidRPr="00BC22EA" w:rsidRDefault="000018C8" w:rsidP="00400832">
          <w:pPr>
            <w:pStyle w:val="BodyText"/>
          </w:pPr>
          <w:r w:rsidRPr="00BC22EA">
            <w:rPr>
              <w:rStyle w:val="Strong"/>
            </w:rPr>
            <w:t>Owner</w:t>
          </w:r>
          <w:r w:rsidRPr="00BC22EA">
            <w:t xml:space="preserve"> - The person who owns a facility or part of a facility.</w:t>
          </w:r>
          <w:r w:rsidR="007C4A0B" w:rsidRPr="00BC22EA">
            <w:t xml:space="preserve"> </w:t>
          </w:r>
        </w:p>
        <w:p w14:paraId="3ADEFF67" w14:textId="6313E813" w:rsidR="000018C8" w:rsidRPr="00BC22EA" w:rsidRDefault="000018C8" w:rsidP="00400832">
          <w:pPr>
            <w:pStyle w:val="BodyText"/>
          </w:pPr>
          <w:r w:rsidRPr="00BC22EA">
            <w:rPr>
              <w:rStyle w:val="Strong"/>
            </w:rPr>
            <w:t>Permittee</w:t>
          </w:r>
          <w:r w:rsidRPr="00BC22EA">
            <w:t xml:space="preserve"> - Any person </w:t>
          </w:r>
          <w:r w:rsidR="00B335B5" w:rsidRPr="00BC22EA">
            <w:t>authorized</w:t>
          </w:r>
          <w:r w:rsidRPr="00BC22EA">
            <w:t xml:space="preserve"> by </w:t>
          </w:r>
          <w:r w:rsidR="00883670">
            <w:t>this</w:t>
          </w:r>
          <w:r w:rsidRPr="00BC22EA">
            <w:t xml:space="preserve"> general permit</w:t>
          </w:r>
          <w:r w:rsidR="000B041E">
            <w:t xml:space="preserve"> or </w:t>
          </w:r>
          <w:r w:rsidR="000B041E" w:rsidRPr="00BC22EA">
            <w:t>issued an individual permit or order</w:t>
          </w:r>
          <w:r w:rsidRPr="00BC22EA">
            <w:t>.</w:t>
          </w:r>
        </w:p>
        <w:p w14:paraId="17F8F7CC" w14:textId="6595133B" w:rsidR="000018C8" w:rsidRPr="00BC22EA" w:rsidRDefault="000018C8" w:rsidP="00400832">
          <w:pPr>
            <w:pStyle w:val="BodyText"/>
          </w:pPr>
          <w:r w:rsidRPr="00BC22EA">
            <w:rPr>
              <w:rStyle w:val="Strong"/>
            </w:rPr>
            <w:t>Ready-mixed concrete plants</w:t>
          </w:r>
          <w:r w:rsidRPr="00BC22EA">
            <w:t xml:space="preserve"> - Facilities, including temporary concrete batch plants, primarily engaged in mixing and delivering ready-mixed concrete as classified by SIC </w:t>
          </w:r>
          <w:r w:rsidR="00883670">
            <w:t xml:space="preserve">Code </w:t>
          </w:r>
          <w:r w:rsidRPr="00BC22EA">
            <w:t>3273.</w:t>
          </w:r>
        </w:p>
        <w:p w14:paraId="45471DBB" w14:textId="0DBB0529" w:rsidR="000018C8" w:rsidRPr="00BC22EA" w:rsidRDefault="006E6F08" w:rsidP="00400832">
          <w:pPr>
            <w:pStyle w:val="BodyText"/>
          </w:pPr>
          <w:r w:rsidRPr="00BC22EA">
            <w:rPr>
              <w:rStyle w:val="Strong"/>
            </w:rPr>
            <w:t>Stormwater</w:t>
          </w:r>
          <w:r w:rsidR="000018C8" w:rsidRPr="00BC22EA">
            <w:rPr>
              <w:rStyle w:val="Strong"/>
            </w:rPr>
            <w:t xml:space="preserve"> </w:t>
          </w:r>
          <w:r w:rsidR="00E71C4B" w:rsidRPr="00BC22EA">
            <w:rPr>
              <w:rStyle w:val="Strong"/>
            </w:rPr>
            <w:t>d</w:t>
          </w:r>
          <w:r w:rsidR="000018C8" w:rsidRPr="00BC22EA">
            <w:rPr>
              <w:rStyle w:val="Strong"/>
            </w:rPr>
            <w:t xml:space="preserve">ischarge </w:t>
          </w:r>
          <w:r w:rsidR="00E71C4B" w:rsidRPr="00BC22EA">
            <w:rPr>
              <w:rStyle w:val="Strong"/>
            </w:rPr>
            <w:t>a</w:t>
          </w:r>
          <w:r w:rsidR="000018C8" w:rsidRPr="00BC22EA">
            <w:rPr>
              <w:rStyle w:val="Strong"/>
            </w:rPr>
            <w:t xml:space="preserve">ssociated with </w:t>
          </w:r>
          <w:r w:rsidR="00E71C4B" w:rsidRPr="00BC22EA">
            <w:rPr>
              <w:rStyle w:val="Strong"/>
            </w:rPr>
            <w:t>i</w:t>
          </w:r>
          <w:r w:rsidR="000018C8" w:rsidRPr="00BC22EA">
            <w:rPr>
              <w:rStyle w:val="Strong"/>
            </w:rPr>
            <w:t xml:space="preserve">ndustrial </w:t>
          </w:r>
          <w:r w:rsidR="00E71C4B" w:rsidRPr="00BC22EA">
            <w:rPr>
              <w:rStyle w:val="Strong"/>
            </w:rPr>
            <w:t>a</w:t>
          </w:r>
          <w:r w:rsidR="000018C8" w:rsidRPr="00BC22EA">
            <w:rPr>
              <w:rStyle w:val="Strong"/>
            </w:rPr>
            <w:t>ctivities</w:t>
          </w:r>
          <w:r w:rsidR="000018C8" w:rsidRPr="00BC22EA">
            <w:t xml:space="preserve"> - The discharge from any conveyance that is used for collecting and conveying </w:t>
          </w:r>
          <w:r w:rsidRPr="00BC22EA">
            <w:t>stormwater</w:t>
          </w:r>
          <w:r w:rsidR="000018C8" w:rsidRPr="00BC22EA">
            <w:t xml:space="preserve"> and that is directly related to manufacturing, processing</w:t>
          </w:r>
          <w:r w:rsidR="000453B8" w:rsidRPr="00BC22EA">
            <w:t>,</w:t>
          </w:r>
          <w:r w:rsidR="000018C8" w:rsidRPr="00BC22EA">
            <w:t xml:space="preserve"> or raw materials storage areas at an industrial plant. The term includes</w:t>
          </w:r>
          <w:r w:rsidR="000453B8" w:rsidRPr="00BC22EA">
            <w:t>,</w:t>
          </w:r>
          <w:r w:rsidR="000018C8" w:rsidRPr="00BC22EA">
            <w:t xml:space="preserve"> but is not limited to, </w:t>
          </w:r>
          <w:r w:rsidRPr="00BC22EA">
            <w:t>stormwater</w:t>
          </w:r>
          <w:r w:rsidR="000018C8" w:rsidRPr="00BC22EA">
            <w:t xml:space="preserve"> discharges from storage areas for raw materials, and intermediate and final products and areas where industrial activity has taken place in the past and significant materials remain and are exposed to </w:t>
          </w:r>
          <w:r w:rsidRPr="00BC22EA">
            <w:t>stormwater</w:t>
          </w:r>
          <w:r w:rsidR="000018C8" w:rsidRPr="00BC22EA">
            <w:t>. The term excludes areas located on plant lands separate from the plant</w:t>
          </w:r>
          <w:r w:rsidR="00BB6F0D" w:rsidRPr="00BC22EA">
            <w:t>'</w:t>
          </w:r>
          <w:r w:rsidR="000018C8" w:rsidRPr="00BC22EA">
            <w:t xml:space="preserve">s industrial activities, such as office buildings and accompanying parking lots as long as the drainage from the excluded areas is not mixed with </w:t>
          </w:r>
          <w:r w:rsidRPr="00BC22EA">
            <w:t>stormwater</w:t>
          </w:r>
          <w:r w:rsidR="000018C8" w:rsidRPr="00BC22EA">
            <w:t xml:space="preserve"> drained from the above</w:t>
          </w:r>
          <w:r w:rsidR="00C45682">
            <w:t>-</w:t>
          </w:r>
          <w:r w:rsidR="000018C8" w:rsidRPr="00BC22EA">
            <w:t>described areas.</w:t>
          </w:r>
        </w:p>
        <w:p w14:paraId="544C79DB" w14:textId="77777777" w:rsidR="000018C8" w:rsidRPr="00BC22EA" w:rsidRDefault="000018C8" w:rsidP="00400832">
          <w:pPr>
            <w:pStyle w:val="BodyText"/>
          </w:pPr>
          <w:r w:rsidRPr="00BC22EA">
            <w:rPr>
              <w:rStyle w:val="Strong"/>
            </w:rPr>
            <w:t>Texas Pollutant Discharge Elimination System (TPDES)</w:t>
          </w:r>
          <w:r w:rsidRPr="00BC22EA">
            <w:t xml:space="preserve"> - The state program for issuing, amending, terminating, monitoring, and enforcing permits, and imposing and enforcing pretreatment requirements, under </w:t>
          </w:r>
          <w:r w:rsidR="00F74BCC" w:rsidRPr="00BC22EA">
            <w:t>CWA</w:t>
          </w:r>
          <w:r w:rsidRPr="00BC22EA">
            <w:t xml:space="preserve"> </w:t>
          </w:r>
          <w:r w:rsidR="00770878" w:rsidRPr="00BC22EA">
            <w:t>§</w:t>
          </w:r>
          <w:r w:rsidR="00B3383F" w:rsidRPr="00BC22EA">
            <w:t>§</w:t>
          </w:r>
          <w:r w:rsidRPr="00BC22EA">
            <w:t xml:space="preserve">307, 402, 318 and 405, the </w:t>
          </w:r>
          <w:r w:rsidR="00F74BCC" w:rsidRPr="00BC22EA">
            <w:t>TWC</w:t>
          </w:r>
          <w:r w:rsidRPr="00BC22EA">
            <w:t xml:space="preserve">, and </w:t>
          </w:r>
          <w:r w:rsidR="00F74BCC" w:rsidRPr="00BC22EA">
            <w:t>TAC</w:t>
          </w:r>
          <w:r w:rsidRPr="00BC22EA">
            <w:t xml:space="preserve"> regulations.</w:t>
          </w:r>
        </w:p>
        <w:p w14:paraId="14EBA81E" w14:textId="77777777" w:rsidR="00220AFA" w:rsidRPr="00BC22EA" w:rsidRDefault="00220AFA" w:rsidP="00400832">
          <w:pPr>
            <w:pStyle w:val="BodyText"/>
            <w:rPr>
              <w:rStyle w:val="Strong"/>
            </w:rPr>
          </w:pPr>
          <w:r w:rsidRPr="00BC22EA">
            <w:rPr>
              <w:b/>
            </w:rPr>
            <w:t xml:space="preserve">Total Maximum Daily Load (TMDL) </w:t>
          </w:r>
          <w:r w:rsidRPr="00400832">
            <w:rPr>
              <w:bCs/>
            </w:rPr>
            <w:t>-</w:t>
          </w:r>
          <w:r w:rsidRPr="00BC22EA">
            <w:t xml:space="preserve"> The maximum amount of a pollutant that a lake, river, stream, or estuary can receive without seriously harming its beneficial uses. Also, a detailed water quality assessment that provides the scientific foundation for a </w:t>
          </w:r>
          <w:r w:rsidRPr="00BC22EA">
            <w:lastRenderedPageBreak/>
            <w:t>watershed action plan. A watershed action plan outlines the steps necessary to reduce pollutant loads in a certain body of water to restore and maintain uses or aquatic life.</w:t>
          </w:r>
        </w:p>
        <w:p w14:paraId="2F9D4D68" w14:textId="5AC1AAB8" w:rsidR="005A6AE5" w:rsidRDefault="000018C8" w:rsidP="000A1D30">
          <w:r w:rsidRPr="00BC22EA">
            <w:rPr>
              <w:rStyle w:val="Strong"/>
            </w:rPr>
            <w:t>Water in the state</w:t>
          </w:r>
          <w:r w:rsidRPr="00BC22EA">
            <w:t xml:space="preserve"> - Groundwater, percolating or otherwise, lakes, bays, ponds, impounding reservoirs, springs, rivers, streams, creeks, estuaries, wetlands, marshes, inlets, canals, the Gulf of </w:t>
          </w:r>
          <w:r w:rsidR="00AC3430">
            <w:t>America</w:t>
          </w:r>
          <w:r w:rsidRPr="00BC22EA">
            <w:t>, inside the territorial limits of the state,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w:t>
          </w:r>
        </w:p>
        <w:p w14:paraId="0DB6474C" w14:textId="055EBDEB" w:rsidR="00EF2B5E" w:rsidRPr="00BC22EA" w:rsidRDefault="005A6AE5" w:rsidP="00400832">
          <w:pPr>
            <w:widowControl/>
            <w:autoSpaceDE/>
            <w:autoSpaceDN/>
            <w:adjustRightInd/>
            <w:spacing w:after="0"/>
          </w:pPr>
          <w:r>
            <w:br w:type="page"/>
          </w:r>
        </w:p>
        <w:p w14:paraId="40AF65B3" w14:textId="01A8CF75" w:rsidR="000018C8" w:rsidRPr="00BC22EA" w:rsidRDefault="000018C8" w:rsidP="00B06F00">
          <w:pPr>
            <w:pStyle w:val="Heading1"/>
          </w:pPr>
          <w:bookmarkStart w:id="2" w:name="_Toc419104022"/>
          <w:bookmarkStart w:id="3" w:name="_Toc196219268"/>
          <w:r w:rsidRPr="00BC22EA">
            <w:lastRenderedPageBreak/>
            <w:t>Part II.</w:t>
          </w:r>
          <w:r w:rsidR="007C4A0B" w:rsidRPr="00BC22EA">
            <w:t xml:space="preserve"> </w:t>
          </w:r>
          <w:r w:rsidRPr="00BC22EA">
            <w:t xml:space="preserve">Permit Applicability and </w:t>
          </w:r>
          <w:bookmarkEnd w:id="2"/>
          <w:r w:rsidR="00D0452E">
            <w:t>Authorization</w:t>
          </w:r>
          <w:bookmarkEnd w:id="3"/>
        </w:p>
        <w:p w14:paraId="23DD527B" w14:textId="77777777" w:rsidR="000018C8" w:rsidRPr="00BC22EA" w:rsidRDefault="000018C8" w:rsidP="00B06F00">
          <w:pPr>
            <w:pStyle w:val="Heading2"/>
          </w:pPr>
          <w:bookmarkStart w:id="4" w:name="_Toc419104023"/>
          <w:bookmarkStart w:id="5" w:name="_Toc196219269"/>
          <w:r w:rsidRPr="00BC22EA">
            <w:t>Section A.</w:t>
          </w:r>
          <w:r w:rsidR="007C4A0B" w:rsidRPr="00BC22EA">
            <w:t xml:space="preserve"> </w:t>
          </w:r>
          <w:r w:rsidRPr="00BC22EA">
            <w:t>Discharges Covered</w:t>
          </w:r>
          <w:bookmarkEnd w:id="4"/>
          <w:bookmarkEnd w:id="5"/>
        </w:p>
        <w:p w14:paraId="7CB1F2F9" w14:textId="207C3E85" w:rsidR="000018C8" w:rsidRPr="00BC22EA" w:rsidRDefault="00BB6F0D" w:rsidP="00400832">
          <w:pPr>
            <w:pStyle w:val="BodyText"/>
          </w:pPr>
          <w:r w:rsidRPr="00BC22EA">
            <w:t>T</w:t>
          </w:r>
          <w:r w:rsidR="000018C8" w:rsidRPr="00BC22EA">
            <w:t xml:space="preserve">his general permit </w:t>
          </w:r>
          <w:r w:rsidRPr="00BC22EA">
            <w:t>authorizes</w:t>
          </w:r>
          <w:r w:rsidR="000018C8" w:rsidRPr="00BC22EA">
            <w:t xml:space="preserve"> the discharge of facility wastewater and </w:t>
          </w:r>
          <w:r w:rsidR="006E6F08" w:rsidRPr="00BC22EA">
            <w:t>stormwater</w:t>
          </w:r>
          <w:r w:rsidR="000018C8" w:rsidRPr="00BC22EA">
            <w:t xml:space="preserve"> associated with industrial activities from ready-mixed concrete plants, concrete products plants, and their associated facilities (SIC </w:t>
          </w:r>
          <w:r w:rsidR="001E5C56">
            <w:t xml:space="preserve">Codes </w:t>
          </w:r>
          <w:r w:rsidR="000018C8" w:rsidRPr="00BC22EA">
            <w:t>3271, 3272, and 3273).</w:t>
          </w:r>
          <w:r w:rsidR="00DC5AFB" w:rsidRPr="00BC22EA">
            <w:t xml:space="preserve"> </w:t>
          </w:r>
          <w:r w:rsidR="000018C8" w:rsidRPr="00BC22EA">
            <w:t>This general permit does not authorize the discharge of domestic sewage.</w:t>
          </w:r>
        </w:p>
        <w:p w14:paraId="51C346CC" w14:textId="7A83A9C7" w:rsidR="000018C8" w:rsidRPr="00BC22EA" w:rsidRDefault="000018C8" w:rsidP="00B06F00">
          <w:pPr>
            <w:pStyle w:val="Heading2"/>
          </w:pPr>
          <w:bookmarkStart w:id="6" w:name="_Toc419104024"/>
          <w:bookmarkStart w:id="7" w:name="_Toc196219270"/>
          <w:r w:rsidRPr="00BC22EA">
            <w:t>Section B.</w:t>
          </w:r>
          <w:r w:rsidR="007C4A0B" w:rsidRPr="00BC22EA">
            <w:t xml:space="preserve"> </w:t>
          </w:r>
          <w:r w:rsidRPr="00BC22EA">
            <w:t xml:space="preserve">Limitations on </w:t>
          </w:r>
          <w:bookmarkEnd w:id="6"/>
          <w:r w:rsidR="00D0452E">
            <w:t>Authorization</w:t>
          </w:r>
          <w:bookmarkEnd w:id="7"/>
        </w:p>
        <w:p w14:paraId="4B7FE231" w14:textId="632B7B3F" w:rsidR="00B65278" w:rsidRPr="00BC22EA" w:rsidRDefault="009A339F" w:rsidP="00400832">
          <w:pPr>
            <w:pStyle w:val="ListNumber"/>
            <w:numPr>
              <w:ilvl w:val="0"/>
              <w:numId w:val="57"/>
            </w:numPr>
          </w:pPr>
          <w:r w:rsidRPr="00BC22EA">
            <w:t>Separate</w:t>
          </w:r>
          <w:r w:rsidR="00B335B5" w:rsidRPr="00BC22EA">
            <w:t xml:space="preserve"> authorization may be required for discharges into or adjacent to water in the state located on or within ten stream miles upstream of the Edwards Aquifer </w:t>
          </w:r>
          <w:r w:rsidR="001E5C56">
            <w:t>R</w:t>
          </w:r>
          <w:r w:rsidR="00B335B5" w:rsidRPr="00BC22EA">
            <w:t xml:space="preserve">echarge </w:t>
          </w:r>
          <w:r w:rsidR="001E5C56">
            <w:t>Z</w:t>
          </w:r>
          <w:r w:rsidR="00B335B5" w:rsidRPr="00BC22EA">
            <w:t>one, as defined in 30 TAC Chapter 213</w:t>
          </w:r>
          <w:r w:rsidR="00E177D1" w:rsidRPr="00BC22EA">
            <w:t>,</w:t>
          </w:r>
          <w:r w:rsidR="00B335B5" w:rsidRPr="00BC22EA">
            <w:t xml:space="preserve"> </w:t>
          </w:r>
          <w:r w:rsidR="00B335B5" w:rsidRPr="005344FF">
            <w:rPr>
              <w:i/>
            </w:rPr>
            <w:t>Edwards Aquifer</w:t>
          </w:r>
          <w:r w:rsidR="00B335B5" w:rsidRPr="00BC22EA">
            <w:t>.</w:t>
          </w:r>
          <w:r w:rsidR="007C4A0B" w:rsidRPr="00BC22EA">
            <w:t xml:space="preserve"> </w:t>
          </w:r>
        </w:p>
        <w:p w14:paraId="041542BA" w14:textId="77777777" w:rsidR="00B65278" w:rsidRPr="00BC22EA" w:rsidRDefault="000018C8" w:rsidP="00400832">
          <w:pPr>
            <w:pStyle w:val="ListNumber"/>
          </w:pPr>
          <w:r w:rsidRPr="00BC22EA">
            <w:t>Discharges are not eligible for authorization by this general permit where prohibited by:</w:t>
          </w:r>
        </w:p>
        <w:p w14:paraId="3EAD93A4" w14:textId="77777777" w:rsidR="00B65278" w:rsidRPr="00BC22EA" w:rsidRDefault="00546371" w:rsidP="00400832">
          <w:pPr>
            <w:pStyle w:val="ListNumber2"/>
          </w:pPr>
          <w:r w:rsidRPr="00BC22EA">
            <w:t>30 TAC Chapter 311</w:t>
          </w:r>
          <w:r w:rsidR="00797909" w:rsidRPr="00BC22EA">
            <w:t>,</w:t>
          </w:r>
          <w:r w:rsidRPr="00BC22EA">
            <w:t xml:space="preserve"> </w:t>
          </w:r>
          <w:r w:rsidRPr="00BC22EA">
            <w:rPr>
              <w:i/>
            </w:rPr>
            <w:t>Watershed Protection</w:t>
          </w:r>
          <w:r w:rsidRPr="00BC22EA">
            <w:t xml:space="preserve">; </w:t>
          </w:r>
        </w:p>
        <w:p w14:paraId="2405CBA7" w14:textId="77777777" w:rsidR="00B65278" w:rsidRPr="00BC22EA" w:rsidRDefault="00546371" w:rsidP="00400832">
          <w:pPr>
            <w:pStyle w:val="ListNumber2"/>
          </w:pPr>
          <w:r w:rsidRPr="00BC22EA">
            <w:t>30 TAC Chapter 213</w:t>
          </w:r>
          <w:r w:rsidR="00797909" w:rsidRPr="00BC22EA">
            <w:t>,</w:t>
          </w:r>
          <w:r w:rsidRPr="00BC22EA">
            <w:t xml:space="preserve"> </w:t>
          </w:r>
          <w:r w:rsidRPr="00BC22EA">
            <w:rPr>
              <w:i/>
            </w:rPr>
            <w:t>Edwards Aquifer</w:t>
          </w:r>
          <w:r w:rsidRPr="00BC22EA">
            <w:t>; or</w:t>
          </w:r>
        </w:p>
        <w:p w14:paraId="0D628DAD" w14:textId="77777777" w:rsidR="00B65278" w:rsidRPr="00BC22EA" w:rsidRDefault="00220AFA" w:rsidP="00400832">
          <w:pPr>
            <w:pStyle w:val="ListNumber2"/>
          </w:pPr>
          <w:r w:rsidRPr="00BC22EA">
            <w:t>a</w:t>
          </w:r>
          <w:r w:rsidR="00546371" w:rsidRPr="00BC22EA">
            <w:t>ny other applicable rules or laws.</w:t>
          </w:r>
        </w:p>
        <w:p w14:paraId="18E1EEAE" w14:textId="307E5A87" w:rsidR="00B65278" w:rsidRPr="00BC22EA" w:rsidRDefault="000018C8" w:rsidP="00400832">
          <w:pPr>
            <w:pStyle w:val="ListNumber"/>
          </w:pPr>
          <w:r w:rsidRPr="00BC22EA">
            <w:t xml:space="preserve">Discharges of </w:t>
          </w:r>
          <w:r w:rsidR="00E177D1" w:rsidRPr="00BC22EA">
            <w:t xml:space="preserve">a </w:t>
          </w:r>
          <w:r w:rsidR="0001157C">
            <w:t>pollutant</w:t>
          </w:r>
          <w:r w:rsidRPr="00BC22EA">
            <w:t xml:space="preserve">(s) </w:t>
          </w:r>
          <w:r w:rsidR="00E177D1" w:rsidRPr="00BC22EA">
            <w:t xml:space="preserve">of concern </w:t>
          </w:r>
          <w:r w:rsidRPr="00BC22EA">
            <w:t xml:space="preserve">to impaired water bodies </w:t>
          </w:r>
          <w:r w:rsidR="00214167" w:rsidRPr="00BC22EA">
            <w:t>when</w:t>
          </w:r>
          <w:r w:rsidRPr="00BC22EA">
            <w:t xml:space="preserve"> there is a </w:t>
          </w:r>
          <w:r w:rsidR="000453B8" w:rsidRPr="00BC22EA">
            <w:t>TCEQ-</w:t>
          </w:r>
          <w:r w:rsidR="00214167" w:rsidRPr="00BC22EA">
            <w:t xml:space="preserve">approved </w:t>
          </w:r>
          <w:r w:rsidR="00F32567" w:rsidRPr="00BC22EA">
            <w:t>Total Maximum Daily Load (</w:t>
          </w:r>
          <w:r w:rsidRPr="00BC22EA">
            <w:t>TMDL</w:t>
          </w:r>
          <w:r w:rsidR="00F32567" w:rsidRPr="00BC22EA">
            <w:t>)</w:t>
          </w:r>
          <w:r w:rsidRPr="00BC22EA">
            <w:t xml:space="preserve"> implementation plan are not eligible for this general permit unless they are consistent with the approved TMDL and the </w:t>
          </w:r>
          <w:r w:rsidR="0001157C">
            <w:t>I</w:t>
          </w:r>
          <w:r w:rsidRPr="00BC22EA">
            <w:t xml:space="preserve">mplementation </w:t>
          </w:r>
          <w:r w:rsidR="0001157C">
            <w:t>P</w:t>
          </w:r>
          <w:r w:rsidRPr="00BC22EA">
            <w:t xml:space="preserve">lan. The executive director may amend this general permit or develop a separate general permit for discharges to these water bodies. For discharges not eligible for </w:t>
          </w:r>
          <w:r w:rsidR="00D0452E">
            <w:t>authorization</w:t>
          </w:r>
          <w:r w:rsidRPr="00BC22EA">
            <w:t xml:space="preserve"> under this general permit, the </w:t>
          </w:r>
          <w:r w:rsidR="00A00A18" w:rsidRPr="00BC22EA">
            <w:t>permittee</w:t>
          </w:r>
          <w:r w:rsidRPr="00BC22EA">
            <w:t xml:space="preserve"> </w:t>
          </w:r>
          <w:r w:rsidR="00A41340" w:rsidRPr="00BC22EA">
            <w:t>shall</w:t>
          </w:r>
          <w:r w:rsidRPr="00BC22EA">
            <w:t xml:space="preserve"> apply for an individual </w:t>
          </w:r>
          <w:r w:rsidR="00214167" w:rsidRPr="00BC22EA">
            <w:t xml:space="preserve">permit </w:t>
          </w:r>
          <w:r w:rsidRPr="00BC22EA">
            <w:t xml:space="preserve">or other applicable general permit </w:t>
          </w:r>
          <w:r w:rsidR="00214167" w:rsidRPr="00BC22EA">
            <w:t xml:space="preserve">authorization </w:t>
          </w:r>
          <w:r w:rsidRPr="00BC22EA">
            <w:t>prior to discharging.</w:t>
          </w:r>
        </w:p>
        <w:p w14:paraId="2E8E51F8" w14:textId="3C695070" w:rsidR="00B65278" w:rsidRPr="00BC22EA" w:rsidRDefault="004740EA" w:rsidP="00400832">
          <w:pPr>
            <w:pStyle w:val="ListNumber"/>
          </w:pPr>
          <w:r w:rsidRPr="00BC22EA">
            <w:t xml:space="preserve">New sources or new discharges of </w:t>
          </w:r>
          <w:r w:rsidR="00402934" w:rsidRPr="00BC22EA">
            <w:t>a</w:t>
          </w:r>
          <w:r w:rsidRPr="00BC22EA">
            <w:t xml:space="preserve"> </w:t>
          </w:r>
          <w:r w:rsidR="00AA39E2">
            <w:t>pollutant</w:t>
          </w:r>
          <w:r w:rsidRPr="00BC22EA">
            <w:t>(s) of concern to impaired waters are not authorized by this permit unless otherwise allowable under 30 TAC Chapter 305</w:t>
          </w:r>
          <w:r w:rsidR="00797909" w:rsidRPr="00BC22EA">
            <w:t xml:space="preserve">, </w:t>
          </w:r>
          <w:r w:rsidR="00797909" w:rsidRPr="00BC22EA">
            <w:rPr>
              <w:i/>
            </w:rPr>
            <w:t>Consolidated Permits</w:t>
          </w:r>
          <w:r w:rsidR="00797909" w:rsidRPr="00BC22EA">
            <w:t>,</w:t>
          </w:r>
          <w:r w:rsidRPr="00BC22EA">
            <w:t xml:space="preserve"> and applicable state law. </w:t>
          </w:r>
          <w:r w:rsidR="00D0452E" w:rsidRPr="00A31290">
            <w:t xml:space="preserve">Impaired waters are those that do not meet applicable water quality standard(s) and are listed as category 4 or 5 in the </w:t>
          </w:r>
          <w:r w:rsidR="00400A32">
            <w:t>latest EPA-approved</w:t>
          </w:r>
          <w:r w:rsidR="00400A32" w:rsidRPr="00A31290">
            <w:t xml:space="preserve"> </w:t>
          </w:r>
          <w:r w:rsidR="00D0452E" w:rsidRPr="00A31290">
            <w:t xml:space="preserve">version of the </w:t>
          </w:r>
          <w:r w:rsidR="00D0452E" w:rsidRPr="00A31290">
            <w:rPr>
              <w:i/>
            </w:rPr>
            <w:t>Texas Integrated Report of Surface Water Quality</w:t>
          </w:r>
          <w:r w:rsidR="00866BB0">
            <w:rPr>
              <w:i/>
            </w:rPr>
            <w:t xml:space="preserve"> for CWA Sections 305(b) and 305(d)</w:t>
          </w:r>
          <w:r w:rsidRPr="00BC22EA">
            <w:t xml:space="preserve">. </w:t>
          </w:r>
          <w:r w:rsidR="00400A32">
            <w:t>Pollutant</w:t>
          </w:r>
          <w:r w:rsidR="00D90CEC">
            <w:t>s</w:t>
          </w:r>
          <w:r w:rsidR="00400A32" w:rsidRPr="00BC22EA">
            <w:t xml:space="preserve"> </w:t>
          </w:r>
          <w:r w:rsidRPr="00BC22EA">
            <w:t xml:space="preserve">of concern are those </w:t>
          </w:r>
          <w:r w:rsidR="00214167" w:rsidRPr="00BC22EA">
            <w:t xml:space="preserve">causing a </w:t>
          </w:r>
          <w:r w:rsidRPr="00BC22EA">
            <w:t xml:space="preserve">water body </w:t>
          </w:r>
          <w:r w:rsidR="00402934" w:rsidRPr="00BC22EA">
            <w:t xml:space="preserve">to be listed </w:t>
          </w:r>
          <w:r w:rsidRPr="00BC22EA">
            <w:t>as impaired.</w:t>
          </w:r>
        </w:p>
        <w:p w14:paraId="24EB58E2" w14:textId="59269E98" w:rsidR="00A26446" w:rsidRPr="00BC22EA" w:rsidRDefault="00A26446" w:rsidP="00400832">
          <w:pPr>
            <w:pStyle w:val="ListNumber"/>
          </w:pPr>
          <w:r w:rsidRPr="00BC22EA">
            <w:t>The executive director may deny an application for authoriz</w:t>
          </w:r>
          <w:r w:rsidR="00220AFA" w:rsidRPr="00BC22EA">
            <w:t>ation under this general permit</w:t>
          </w:r>
          <w:r w:rsidRPr="00BC22EA">
            <w:t xml:space="preserve"> and may require that the applicant apply for an individual permit or alternative general permit if the executive director determines that the discharge</w:t>
          </w:r>
          <w:r w:rsidR="00C45682">
            <w:t xml:space="preserve"> </w:t>
          </w:r>
          <w:r w:rsidR="00D21DE9">
            <w:t xml:space="preserve">has the </w:t>
          </w:r>
          <w:r w:rsidR="00866BB0">
            <w:t>potential to</w:t>
          </w:r>
          <w:r w:rsidRPr="00BC22EA">
            <w:t>:</w:t>
          </w:r>
        </w:p>
        <w:p w14:paraId="73BD9C02" w14:textId="2F3FB7C6" w:rsidR="00A26446" w:rsidRPr="00BC22EA" w:rsidRDefault="00A26446" w:rsidP="00400832">
          <w:pPr>
            <w:pStyle w:val="ListNumber2"/>
            <w:numPr>
              <w:ilvl w:val="0"/>
              <w:numId w:val="59"/>
            </w:numPr>
          </w:pPr>
          <w:r w:rsidRPr="00BC22EA">
            <w:t>not meet water quality standards;</w:t>
          </w:r>
        </w:p>
        <w:p w14:paraId="4C16E49F" w14:textId="326DA874" w:rsidR="00A26446" w:rsidRPr="00BC22EA" w:rsidRDefault="00A26446" w:rsidP="00400832">
          <w:pPr>
            <w:pStyle w:val="ListNumber2"/>
          </w:pPr>
          <w:r w:rsidRPr="00BC22EA">
            <w:t>fail to protect and maintain designated uses;</w:t>
          </w:r>
        </w:p>
        <w:p w14:paraId="254D972F" w14:textId="729F5837" w:rsidR="00A26446" w:rsidRPr="00BC22EA" w:rsidRDefault="00A26446" w:rsidP="00400832">
          <w:pPr>
            <w:pStyle w:val="ListNumber2"/>
          </w:pPr>
          <w:r w:rsidRPr="00BC22EA">
            <w:t>cause a violation of water quality standards; or</w:t>
          </w:r>
        </w:p>
        <w:p w14:paraId="2CAD9D5F" w14:textId="66081E6E" w:rsidR="00A26446" w:rsidRPr="00BC22EA" w:rsidRDefault="00A26446" w:rsidP="00400832">
          <w:pPr>
            <w:pStyle w:val="ListNumber2"/>
          </w:pPr>
          <w:r w:rsidRPr="00BC22EA">
            <w:t>cause or contribute to a water quality violation.</w:t>
          </w:r>
        </w:p>
        <w:p w14:paraId="1B7B214D" w14:textId="77777777" w:rsidR="00B65278" w:rsidRPr="00BC22EA" w:rsidRDefault="00312ABD" w:rsidP="00400832">
          <w:pPr>
            <w:pStyle w:val="ListNumber"/>
          </w:pPr>
          <w:r w:rsidRPr="00BC22EA">
            <w:t xml:space="preserve">The executive director will deny an application for authorization under this general permit and may require that the applicant apply for an individual permit, if the executive director determines that the discharge will not maintain existing uses of </w:t>
          </w:r>
          <w:r w:rsidRPr="00BC22EA">
            <w:lastRenderedPageBreak/>
            <w:t xml:space="preserve">receiving waters. Additionally, the executive director may cancel, revoke, or suspend authorization to discharge under this general permit based on a finding of historical and significant noncompliance with the provisions of this general permit. The executive director </w:t>
          </w:r>
          <w:r w:rsidR="00BD37AC" w:rsidRPr="00BC22EA">
            <w:t>shall</w:t>
          </w:r>
          <w:r w:rsidRPr="00BC22EA">
            <w:t xml:space="preserve"> deny or suspend a </w:t>
          </w:r>
          <w:r w:rsidR="003928E4" w:rsidRPr="00BC22EA">
            <w:t xml:space="preserve">facility’s </w:t>
          </w:r>
          <w:r w:rsidRPr="00BC22EA">
            <w:t xml:space="preserve">authorization to discharge under this permit based on a rating of </w:t>
          </w:r>
          <w:r w:rsidR="00BD37AC" w:rsidRPr="00BC22EA">
            <w:t>“</w:t>
          </w:r>
          <w:r w:rsidR="00074A1A" w:rsidRPr="00BC22EA">
            <w:t>unsatisfactory performer</w:t>
          </w:r>
          <w:r w:rsidR="00BD37AC" w:rsidRPr="00BC22EA">
            <w:t xml:space="preserve">” </w:t>
          </w:r>
          <w:r w:rsidRPr="00BC22EA">
            <w:t xml:space="preserve">according to commission rules in 30 TAC </w:t>
          </w:r>
          <w:r w:rsidR="00B3383F" w:rsidRPr="00BC22EA">
            <w:t>§</w:t>
          </w:r>
          <w:r w:rsidRPr="00BC22EA">
            <w:t>60.3</w:t>
          </w:r>
          <w:r w:rsidR="00E177D1" w:rsidRPr="00BC22EA">
            <w:t xml:space="preserve">, </w:t>
          </w:r>
          <w:r w:rsidR="00E177D1" w:rsidRPr="00BC22EA">
            <w:rPr>
              <w:i/>
            </w:rPr>
            <w:t>Use of Compliance History</w:t>
          </w:r>
          <w:r w:rsidRPr="00BC22EA">
            <w:t xml:space="preserve">. </w:t>
          </w:r>
          <w:r w:rsidR="00074A1A" w:rsidRPr="00BC22EA">
            <w:rPr>
              <w:bCs/>
            </w:rPr>
            <w:t xml:space="preserve">An applicant who owns or operates a facility classified as an “unsatisfactory performer” is entitled to a hearing before the </w:t>
          </w:r>
          <w:r w:rsidR="00F74BCC" w:rsidRPr="00BC22EA">
            <w:rPr>
              <w:bCs/>
            </w:rPr>
            <w:t>c</w:t>
          </w:r>
          <w:r w:rsidR="00074A1A" w:rsidRPr="00BC22EA">
            <w:rPr>
              <w:bCs/>
            </w:rPr>
            <w:t xml:space="preserve">ommission prior to having its authorization denied or suspended, in accordance with TWC </w:t>
          </w:r>
          <w:r w:rsidR="00B3383F" w:rsidRPr="00BC22EA">
            <w:rPr>
              <w:bCs/>
            </w:rPr>
            <w:t>§</w:t>
          </w:r>
          <w:r w:rsidR="00074A1A" w:rsidRPr="00BC22EA">
            <w:rPr>
              <w:bCs/>
            </w:rPr>
            <w:t xml:space="preserve">26.040(h). </w:t>
          </w:r>
          <w:r w:rsidRPr="00BC22EA">
            <w:t xml:space="preserve">Denial of authorization to discharge under this general permit or suspension of a permittee’s authorization under this general permit </w:t>
          </w:r>
          <w:r w:rsidR="003928E4" w:rsidRPr="00BC22EA">
            <w:t>must</w:t>
          </w:r>
          <w:r w:rsidRPr="00BC22EA">
            <w:t xml:space="preserve"> be done according to commission rules in 30 TAC Chapter 205</w:t>
          </w:r>
          <w:r w:rsidR="00261C25" w:rsidRPr="00BC22EA">
            <w:t>,</w:t>
          </w:r>
          <w:r w:rsidRPr="00BC22EA">
            <w:t xml:space="preserve"> </w:t>
          </w:r>
          <w:r w:rsidR="00A32EDB" w:rsidRPr="00BC22EA">
            <w:rPr>
              <w:i/>
            </w:rPr>
            <w:t>General Permits for Waste Discharges</w:t>
          </w:r>
          <w:r w:rsidRPr="00BC22EA">
            <w:t>.</w:t>
          </w:r>
        </w:p>
        <w:p w14:paraId="5DB94E01" w14:textId="77777777" w:rsidR="00B65278" w:rsidRPr="00BC22EA" w:rsidRDefault="004740EA" w:rsidP="00400832">
          <w:pPr>
            <w:pStyle w:val="ListNumber"/>
          </w:pPr>
          <w:r w:rsidRPr="00BC22EA">
            <w:t xml:space="preserve">Discharges that would adversely affect a listed endangered or threatened </w:t>
          </w:r>
          <w:r w:rsidR="000453B8" w:rsidRPr="00BC22EA">
            <w:t xml:space="preserve">aquatic or aquatic-dependent </w:t>
          </w:r>
          <w:r w:rsidRPr="00BC22EA">
            <w:t>species or its critical habitat are not authorized by this permit. Federal requirements related to endangered species apply to all TPDES permitted activities, and site-specific controls may be required to ensure that protection of endangered or</w:t>
          </w:r>
          <w:r w:rsidR="00770878" w:rsidRPr="00BC22EA">
            <w:t xml:space="preserve"> threatened </w:t>
          </w:r>
          <w:r w:rsidR="000453B8" w:rsidRPr="00BC22EA">
            <w:t xml:space="preserve">aquatic or aquatic-dependent species </w:t>
          </w:r>
          <w:r w:rsidR="00770878" w:rsidRPr="00BC22EA">
            <w:t>is achieved.</w:t>
          </w:r>
        </w:p>
        <w:p w14:paraId="28F25DB2" w14:textId="78A2BF18" w:rsidR="000018C8" w:rsidRPr="00BC22EA" w:rsidRDefault="000018C8" w:rsidP="00B06F00">
          <w:pPr>
            <w:pStyle w:val="Heading2"/>
          </w:pPr>
          <w:bookmarkStart w:id="8" w:name="_Toc419104025"/>
          <w:bookmarkStart w:id="9" w:name="_Toc196219271"/>
          <w:r w:rsidRPr="00BC22EA">
            <w:t>Section C.</w:t>
          </w:r>
          <w:r w:rsidR="007C4A0B" w:rsidRPr="00BC22EA">
            <w:t xml:space="preserve"> </w:t>
          </w:r>
          <w:r w:rsidRPr="00BC22EA">
            <w:t xml:space="preserve">Application for </w:t>
          </w:r>
          <w:bookmarkEnd w:id="8"/>
          <w:r w:rsidR="00D0452E">
            <w:t>Authorization</w:t>
          </w:r>
          <w:bookmarkEnd w:id="9"/>
        </w:p>
        <w:p w14:paraId="75014DA1" w14:textId="66C5B318" w:rsidR="00A26446" w:rsidRPr="00BC22EA" w:rsidRDefault="00A26446" w:rsidP="00400832">
          <w:pPr>
            <w:pStyle w:val="ListNumber"/>
            <w:numPr>
              <w:ilvl w:val="0"/>
              <w:numId w:val="60"/>
            </w:numPr>
          </w:pPr>
          <w:r w:rsidRPr="00BC22EA">
            <w:t>Applicants seeking</w:t>
          </w:r>
          <w:r w:rsidR="000018C8" w:rsidRPr="00BC22EA">
            <w:t xml:space="preserve"> </w:t>
          </w:r>
          <w:r w:rsidRPr="00BC22EA">
            <w:t xml:space="preserve">authorization </w:t>
          </w:r>
          <w:r w:rsidR="000018C8" w:rsidRPr="00BC22EA">
            <w:t>to discharge or dispose of waste</w:t>
          </w:r>
          <w:r w:rsidRPr="00BC22EA">
            <w:t>water</w:t>
          </w:r>
          <w:r w:rsidR="000018C8" w:rsidRPr="00BC22EA">
            <w:t xml:space="preserve"> under this general permit </w:t>
          </w:r>
          <w:r w:rsidR="00A41340" w:rsidRPr="00BC22EA">
            <w:t>shall</w:t>
          </w:r>
          <w:r w:rsidR="000018C8" w:rsidRPr="00BC22EA">
            <w:t xml:space="preserve"> submit a completed </w:t>
          </w:r>
          <w:r w:rsidR="003E5A29" w:rsidRPr="00BC22EA">
            <w:t>Notice of Intent (</w:t>
          </w:r>
          <w:r w:rsidR="000018C8" w:rsidRPr="00BC22EA">
            <w:t>NOI</w:t>
          </w:r>
          <w:r w:rsidR="003E5A29" w:rsidRPr="00BC22EA">
            <w:t>)</w:t>
          </w:r>
          <w:r w:rsidR="000018C8" w:rsidRPr="00BC22EA">
            <w:t xml:space="preserve"> on a form approved by the executive director. </w:t>
          </w:r>
          <w:r w:rsidR="00851C5A">
            <w:t>A</w:t>
          </w:r>
          <w:r w:rsidR="00000B04" w:rsidRPr="00BC22EA">
            <w:t xml:space="preserve">pplicants must submit </w:t>
          </w:r>
          <w:r w:rsidR="00851C5A">
            <w:t>the</w:t>
          </w:r>
          <w:r w:rsidR="00000B04" w:rsidRPr="00BC22EA">
            <w:t xml:space="preserve"> NOI using the online e-permitting system available through the TCEQ website or request and </w:t>
          </w:r>
          <w:r w:rsidR="006A2358" w:rsidRPr="00BC22EA">
            <w:t xml:space="preserve">obtain an electronic </w:t>
          </w:r>
          <w:r w:rsidR="00000B04" w:rsidRPr="00BC22EA">
            <w:t xml:space="preserve">reporting waiver. </w:t>
          </w:r>
          <w:r w:rsidR="008265C4" w:rsidRPr="00BC22EA">
            <w:t>E</w:t>
          </w:r>
          <w:r w:rsidR="006A2358" w:rsidRPr="00BC22EA">
            <w:t>lectronic r</w:t>
          </w:r>
          <w:r w:rsidR="008265C4" w:rsidRPr="00BC22EA">
            <w:t xml:space="preserve">eporting waivers are not transferrable and expire on the same date as the authorization to discharge. </w:t>
          </w:r>
          <w:r w:rsidR="000018C8" w:rsidRPr="00BC22EA">
            <w:t xml:space="preserve">The NOI must include, at a minimum, the legal name and address of the owner and operator, the facility name and address, </w:t>
          </w:r>
          <w:r w:rsidR="00723AF3" w:rsidRPr="00BC22EA">
            <w:t xml:space="preserve">specific description of </w:t>
          </w:r>
          <w:r w:rsidR="00402934" w:rsidRPr="00BC22EA">
            <w:t>the</w:t>
          </w:r>
          <w:r w:rsidR="00723AF3" w:rsidRPr="00BC22EA">
            <w:t xml:space="preserve"> location, </w:t>
          </w:r>
          <w:r w:rsidR="00402934" w:rsidRPr="00BC22EA">
            <w:t xml:space="preserve">the </w:t>
          </w:r>
          <w:r w:rsidR="00723AF3" w:rsidRPr="00BC22EA">
            <w:t xml:space="preserve">type of facility or discharges and the receiving water(s). </w:t>
          </w:r>
        </w:p>
        <w:p w14:paraId="4E0BFCC5" w14:textId="19A6983B" w:rsidR="00BC22EA" w:rsidRDefault="00214167" w:rsidP="00400832">
          <w:pPr>
            <w:pStyle w:val="ListContinue"/>
          </w:pPr>
          <w:r w:rsidRPr="00BC22EA">
            <w:t>Permittees</w:t>
          </w:r>
          <w:r w:rsidR="000018C8" w:rsidRPr="00BC22EA">
            <w:t xml:space="preserve"> authorized under the previous general permit</w:t>
          </w:r>
          <w:r w:rsidRPr="00BC22EA">
            <w:t xml:space="preserve"> issued </w:t>
          </w:r>
          <w:r w:rsidR="00241A14" w:rsidRPr="00241A14">
            <w:t>October 26, 2016</w:t>
          </w:r>
          <w:r w:rsidR="000018C8" w:rsidRPr="00BC22EA">
            <w:t xml:space="preserve"> are required to submit a new NOI within 90 days </w:t>
          </w:r>
          <w:r w:rsidR="009F1649" w:rsidRPr="00BC22EA">
            <w:t xml:space="preserve">of </w:t>
          </w:r>
          <w:r w:rsidR="00032E38" w:rsidRPr="00BC22EA">
            <w:t>the effective date</w:t>
          </w:r>
          <w:r w:rsidR="000018C8" w:rsidRPr="00BC22EA">
            <w:t xml:space="preserve"> of this general permit to continue </w:t>
          </w:r>
          <w:r w:rsidR="00402934" w:rsidRPr="00BC22EA">
            <w:t xml:space="preserve">the authorization to </w:t>
          </w:r>
          <w:r w:rsidRPr="00BC22EA">
            <w:t>discharge or dispos</w:t>
          </w:r>
          <w:r w:rsidR="00402934" w:rsidRPr="00BC22EA">
            <w:t>e</w:t>
          </w:r>
          <w:r w:rsidRPr="00BC22EA">
            <w:t xml:space="preserve"> of wastewater authorized under this general permit.</w:t>
          </w:r>
          <w:r w:rsidR="00BF4771" w:rsidRPr="00BC22EA">
            <w:t xml:space="preserve"> Failure to submit a new NOI by the deadline will result in expiration of the existing authorization to operate under the previous general permit.</w:t>
          </w:r>
        </w:p>
        <w:p w14:paraId="3CECDEF8" w14:textId="795A4BEA" w:rsidR="00032E38" w:rsidRPr="00BC22EA" w:rsidRDefault="003B777D" w:rsidP="00400832">
          <w:pPr>
            <w:pStyle w:val="ListNumber"/>
          </w:pPr>
          <w:r w:rsidRPr="00BC22EA">
            <w:t>Submission of a NOI is an acknowledgment that the conditions of this general permit are appli</w:t>
          </w:r>
          <w:r w:rsidR="00A52355" w:rsidRPr="00BC22EA">
            <w:t>cable to the proposed discharge</w:t>
          </w:r>
          <w:r w:rsidRPr="00BC22EA">
            <w:t xml:space="preserve"> and that the applicant agrees to comply with the conditions of this general permit. </w:t>
          </w:r>
          <w:r w:rsidR="00032E38" w:rsidRPr="00BC22EA">
            <w:t xml:space="preserve">Provisional authorization begins 48 hours after a completed NOI is postmarked for delivery to TCEQ. </w:t>
          </w:r>
          <w:r w:rsidR="000553C7" w:rsidRPr="00BC22EA">
            <w:t xml:space="preserve">For </w:t>
          </w:r>
          <w:r w:rsidR="00032E38" w:rsidRPr="00BC22EA">
            <w:t xml:space="preserve">electronic submission of NOIs, authorization begins </w:t>
          </w:r>
          <w:r w:rsidR="00C17759" w:rsidRPr="00BC22EA">
            <w:t>immediately</w:t>
          </w:r>
          <w:r w:rsidR="00032E38" w:rsidRPr="00BC22EA">
            <w:t xml:space="preserve"> following confirmation of receipt of the electronic NOI form by TCEQ. Following review of the NOI, the executive director will: </w:t>
          </w:r>
        </w:p>
        <w:p w14:paraId="66329BEB" w14:textId="2D7EA216" w:rsidR="00032E38" w:rsidRPr="00BC22EA" w:rsidRDefault="00032E38" w:rsidP="00400832">
          <w:pPr>
            <w:pStyle w:val="ListNumber2"/>
            <w:numPr>
              <w:ilvl w:val="0"/>
              <w:numId w:val="61"/>
            </w:numPr>
          </w:pPr>
          <w:r w:rsidRPr="00BC22EA">
            <w:t xml:space="preserve">determine that the NOI is complete and confirm </w:t>
          </w:r>
          <w:r w:rsidR="00D0452E">
            <w:t>authorization</w:t>
          </w:r>
          <w:r w:rsidRPr="00BC22EA">
            <w:t xml:space="preserve"> by providing a written notification and an authorization number; </w:t>
          </w:r>
        </w:p>
        <w:p w14:paraId="3E947FAE" w14:textId="77777777" w:rsidR="00032E38" w:rsidRPr="00BC22EA" w:rsidRDefault="00032E38" w:rsidP="00400832">
          <w:pPr>
            <w:pStyle w:val="ListNumber2"/>
          </w:pPr>
          <w:r w:rsidRPr="00BC22EA">
            <w:t xml:space="preserve">determine that the NOI is incomplete and request additional information needed to complete the NOI; or </w:t>
          </w:r>
        </w:p>
        <w:p w14:paraId="61F312F8" w14:textId="68338FB2" w:rsidR="0061380C" w:rsidRPr="00BC22EA" w:rsidRDefault="00032E38" w:rsidP="00400832">
          <w:pPr>
            <w:pStyle w:val="ListNumber2"/>
          </w:pPr>
          <w:r w:rsidRPr="00BC22EA">
            <w:t xml:space="preserve">deny </w:t>
          </w:r>
          <w:r w:rsidR="00D0452E">
            <w:t>authorization</w:t>
          </w:r>
          <w:r w:rsidRPr="00BC22EA">
            <w:t xml:space="preserve"> in writing. Denial of </w:t>
          </w:r>
          <w:r w:rsidR="00D0452E">
            <w:t>authorization</w:t>
          </w:r>
          <w:r w:rsidRPr="00BC22EA">
            <w:t xml:space="preserve"> will be made in accordance with 30 TAC </w:t>
          </w:r>
          <w:r w:rsidR="00B3383F" w:rsidRPr="00BC22EA">
            <w:t>§</w:t>
          </w:r>
          <w:r w:rsidRPr="00BC22EA">
            <w:t xml:space="preserve">205.4, </w:t>
          </w:r>
          <w:r w:rsidR="004D249C" w:rsidRPr="00BC22EA">
            <w:rPr>
              <w:i/>
            </w:rPr>
            <w:t>Authorizations</w:t>
          </w:r>
          <w:r w:rsidRPr="00BC22EA">
            <w:rPr>
              <w:i/>
            </w:rPr>
            <w:t xml:space="preserve"> and Notices of Intent.</w:t>
          </w:r>
        </w:p>
        <w:p w14:paraId="452BAF5A" w14:textId="0E07D575" w:rsidR="00B65278" w:rsidRPr="00BC22EA" w:rsidRDefault="00723AF3" w:rsidP="00400832">
          <w:pPr>
            <w:pStyle w:val="ListNumber"/>
          </w:pPr>
          <w:r w:rsidRPr="00BC22EA">
            <w:lastRenderedPageBreak/>
            <w:t xml:space="preserve">Applicants seeking authorization to discharge to a municipal separate storm sewer system </w:t>
          </w:r>
          <w:r w:rsidR="002C0776" w:rsidRPr="00BC22EA">
            <w:t xml:space="preserve">(MS4) </w:t>
          </w:r>
          <w:r w:rsidR="00A41340" w:rsidRPr="00BC22EA">
            <w:t>shall</w:t>
          </w:r>
          <w:r w:rsidRPr="00BC22EA">
            <w:t xml:space="preserve"> provide a copy of the NOI </w:t>
          </w:r>
          <w:r w:rsidR="00214167" w:rsidRPr="00BC22EA">
            <w:t xml:space="preserve">or electronic equivalent </w:t>
          </w:r>
          <w:r w:rsidRPr="00BC22EA">
            <w:t xml:space="preserve">to the operator of the system </w:t>
          </w:r>
          <w:r w:rsidR="00A709FC">
            <w:t xml:space="preserve">immediately after </w:t>
          </w:r>
          <w:r w:rsidR="00CA0DA7">
            <w:t>the</w:t>
          </w:r>
          <w:r w:rsidRPr="00BC22EA">
            <w:t xml:space="preserve"> NOI is submitted to TCEQ.</w:t>
          </w:r>
        </w:p>
        <w:p w14:paraId="37F2E1D1" w14:textId="6A58F4AF" w:rsidR="00B65278" w:rsidRPr="00BC22EA" w:rsidRDefault="006E6C11" w:rsidP="00400832">
          <w:pPr>
            <w:pStyle w:val="ListNumber"/>
          </w:pPr>
          <w:r w:rsidRPr="00BC22EA">
            <w:t xml:space="preserve">For activities located in areas regulated by 30 TAC Chapter 213, </w:t>
          </w:r>
          <w:r w:rsidR="00A32EDB" w:rsidRPr="00BC22EA">
            <w:rPr>
              <w:i/>
            </w:rPr>
            <w:t>Edwards Aquifer</w:t>
          </w:r>
          <w:r w:rsidRPr="00BC22EA">
            <w:t xml:space="preserve">, this authorization to discharge is separate from the requirements of the applicant’s responsibilities under that rule. Discharge may not commence for sites regulated under 30 TAC Chapter 213 until all applicable requirements of the Edwards </w:t>
          </w:r>
          <w:r w:rsidR="009A69EE">
            <w:t xml:space="preserve">Aquifer </w:t>
          </w:r>
          <w:r w:rsidR="00A7390F">
            <w:t>rules are met, including a TCEQ-</w:t>
          </w:r>
          <w:r w:rsidRPr="00BC22EA">
            <w:t xml:space="preserve">approved Edwards </w:t>
          </w:r>
          <w:r w:rsidR="00A00A18" w:rsidRPr="00BC22EA">
            <w:t>Aquifer</w:t>
          </w:r>
          <w:r w:rsidRPr="00BC22EA">
            <w:t xml:space="preserve"> </w:t>
          </w:r>
          <w:r w:rsidR="00D26733">
            <w:t>P</w:t>
          </w:r>
          <w:r w:rsidR="00F53ADA" w:rsidRPr="00BC22EA">
            <w:t xml:space="preserve">rotection </w:t>
          </w:r>
          <w:r w:rsidR="00D26733">
            <w:t>P</w:t>
          </w:r>
          <w:r w:rsidR="00F53ADA" w:rsidRPr="00BC22EA">
            <w:t>lan</w:t>
          </w:r>
          <w:r w:rsidRPr="00BC22EA">
            <w:t xml:space="preserve">, if applicable. </w:t>
          </w:r>
          <w:r w:rsidR="00750504" w:rsidRPr="00BC22EA">
            <w:t xml:space="preserve">For discharges located on or within ten stream miles upstream of the Edwards Aquifer </w:t>
          </w:r>
          <w:r w:rsidR="00D26733">
            <w:t>R</w:t>
          </w:r>
          <w:r w:rsidR="00750504" w:rsidRPr="00BC22EA">
            <w:t xml:space="preserve">echarge </w:t>
          </w:r>
          <w:r w:rsidR="00D26733">
            <w:t>Z</w:t>
          </w:r>
          <w:r w:rsidR="00750504" w:rsidRPr="00BC22EA">
            <w:t xml:space="preserve">one, applicants </w:t>
          </w:r>
          <w:r w:rsidR="00A41340" w:rsidRPr="00BC22EA">
            <w:t>shall</w:t>
          </w:r>
          <w:r w:rsidR="00750504" w:rsidRPr="00BC22EA">
            <w:t xml:space="preserve"> also submit a copy of the NOI to the appropriate TCEQ regional offices shown below. The applicant may not discharge until authorization is received from the regional office.</w:t>
          </w:r>
        </w:p>
        <w:p w14:paraId="7BCDEBC2" w14:textId="3BEA3325" w:rsidR="00ED5A3C" w:rsidRPr="00BC22EA" w:rsidRDefault="000018C8" w:rsidP="00400832">
          <w:pPr>
            <w:tabs>
              <w:tab w:val="left" w:pos="2880"/>
            </w:tabs>
            <w:spacing w:after="0"/>
            <w:ind w:left="2880" w:hanging="1800"/>
          </w:pPr>
          <w:r w:rsidRPr="00BC22EA">
            <w:t>Counties:</w:t>
          </w:r>
          <w:r w:rsidR="0099437D">
            <w:tab/>
          </w:r>
          <w:r w:rsidR="007943E3" w:rsidRPr="00BC22EA">
            <w:t xml:space="preserve">Bexar, </w:t>
          </w:r>
          <w:r w:rsidR="0099437D">
            <w:t xml:space="preserve">Comal, Hays, Kinney, </w:t>
          </w:r>
          <w:r w:rsidR="007943E3" w:rsidRPr="00BC22EA">
            <w:t xml:space="preserve">Medina, </w:t>
          </w:r>
          <w:r w:rsidR="0099437D">
            <w:t xml:space="preserve">Travis, Uvalde, </w:t>
          </w:r>
          <w:r w:rsidR="007943E3" w:rsidRPr="00BC22EA">
            <w:t xml:space="preserve">and </w:t>
          </w:r>
          <w:r w:rsidR="0099437D">
            <w:t>Williamson</w:t>
          </w:r>
        </w:p>
        <w:p w14:paraId="25DA73B4" w14:textId="22B8DBA6" w:rsidR="00ED5A3C" w:rsidRPr="00BC22EA" w:rsidRDefault="00BC22EA" w:rsidP="00BC22EA">
          <w:pPr>
            <w:tabs>
              <w:tab w:val="left" w:pos="2880"/>
            </w:tabs>
            <w:spacing w:after="0"/>
            <w:ind w:left="1080"/>
          </w:pPr>
          <w:r>
            <w:t>Contact:</w:t>
          </w:r>
          <w:r>
            <w:tab/>
          </w:r>
          <w:r w:rsidR="000018C8" w:rsidRPr="00BC22EA">
            <w:t>TCEQ</w:t>
          </w:r>
          <w:r w:rsidR="00750504" w:rsidRPr="00BC22EA">
            <w:t xml:space="preserve"> </w:t>
          </w:r>
          <w:r w:rsidR="0099437D">
            <w:rPr>
              <w:lang w:eastAsia="ko-KR"/>
            </w:rPr>
            <w:t xml:space="preserve">Edwards Aquifer Protection </w:t>
          </w:r>
          <w:r w:rsidR="00750504" w:rsidRPr="00BC22EA">
            <w:t xml:space="preserve">Program Manager </w:t>
          </w:r>
        </w:p>
        <w:p w14:paraId="48958E8A" w14:textId="28CF348A" w:rsidR="00ED5A3C" w:rsidRPr="00BC22EA" w:rsidRDefault="0099437D" w:rsidP="00BC22EA">
          <w:pPr>
            <w:spacing w:after="0"/>
            <w:ind w:left="2880"/>
          </w:pPr>
          <w:r>
            <w:t>Austin</w:t>
          </w:r>
          <w:r w:rsidR="00750504" w:rsidRPr="00BC22EA">
            <w:t xml:space="preserve"> Regional Office</w:t>
          </w:r>
        </w:p>
        <w:p w14:paraId="4F360169" w14:textId="77777777" w:rsidR="00ED5A3C" w:rsidRPr="00BC22EA" w:rsidRDefault="00F32567" w:rsidP="00BC22EA">
          <w:pPr>
            <w:spacing w:after="0"/>
            <w:ind w:left="2880"/>
          </w:pPr>
          <w:r w:rsidRPr="00BC22EA">
            <w:t>P.O. Box 13087</w:t>
          </w:r>
        </w:p>
        <w:p w14:paraId="65E0E964" w14:textId="77777777" w:rsidR="00ED5A3C" w:rsidRPr="00BC22EA" w:rsidRDefault="000018C8" w:rsidP="00BC22EA">
          <w:pPr>
            <w:spacing w:after="0"/>
            <w:ind w:left="2880"/>
          </w:pPr>
          <w:r w:rsidRPr="00BC22EA">
            <w:t>Austin, Texas</w:t>
          </w:r>
          <w:r w:rsidR="007B2484" w:rsidRPr="00BC22EA">
            <w:t xml:space="preserve"> </w:t>
          </w:r>
          <w:r w:rsidR="00F32567" w:rsidRPr="00BC22EA">
            <w:t>78711-3087</w:t>
          </w:r>
        </w:p>
        <w:p w14:paraId="00668FC7" w14:textId="77777777" w:rsidR="00ED5A3C" w:rsidRPr="00BC22EA" w:rsidRDefault="000018C8" w:rsidP="00BC22EA">
          <w:pPr>
            <w:ind w:left="2880"/>
          </w:pPr>
          <w:r w:rsidRPr="00BC22EA">
            <w:t>(512) 339-2929</w:t>
          </w:r>
        </w:p>
        <w:p w14:paraId="79A66EBA" w14:textId="519D20FD" w:rsidR="00B65278" w:rsidRPr="00BC22EA" w:rsidRDefault="000018C8" w:rsidP="00400832">
          <w:pPr>
            <w:pStyle w:val="ListNumber"/>
          </w:pPr>
          <w:r w:rsidRPr="00BC22EA">
            <w:t>Authorization under this general permit is not transferable. If the owner or operator of the regulated entity changes, the present owner or operator shall submit a Notice of Termination (NOT) and the new owner or operator shall submit an NOI. The NOT and NOI must be submitted not later than 10 days prior to the change. Any change in a permittee</w:t>
          </w:r>
          <w:r w:rsidR="00F32567" w:rsidRPr="00BC22EA">
            <w:t>'</w:t>
          </w:r>
          <w:r w:rsidRPr="00BC22EA">
            <w:t xml:space="preserve">s </w:t>
          </w:r>
          <w:r w:rsidR="007943E3" w:rsidRPr="00BC22EA">
            <w:t>charter number issued by</w:t>
          </w:r>
          <w:r w:rsidR="00A52355" w:rsidRPr="00BC22EA">
            <w:t xml:space="preserve"> the Texas Secretary of State</w:t>
          </w:r>
          <w:r w:rsidRPr="00BC22EA">
            <w:t xml:space="preserve"> is considered a change in ownership of the company and would require the new owner to apply for permit </w:t>
          </w:r>
          <w:r w:rsidR="00D0452E">
            <w:t>authorization</w:t>
          </w:r>
          <w:r w:rsidRPr="00BC22EA">
            <w:t xml:space="preserve"> as stated above. If the NOT and NOI are submitted as required under this provision, there will be no lapse in authorization for this facility. </w:t>
          </w:r>
          <w:r w:rsidR="00A6367A" w:rsidRPr="00BC22EA">
            <w:t>Permittees discharging to a</w:t>
          </w:r>
          <w:r w:rsidR="00E177D1" w:rsidRPr="00BC22EA">
            <w:t>n</w:t>
          </w:r>
          <w:r w:rsidR="00A6367A" w:rsidRPr="00BC22EA">
            <w:t xml:space="preserve"> MS4 </w:t>
          </w:r>
          <w:r w:rsidR="00A41340" w:rsidRPr="00BC22EA">
            <w:t>shall</w:t>
          </w:r>
          <w:r w:rsidR="00A6367A" w:rsidRPr="00BC22EA">
            <w:t xml:space="preserve"> submit a copy of the NOT to the operator of the system </w:t>
          </w:r>
          <w:r w:rsidR="00FA4E24">
            <w:t>immediately after</w:t>
          </w:r>
          <w:r w:rsidR="00A6367A" w:rsidRPr="00BC22EA">
            <w:t xml:space="preserve"> the NOT is submitted to TCEQ. </w:t>
          </w:r>
        </w:p>
        <w:p w14:paraId="26CE5F5A" w14:textId="7E64820F" w:rsidR="00CB2589" w:rsidRDefault="00CB2589" w:rsidP="00400832">
          <w:pPr>
            <w:pStyle w:val="ListNumber"/>
          </w:pPr>
          <w:r>
            <w:t>The permittee must submit a Notice of Change (NOC) if any of the following actions occur.</w:t>
          </w:r>
          <w:r w:rsidRPr="00CB2589">
            <w:t xml:space="preserve"> </w:t>
          </w:r>
          <w:r>
            <w:t>The</w:t>
          </w:r>
          <w:r w:rsidRPr="00BC22EA">
            <w:t xml:space="preserve"> NOC</w:t>
          </w:r>
          <w:r>
            <w:t xml:space="preserve"> must be submitted</w:t>
          </w:r>
          <w:r w:rsidRPr="00BC22EA">
            <w:t xml:space="preserve"> </w:t>
          </w:r>
          <w:r>
            <w:t>via</w:t>
          </w:r>
          <w:r w:rsidRPr="00BC22EA">
            <w:t xml:space="preserve"> the online e-permitting system available through the TCEQ website unless the permittee obtained an electronic reporting waiver. Permittees discharging to an MS4 shall submit a copy of the NOC to the operator of the system </w:t>
          </w:r>
          <w:r w:rsidR="00D653A4">
            <w:t>immediately after</w:t>
          </w:r>
          <w:r w:rsidRPr="00BC22EA">
            <w:t xml:space="preserve"> the NOC is submitted to TCEQ.</w:t>
          </w:r>
        </w:p>
        <w:p w14:paraId="4BF1E869" w14:textId="5CD1E9CB" w:rsidR="00CB2589" w:rsidRDefault="000018C8" w:rsidP="00400832">
          <w:pPr>
            <w:pStyle w:val="ListNumber2"/>
            <w:numPr>
              <w:ilvl w:val="0"/>
              <w:numId w:val="62"/>
            </w:numPr>
          </w:pPr>
          <w:r w:rsidRPr="00BC22EA">
            <w:t xml:space="preserve">If the owner or operator becomes aware that it failed to submit any relevant facts or submitted incorrect information in a NOI, the correct information must be provided to the executive director within 14 days after discovery. </w:t>
          </w:r>
        </w:p>
        <w:p w14:paraId="00F2C093" w14:textId="3D724D0A" w:rsidR="00B65278" w:rsidRDefault="000018C8" w:rsidP="00400832">
          <w:pPr>
            <w:pStyle w:val="ListNumber2"/>
          </w:pPr>
          <w:r w:rsidRPr="00BC22EA">
            <w:t>If relevant informat</w:t>
          </w:r>
          <w:r w:rsidR="009A339F" w:rsidRPr="00BC22EA">
            <w:t xml:space="preserve">ion provided in the NOI changes, </w:t>
          </w:r>
          <w:r w:rsidRPr="00BC22EA">
            <w:t xml:space="preserve">for example, </w:t>
          </w:r>
          <w:r w:rsidR="00757071" w:rsidRPr="00BC22EA">
            <w:t>permittee address, billing address, number of outfalls, etc.</w:t>
          </w:r>
          <w:r w:rsidR="009A339F" w:rsidRPr="00BC22EA">
            <w:t xml:space="preserve">, </w:t>
          </w:r>
          <w:r w:rsidR="00CB2589">
            <w:t>the revised information</w:t>
          </w:r>
          <w:r w:rsidRPr="00BC22EA">
            <w:t xml:space="preserve"> must be submitted within 14 days of the change.</w:t>
          </w:r>
          <w:r w:rsidR="001426B1" w:rsidRPr="00BC22EA">
            <w:t xml:space="preserve"> </w:t>
          </w:r>
        </w:p>
        <w:p w14:paraId="08E10E96" w14:textId="302E74AF" w:rsidR="00CB2589" w:rsidRPr="009A0EE5" w:rsidRDefault="009A0EE5" w:rsidP="00400832">
          <w:pPr>
            <w:pStyle w:val="ListNumber2"/>
          </w:pPr>
          <w:r w:rsidRPr="009A0EE5">
            <w:t xml:space="preserve">If the </w:t>
          </w:r>
          <w:r w:rsidR="00392FFF" w:rsidRPr="00392FFF">
            <w:t xml:space="preserve">facility status changes from active to inactive </w:t>
          </w:r>
          <w:r w:rsidR="00241A14">
            <w:t>or</w:t>
          </w:r>
          <w:r w:rsidR="00392FFF" w:rsidRPr="00392FFF">
            <w:t xml:space="preserve"> vice versa</w:t>
          </w:r>
          <w:r w:rsidR="00CB2589" w:rsidRPr="009A0EE5">
            <w:t>.</w:t>
          </w:r>
        </w:p>
        <w:p w14:paraId="7BD27195" w14:textId="650259E3" w:rsidR="000018C8" w:rsidRPr="00BC22EA" w:rsidRDefault="000018C8" w:rsidP="00B06F00">
          <w:pPr>
            <w:pStyle w:val="Heading2"/>
          </w:pPr>
          <w:bookmarkStart w:id="10" w:name="_Toc419104026"/>
          <w:bookmarkStart w:id="11" w:name="_Toc196219272"/>
          <w:r w:rsidRPr="00BC22EA">
            <w:t>Section D.</w:t>
          </w:r>
          <w:r w:rsidR="007C4A0B" w:rsidRPr="00BC22EA">
            <w:t xml:space="preserve"> </w:t>
          </w:r>
          <w:r w:rsidRPr="00BC22EA">
            <w:t xml:space="preserve">Termination of </w:t>
          </w:r>
          <w:bookmarkEnd w:id="10"/>
          <w:r w:rsidR="00D0452E">
            <w:t>Authorization</w:t>
          </w:r>
          <w:bookmarkEnd w:id="11"/>
        </w:p>
        <w:p w14:paraId="535C6B72" w14:textId="7C6B48BC" w:rsidR="004C4E54" w:rsidRPr="00BC22EA" w:rsidRDefault="004C4E54" w:rsidP="00400832">
          <w:pPr>
            <w:pStyle w:val="BodyText"/>
          </w:pPr>
          <w:r w:rsidRPr="00BC22EA">
            <w:t xml:space="preserve">A permittee shall terminate </w:t>
          </w:r>
          <w:r w:rsidR="00D0452E">
            <w:t>authorization</w:t>
          </w:r>
          <w:r w:rsidRPr="00BC22EA">
            <w:t xml:space="preserve"> under this general permit through the submittal of a NOT, on a </w:t>
          </w:r>
          <w:r w:rsidR="007943E3" w:rsidRPr="00BC22EA">
            <w:t xml:space="preserve">form </w:t>
          </w:r>
          <w:r w:rsidRPr="00BC22EA">
            <w:t xml:space="preserve">approved by the </w:t>
          </w:r>
          <w:r w:rsidR="00AC2827" w:rsidRPr="00BC22EA">
            <w:t>e</w:t>
          </w:r>
          <w:r w:rsidRPr="00BC22EA">
            <w:t xml:space="preserve">xecutive </w:t>
          </w:r>
          <w:r w:rsidR="00AC2827" w:rsidRPr="00BC22EA">
            <w:t>d</w:t>
          </w:r>
          <w:r w:rsidRPr="00BC22EA">
            <w:t>irector, when the owner or operat</w:t>
          </w:r>
          <w:r w:rsidR="009D7491" w:rsidRPr="00BC22EA">
            <w:t>or</w:t>
          </w:r>
          <w:r w:rsidRPr="00BC22EA">
            <w:t xml:space="preserve"> of </w:t>
          </w:r>
          <w:r w:rsidR="00072E9E" w:rsidRPr="00BC22EA">
            <w:t xml:space="preserve">the </w:t>
          </w:r>
          <w:r w:rsidRPr="00BC22EA">
            <w:t xml:space="preserve">facility changes; the discharge becomes authorized under an individual </w:t>
          </w:r>
          <w:r w:rsidRPr="00BC22EA">
            <w:lastRenderedPageBreak/>
            <w:t xml:space="preserve">permit; the use of the property changes and is no longer subject to regulation under this general permit; or the discharge becomes unnecessary, is delayed, or is completed. </w:t>
          </w:r>
          <w:r w:rsidR="00CB2589">
            <w:t>P</w:t>
          </w:r>
          <w:r w:rsidR="004A3390" w:rsidRPr="00BC22EA">
            <w:t xml:space="preserve">ermittees must submit </w:t>
          </w:r>
          <w:r w:rsidR="00CB2589">
            <w:t>the</w:t>
          </w:r>
          <w:r w:rsidR="00CB2589" w:rsidRPr="00BC22EA">
            <w:t xml:space="preserve"> </w:t>
          </w:r>
          <w:r w:rsidR="004A3390" w:rsidRPr="00BC22EA">
            <w:t xml:space="preserve">NOT using the online e-permitting system available through the TCEQ website unless the permittee obtained an electronic reporting waiver. </w:t>
          </w:r>
          <w:r w:rsidRPr="00BC22EA">
            <w:t xml:space="preserve">Authorization terminates on the day that </w:t>
          </w:r>
          <w:r w:rsidR="00CB2589">
            <w:t>the</w:t>
          </w:r>
          <w:r w:rsidR="00CB2589" w:rsidRPr="00BC22EA">
            <w:t xml:space="preserve"> </w:t>
          </w:r>
          <w:r w:rsidRPr="00BC22EA">
            <w:t xml:space="preserve">NOT is postmarked for delivery to TCEQ. </w:t>
          </w:r>
          <w:r w:rsidR="00F27A05" w:rsidRPr="00BC22EA">
            <w:t xml:space="preserve">For </w:t>
          </w:r>
          <w:r w:rsidRPr="00BC22EA">
            <w:t xml:space="preserve">electronic submission of the NOT, authorization to discharge under this permit terminates immediately following confirmation of the receipt of the NOT by TCEQ. Compliance with the conditions and requirements of this permit </w:t>
          </w:r>
          <w:r w:rsidR="00261556" w:rsidRPr="00BC22EA">
            <w:t>are</w:t>
          </w:r>
          <w:r w:rsidRPr="00BC22EA">
            <w:t xml:space="preserve"> required until </w:t>
          </w:r>
          <w:r w:rsidR="00CB2589">
            <w:t>the</w:t>
          </w:r>
          <w:r w:rsidR="00CB2589" w:rsidRPr="00BC22EA">
            <w:t xml:space="preserve"> </w:t>
          </w:r>
          <w:r w:rsidRPr="00BC22EA">
            <w:t xml:space="preserve">NOT is submitted. Permittees discharging to </w:t>
          </w:r>
          <w:r w:rsidR="00E177D1" w:rsidRPr="00BC22EA">
            <w:t>an MS4</w:t>
          </w:r>
          <w:r w:rsidRPr="00BC22EA">
            <w:t xml:space="preserve"> </w:t>
          </w:r>
          <w:r w:rsidR="00A41340" w:rsidRPr="00BC22EA">
            <w:t>shall</w:t>
          </w:r>
          <w:r w:rsidRPr="00BC22EA">
            <w:t xml:space="preserve"> submit a copy of the NOT to the operator of the system </w:t>
          </w:r>
          <w:r w:rsidR="00FA4E24">
            <w:t>immediately after</w:t>
          </w:r>
          <w:r w:rsidRPr="00BC22EA">
            <w:t xml:space="preserve"> the NOT is submitted to TCEQ.</w:t>
          </w:r>
        </w:p>
        <w:p w14:paraId="1B92E5A2" w14:textId="77777777" w:rsidR="000018C8" w:rsidRPr="00BC22EA" w:rsidRDefault="00BA79FA" w:rsidP="00B06F00">
          <w:pPr>
            <w:pStyle w:val="Heading2"/>
          </w:pPr>
          <w:bookmarkStart w:id="12" w:name="_Toc419104027"/>
          <w:bookmarkStart w:id="13" w:name="_Toc196219273"/>
          <w:r w:rsidRPr="00BC22EA">
            <w:t>Se</w:t>
          </w:r>
          <w:r w:rsidR="000018C8" w:rsidRPr="00BC22EA">
            <w:t>ction E.</w:t>
          </w:r>
          <w:r w:rsidR="007C4A0B" w:rsidRPr="00BC22EA">
            <w:t xml:space="preserve"> </w:t>
          </w:r>
          <w:r w:rsidR="000018C8" w:rsidRPr="00BC22EA">
            <w:t xml:space="preserve">Authorization </w:t>
          </w:r>
          <w:r w:rsidR="00872DD1" w:rsidRPr="00BC22EA">
            <w:t>U</w:t>
          </w:r>
          <w:r w:rsidR="0017487B" w:rsidRPr="00BC22EA">
            <w:t xml:space="preserve">nder </w:t>
          </w:r>
          <w:r w:rsidR="000018C8" w:rsidRPr="00BC22EA">
            <w:t>an Individual Permit</w:t>
          </w:r>
          <w:bookmarkEnd w:id="12"/>
          <w:bookmarkEnd w:id="13"/>
        </w:p>
        <w:p w14:paraId="6D803CEF" w14:textId="77777777" w:rsidR="00B65278" w:rsidRPr="00BC22EA" w:rsidRDefault="000018C8" w:rsidP="00400832">
          <w:pPr>
            <w:pStyle w:val="ListNumber"/>
            <w:numPr>
              <w:ilvl w:val="0"/>
              <w:numId w:val="63"/>
            </w:numPr>
          </w:pPr>
          <w:r w:rsidRPr="00BC22EA">
            <w:t xml:space="preserve">Discharges eligible for authorization by this general permit may alternatively be authorized by an individual permit </w:t>
          </w:r>
          <w:r w:rsidR="00872DD1" w:rsidRPr="00BC22EA">
            <w:t>pursuant</w:t>
          </w:r>
          <w:r w:rsidRPr="00BC22EA">
            <w:t xml:space="preserve"> to 30 TAC Chapter 305</w:t>
          </w:r>
          <w:r w:rsidR="007943E3" w:rsidRPr="00BC22EA">
            <w:t>,</w:t>
          </w:r>
          <w:r w:rsidRPr="00BC22EA">
            <w:t xml:space="preserve"> </w:t>
          </w:r>
          <w:r w:rsidR="00A32EDB" w:rsidRPr="00BC22EA">
            <w:rPr>
              <w:rStyle w:val="Emphasis"/>
            </w:rPr>
            <w:t>Consolidated Permits</w:t>
          </w:r>
          <w:r w:rsidRPr="00BC22EA">
            <w:t>.</w:t>
          </w:r>
        </w:p>
        <w:p w14:paraId="6BAE88CB" w14:textId="4E46090C" w:rsidR="00BC22EA" w:rsidRDefault="000018C8" w:rsidP="00400832">
          <w:pPr>
            <w:pStyle w:val="ListNumber"/>
          </w:pPr>
          <w:r w:rsidRPr="00BC22EA">
            <w:t xml:space="preserve">When an individual permit is issued for a discharge that is currently authorized under this general permit, the permittee shall submit a NOT to the executive director. </w:t>
          </w:r>
        </w:p>
        <w:p w14:paraId="21C2CA36" w14:textId="77777777" w:rsidR="00B65278" w:rsidRPr="00BC22EA" w:rsidRDefault="000018C8" w:rsidP="00400832">
          <w:pPr>
            <w:pStyle w:val="ListNumber"/>
          </w:pPr>
          <w:r w:rsidRPr="00BC22EA">
            <w:t>Discharges from facilities currently authorized by an individual permit and discharges from facilities currently authorized under another general permit may only be authorized under this general permit if the following conditions are met:</w:t>
          </w:r>
        </w:p>
        <w:p w14:paraId="48D433D6" w14:textId="6FD5DEFC" w:rsidR="00B65278" w:rsidRPr="00BC22EA" w:rsidRDefault="00A52355" w:rsidP="00400832">
          <w:pPr>
            <w:pStyle w:val="ListNumber2"/>
            <w:numPr>
              <w:ilvl w:val="0"/>
              <w:numId w:val="64"/>
            </w:numPr>
          </w:pPr>
          <w:r w:rsidRPr="00BC22EA">
            <w:t>t</w:t>
          </w:r>
          <w:r w:rsidR="000018C8" w:rsidRPr="00BC22EA">
            <w:t xml:space="preserve">he discharges meet the applicability and eligibility requirements for </w:t>
          </w:r>
          <w:r w:rsidR="00D0452E">
            <w:t>authorization</w:t>
          </w:r>
          <w:r w:rsidR="000018C8" w:rsidRPr="00BC22EA">
            <w:t xml:space="preserve"> under this general permit;</w:t>
          </w:r>
        </w:p>
        <w:p w14:paraId="0FD577C1" w14:textId="77777777" w:rsidR="00B65278" w:rsidRPr="00BC22EA" w:rsidRDefault="00A52355" w:rsidP="00400832">
          <w:pPr>
            <w:pStyle w:val="ListNumber2"/>
          </w:pPr>
          <w:r w:rsidRPr="00BC22EA">
            <w:t>t</w:t>
          </w:r>
          <w:r w:rsidR="000018C8" w:rsidRPr="00BC22EA">
            <w:t>he current individual permit does not contain numeric water-quality based effluent limitations</w:t>
          </w:r>
          <w:r w:rsidR="006E6C11" w:rsidRPr="00BC22EA">
            <w:t xml:space="preserve"> that are more stringent than the numeric effluent limitation</w:t>
          </w:r>
          <w:r w:rsidRPr="00BC22EA">
            <w:t>s</w:t>
          </w:r>
          <w:r w:rsidR="006E6C11" w:rsidRPr="00BC22EA">
            <w:t xml:space="preserve"> in this general permit or the current individual permit does not contain numeric effluent limitations that are not included in the general permit </w:t>
          </w:r>
          <w:r w:rsidR="000018C8" w:rsidRPr="00BC22EA">
            <w:t>unless the discharges that resulted in the limitations have ceased and any contamination that resulted in those limitations is removed or remediated;</w:t>
          </w:r>
        </w:p>
        <w:p w14:paraId="0B5FE6E1" w14:textId="7AD84A47" w:rsidR="00B65278" w:rsidRPr="00BC22EA" w:rsidRDefault="00A52355" w:rsidP="00400832">
          <w:pPr>
            <w:pStyle w:val="ListNumber2"/>
          </w:pPr>
          <w:r w:rsidRPr="00BC22EA">
            <w:t>t</w:t>
          </w:r>
          <w:r w:rsidR="000018C8" w:rsidRPr="00BC22EA">
            <w:t xml:space="preserve">he executive director has not determined that continued </w:t>
          </w:r>
          <w:r w:rsidR="00D0452E">
            <w:t>authorization</w:t>
          </w:r>
          <w:r w:rsidR="000018C8" w:rsidRPr="00BC22EA">
            <w:t xml:space="preserve"> under an individual permit is required based on consideration of a TMDL</w:t>
          </w:r>
          <w:r w:rsidR="006E6C11" w:rsidRPr="00BC22EA">
            <w:t xml:space="preserve">, TMDL Implementation Plan, anti-backsliding requirements, a </w:t>
          </w:r>
          <w:r w:rsidR="000018C8" w:rsidRPr="00BC22EA">
            <w:t>history of substantive non-compliance, or other site-specific considerations;</w:t>
          </w:r>
        </w:p>
        <w:p w14:paraId="79290F51" w14:textId="77777777" w:rsidR="00B65278" w:rsidRPr="00BC22EA" w:rsidRDefault="00A52355" w:rsidP="00400832">
          <w:pPr>
            <w:pStyle w:val="ListNumber2"/>
          </w:pPr>
          <w:r w:rsidRPr="00BC22EA">
            <w:t>a</w:t>
          </w:r>
          <w:r w:rsidR="000018C8" w:rsidRPr="00BC22EA">
            <w:t xml:space="preserve"> previous application or permit for the discharge </w:t>
          </w:r>
          <w:r w:rsidR="006E6C11" w:rsidRPr="00BC22EA">
            <w:t xml:space="preserve">was not </w:t>
          </w:r>
          <w:r w:rsidR="000018C8" w:rsidRPr="00BC22EA">
            <w:t xml:space="preserve">denied, terminated, or revoked by the executive director </w:t>
          </w:r>
          <w:r w:rsidR="00CD3E0A" w:rsidRPr="00BC22EA">
            <w:t>because</w:t>
          </w:r>
          <w:r w:rsidRPr="00BC22EA">
            <w:t xml:space="preserve"> of enforcement or water </w:t>
          </w:r>
          <w:r w:rsidR="000018C8" w:rsidRPr="00BC22EA">
            <w:t>quality</w:t>
          </w:r>
          <w:r w:rsidRPr="00BC22EA">
            <w:t>-</w:t>
          </w:r>
          <w:r w:rsidR="000018C8" w:rsidRPr="00BC22EA">
            <w:t xml:space="preserve">related concerns. The executive director may provide a waiver to this provision based on new circumstances at the facility or if there is a new facility owner or operator; and </w:t>
          </w:r>
        </w:p>
        <w:p w14:paraId="373D7E81" w14:textId="77777777" w:rsidR="00B65278" w:rsidRPr="00BC22EA" w:rsidRDefault="00A52355" w:rsidP="00400832">
          <w:pPr>
            <w:pStyle w:val="ListNumber2"/>
          </w:pPr>
          <w:r w:rsidRPr="00BC22EA">
            <w:t>t</w:t>
          </w:r>
          <w:r w:rsidR="000018C8" w:rsidRPr="00BC22EA">
            <w:t>he applicant requests cancellation of the existing individual permit within 30 days after notice that authorization under this general permit is effective.</w:t>
          </w:r>
        </w:p>
        <w:p w14:paraId="4D2AD9E1" w14:textId="77777777" w:rsidR="00B65278" w:rsidRPr="00BC22EA" w:rsidRDefault="000018C8" w:rsidP="00400832">
          <w:pPr>
            <w:pStyle w:val="ListNumber"/>
          </w:pPr>
          <w:r w:rsidRPr="00BC22EA">
            <w:t>Discharges from new outfalls at ready-mixed concrete plants, concrete products plants, and associated facilities authorized under an individual permit, or under a separate general permit, may be authorized under this general permit if the following conditions are met:</w:t>
          </w:r>
        </w:p>
        <w:p w14:paraId="7FF55D5C" w14:textId="56A672D0" w:rsidR="00B65278" w:rsidRPr="00BC22EA" w:rsidRDefault="00A52355" w:rsidP="00400832">
          <w:pPr>
            <w:pStyle w:val="ListNumber2"/>
            <w:numPr>
              <w:ilvl w:val="0"/>
              <w:numId w:val="65"/>
            </w:numPr>
          </w:pPr>
          <w:r w:rsidRPr="00BC22EA">
            <w:t>t</w:t>
          </w:r>
          <w:r w:rsidR="000018C8" w:rsidRPr="00BC22EA">
            <w:t xml:space="preserve">he proposed discharges meet the applicability and eligibility requirements for </w:t>
          </w:r>
          <w:r w:rsidR="00D0452E">
            <w:t>authorization</w:t>
          </w:r>
          <w:r w:rsidR="000018C8" w:rsidRPr="00BC22EA">
            <w:t xml:space="preserve"> under this general permit;</w:t>
          </w:r>
        </w:p>
        <w:p w14:paraId="030B7D59" w14:textId="77777777" w:rsidR="00B65278" w:rsidRPr="00BC22EA" w:rsidRDefault="00A52355" w:rsidP="00400832">
          <w:pPr>
            <w:pStyle w:val="ListNumber2"/>
          </w:pPr>
          <w:r w:rsidRPr="00BC22EA">
            <w:lastRenderedPageBreak/>
            <w:t>t</w:t>
          </w:r>
          <w:r w:rsidR="006E6C11" w:rsidRPr="00BC22EA">
            <w:t>he current individual permit</w:t>
          </w:r>
          <w:r w:rsidRPr="00BC22EA">
            <w:t xml:space="preserve"> does not contain numeric water quality-</w:t>
          </w:r>
          <w:r w:rsidR="006E6C11" w:rsidRPr="00BC22EA">
            <w:t>based effluent limitations that are more stringent than the numeric effluent limitation in this general permit or the current individual permit does not contain numeric effluent limitations that are not included in the general permit unless the discharges that resulted in the limitations have ceased and any contamination that resulted in those limitations is removed or remediated;</w:t>
          </w:r>
        </w:p>
        <w:p w14:paraId="6AD47A99" w14:textId="4A8F7A7E" w:rsidR="00B65278" w:rsidRPr="00BC22EA" w:rsidRDefault="00A52355" w:rsidP="00400832">
          <w:pPr>
            <w:pStyle w:val="ListNumber2"/>
          </w:pPr>
          <w:r w:rsidRPr="00BC22EA">
            <w:t>t</w:t>
          </w:r>
          <w:r w:rsidR="006E6C11" w:rsidRPr="00BC22EA">
            <w:t xml:space="preserve">he executive director has not determined that continued </w:t>
          </w:r>
          <w:r w:rsidR="00D0452E">
            <w:t>authorization</w:t>
          </w:r>
          <w:r w:rsidR="006E6C11" w:rsidRPr="00BC22EA">
            <w:t xml:space="preserve"> under an individual permit is required based on consideration of </w:t>
          </w:r>
          <w:r w:rsidR="00A826A8" w:rsidRPr="00BC22EA">
            <w:t xml:space="preserve">a </w:t>
          </w:r>
          <w:r w:rsidR="006E6C11" w:rsidRPr="00BC22EA">
            <w:t>TMDL, TMDL Implementation Plan, anti-backsliding requirements, a history of substantive non-compliance, or other site-specific considerations</w:t>
          </w:r>
          <w:r w:rsidR="000018C8" w:rsidRPr="00BC22EA">
            <w:t>; and</w:t>
          </w:r>
        </w:p>
        <w:p w14:paraId="7470336C" w14:textId="77777777" w:rsidR="00B65278" w:rsidRPr="00BC22EA" w:rsidRDefault="00A52355" w:rsidP="00400832">
          <w:pPr>
            <w:pStyle w:val="ListNumber2"/>
          </w:pPr>
          <w:r w:rsidRPr="00BC22EA">
            <w:t>a</w:t>
          </w:r>
          <w:r w:rsidR="000018C8" w:rsidRPr="00BC22EA">
            <w:t xml:space="preserve"> previous application or permit for the proposed discharge </w:t>
          </w:r>
          <w:r w:rsidR="006E6C11" w:rsidRPr="00BC22EA">
            <w:t>was</w:t>
          </w:r>
          <w:r w:rsidR="000018C8" w:rsidRPr="00BC22EA">
            <w:t xml:space="preserve"> not denied, terminated, or revoked by the executive director </w:t>
          </w:r>
          <w:r w:rsidR="00CD3E0A" w:rsidRPr="00BC22EA">
            <w:t>because</w:t>
          </w:r>
          <w:r w:rsidRPr="00BC22EA">
            <w:t xml:space="preserve"> of enforcement or water quality-</w:t>
          </w:r>
          <w:r w:rsidR="000018C8" w:rsidRPr="00BC22EA">
            <w:t xml:space="preserve">related concerns. The executive director may provide a waiver to this provision based on new circumstances at the facility, or if there is a new facility owner or operator. </w:t>
          </w:r>
        </w:p>
        <w:p w14:paraId="0F71A01D" w14:textId="77777777" w:rsidR="000018C8" w:rsidRPr="00BC22EA" w:rsidRDefault="000018C8" w:rsidP="00B06F00">
          <w:pPr>
            <w:pStyle w:val="Heading2"/>
          </w:pPr>
          <w:bookmarkStart w:id="14" w:name="_Toc419104028"/>
          <w:bookmarkStart w:id="15" w:name="_Toc196219274"/>
          <w:r w:rsidRPr="00BC22EA">
            <w:t>Section F.</w:t>
          </w:r>
          <w:r w:rsidR="007C4A0B" w:rsidRPr="00BC22EA">
            <w:t xml:space="preserve"> </w:t>
          </w:r>
          <w:r w:rsidRPr="00BC22EA">
            <w:t>Permit Expiration</w:t>
          </w:r>
          <w:bookmarkEnd w:id="14"/>
          <w:bookmarkEnd w:id="15"/>
        </w:p>
        <w:p w14:paraId="15181EFA" w14:textId="77777777" w:rsidR="00B65278" w:rsidRPr="00BC22EA" w:rsidRDefault="000018C8" w:rsidP="00400832">
          <w:pPr>
            <w:pStyle w:val="ListNumber"/>
            <w:numPr>
              <w:ilvl w:val="0"/>
              <w:numId w:val="66"/>
            </w:numPr>
          </w:pPr>
          <w:r w:rsidRPr="00BC22EA">
            <w:t xml:space="preserve">This general permit is effective for five years from </w:t>
          </w:r>
          <w:r w:rsidR="005457FE" w:rsidRPr="00BC22EA">
            <w:t>the effective</w:t>
          </w:r>
          <w:r w:rsidRPr="00BC22EA">
            <w:t xml:space="preserve"> date. Authorizations for discharge under the provisions of this general permit may </w:t>
          </w:r>
          <w:r w:rsidR="004C4E54" w:rsidRPr="00BC22EA">
            <w:t>be issued</w:t>
          </w:r>
          <w:r w:rsidRPr="00BC22EA">
            <w:t xml:space="preserve"> until the expiration date of the general permit. This general permit may be amended, revoked, canceled or renewed by the commission </w:t>
          </w:r>
          <w:r w:rsidR="004C4E54" w:rsidRPr="00BC22EA">
            <w:t>after notice and comment as provided by 30 TAC §</w:t>
          </w:r>
          <w:r w:rsidR="00B3383F" w:rsidRPr="00BC22EA">
            <w:t>§</w:t>
          </w:r>
          <w:r w:rsidR="004C4E54" w:rsidRPr="00BC22EA">
            <w:t>205.3</w:t>
          </w:r>
          <w:r w:rsidR="00797909" w:rsidRPr="00BC22EA">
            <w:t xml:space="preserve">, </w:t>
          </w:r>
          <w:r w:rsidR="00797909" w:rsidRPr="005B225F">
            <w:rPr>
              <w:i/>
            </w:rPr>
            <w:t>Public Notice, Public Meetings, and Public Comment</w:t>
          </w:r>
          <w:r w:rsidR="00797909" w:rsidRPr="00BC22EA">
            <w:t>,</w:t>
          </w:r>
          <w:r w:rsidR="004C4E54" w:rsidRPr="00BC22EA">
            <w:t xml:space="preserve"> and 205.5</w:t>
          </w:r>
          <w:r w:rsidR="00797909" w:rsidRPr="00BC22EA">
            <w:t xml:space="preserve">, </w:t>
          </w:r>
          <w:r w:rsidR="00797909" w:rsidRPr="005B225F">
            <w:rPr>
              <w:i/>
            </w:rPr>
            <w:t>Permit Duration, Amendment, and Renewal</w:t>
          </w:r>
          <w:r w:rsidR="00E177D1" w:rsidRPr="00BC22EA">
            <w:t>.</w:t>
          </w:r>
        </w:p>
        <w:p w14:paraId="59691743" w14:textId="77777777" w:rsidR="00B65278" w:rsidRPr="00BC22EA" w:rsidRDefault="000018C8" w:rsidP="00400832">
          <w:pPr>
            <w:pStyle w:val="ListNumber"/>
          </w:pPr>
          <w:r w:rsidRPr="00BC22EA">
            <w:t xml:space="preserve">If the </w:t>
          </w:r>
          <w:r w:rsidR="00C11284" w:rsidRPr="00BC22EA">
            <w:t>commission</w:t>
          </w:r>
          <w:r w:rsidR="00546371" w:rsidRPr="00BC22EA">
            <w:t xml:space="preserve"> </w:t>
          </w:r>
          <w:r w:rsidRPr="00BC22EA">
            <w:t xml:space="preserve">proposes to reissue this general permit before the expiration date, the general permit will remain in effect after the expiration date for those existing discharges covered by the general permit in accordance with 30 TAC Chapter 205. The general permit will remain in effect for these </w:t>
          </w:r>
          <w:r w:rsidR="00A00A18" w:rsidRPr="00BC22EA">
            <w:t>permittees</w:t>
          </w:r>
          <w:r w:rsidRPr="00BC22EA">
            <w:t xml:space="preserve"> until the date </w:t>
          </w:r>
          <w:r w:rsidR="00AC2827" w:rsidRPr="00BC22EA">
            <w:t xml:space="preserve">the </w:t>
          </w:r>
          <w:r w:rsidRPr="00BC22EA">
            <w:t xml:space="preserve">commission takes final action on the proposal to reissue this general permit. No new NOIs will be </w:t>
          </w:r>
          <w:r w:rsidR="006E6C11" w:rsidRPr="00BC22EA">
            <w:t xml:space="preserve">processed by the executive director and no </w:t>
          </w:r>
          <w:r w:rsidRPr="00BC22EA">
            <w:t xml:space="preserve">new authorizations </w:t>
          </w:r>
          <w:r w:rsidR="006E6C11" w:rsidRPr="00BC22EA">
            <w:t xml:space="preserve">will be issued </w:t>
          </w:r>
          <w:r w:rsidRPr="00BC22EA">
            <w:rPr>
              <w:rStyle w:val="Strong"/>
              <w:b w:val="0"/>
            </w:rPr>
            <w:t>under th</w:t>
          </w:r>
          <w:r w:rsidR="006E6C11" w:rsidRPr="00BC22EA">
            <w:rPr>
              <w:rStyle w:val="Strong"/>
              <w:b w:val="0"/>
            </w:rPr>
            <w:t>is</w:t>
          </w:r>
          <w:r w:rsidRPr="00BC22EA">
            <w:rPr>
              <w:rStyle w:val="Strong"/>
              <w:b w:val="0"/>
            </w:rPr>
            <w:t xml:space="preserve"> general permit</w:t>
          </w:r>
          <w:r w:rsidRPr="00BC22EA">
            <w:t xml:space="preserve"> after the expiration date</w:t>
          </w:r>
          <w:r w:rsidR="006E6C11" w:rsidRPr="00BC22EA">
            <w:t xml:space="preserve"> of the general permit or after the effective date of an amended and re-issued </w:t>
          </w:r>
          <w:r w:rsidR="00134FB1" w:rsidRPr="00BC22EA">
            <w:t>general permit</w:t>
          </w:r>
          <w:r w:rsidRPr="00BC22EA">
            <w:t xml:space="preserve">. </w:t>
          </w:r>
        </w:p>
        <w:p w14:paraId="2FAE5941" w14:textId="77777777" w:rsidR="00B65278" w:rsidRPr="00BC22EA" w:rsidRDefault="000018C8" w:rsidP="00400832">
          <w:pPr>
            <w:pStyle w:val="ListNumber"/>
          </w:pPr>
          <w:r w:rsidRPr="00BC22EA">
            <w:t xml:space="preserve">Upon issuance of a renewed or amended general permit, all </w:t>
          </w:r>
          <w:r w:rsidR="003650CF" w:rsidRPr="00BC22EA">
            <w:t>permittees</w:t>
          </w:r>
          <w:r w:rsidRPr="00BC22EA">
            <w:t>, including those covered under the expired general permit, are required to submit an NOI according to the requirements of the new general permit</w:t>
          </w:r>
          <w:r w:rsidR="001A2479" w:rsidRPr="00BC22EA">
            <w:t xml:space="preserve"> or</w:t>
          </w:r>
          <w:r w:rsidRPr="00BC22EA">
            <w:t xml:space="preserve"> obtain a</w:t>
          </w:r>
          <w:r w:rsidR="001A2479" w:rsidRPr="00BC22EA">
            <w:t>n i</w:t>
          </w:r>
          <w:r w:rsidRPr="00BC22EA">
            <w:t>ndividual permi</w:t>
          </w:r>
          <w:r w:rsidR="001A2479" w:rsidRPr="00BC22EA">
            <w:t xml:space="preserve">t </w:t>
          </w:r>
          <w:r w:rsidRPr="00BC22EA">
            <w:t>for those discharges.</w:t>
          </w:r>
        </w:p>
        <w:p w14:paraId="4EA2EC60" w14:textId="0F330347" w:rsidR="00083CBC" w:rsidRDefault="000018C8" w:rsidP="00400832">
          <w:pPr>
            <w:pStyle w:val="ListNumber"/>
          </w:pPr>
          <w:r w:rsidRPr="00BC22EA">
            <w:t xml:space="preserve">If the commission does not propose to reissue this general permit </w:t>
          </w:r>
          <w:r w:rsidR="00E177D1" w:rsidRPr="00BC22EA">
            <w:t xml:space="preserve">at least </w:t>
          </w:r>
          <w:r w:rsidRPr="00BC22EA">
            <w:t>90 days before the expiration date, permittees shall apply for authorization under an individual permit or an alternative general permit</w:t>
          </w:r>
          <w:r w:rsidR="00134FB1" w:rsidRPr="00BC22EA">
            <w:t xml:space="preserve"> if available</w:t>
          </w:r>
          <w:r w:rsidRPr="00BC22EA">
            <w:t>. If the application for an individual permit is submitted before the expiration date, authorization under this expiring general permit remains in effect until the issuance or denial of an individual permit.</w:t>
          </w:r>
        </w:p>
        <w:p w14:paraId="1B11A6A7" w14:textId="63A8A6FD" w:rsidR="00BC22EA" w:rsidRDefault="00083CBC" w:rsidP="00400832">
          <w:pPr>
            <w:widowControl/>
            <w:autoSpaceDE/>
            <w:autoSpaceDN/>
            <w:adjustRightInd/>
            <w:spacing w:after="0"/>
          </w:pPr>
          <w:r>
            <w:br w:type="page"/>
          </w:r>
        </w:p>
        <w:p w14:paraId="1C976E10" w14:textId="77777777" w:rsidR="000018C8" w:rsidRPr="00BC22EA" w:rsidRDefault="000018C8" w:rsidP="00B06F00">
          <w:pPr>
            <w:pStyle w:val="Heading1"/>
          </w:pPr>
          <w:bookmarkStart w:id="16" w:name="_Toc419104029"/>
          <w:bookmarkStart w:id="17" w:name="_Toc196219275"/>
          <w:r w:rsidRPr="00BC22EA">
            <w:lastRenderedPageBreak/>
            <w:t>Part III.</w:t>
          </w:r>
          <w:r w:rsidR="007C4A0B" w:rsidRPr="00BC22EA">
            <w:t xml:space="preserve"> </w:t>
          </w:r>
          <w:r w:rsidRPr="00BC22EA">
            <w:t>Permit Requirements</w:t>
          </w:r>
          <w:bookmarkEnd w:id="16"/>
          <w:bookmarkEnd w:id="17"/>
        </w:p>
        <w:p w14:paraId="786629A9" w14:textId="77777777" w:rsidR="000018C8" w:rsidRPr="00BC22EA" w:rsidRDefault="000018C8" w:rsidP="00B06F00">
          <w:pPr>
            <w:pStyle w:val="Heading2"/>
          </w:pPr>
          <w:bookmarkStart w:id="18" w:name="_Toc196219276"/>
          <w:bookmarkStart w:id="19" w:name="_Toc419104030"/>
          <w:r w:rsidRPr="00BC22EA">
            <w:t>Section A.</w:t>
          </w:r>
          <w:r w:rsidR="007C4A0B" w:rsidRPr="00BC22EA">
            <w:t xml:space="preserve"> </w:t>
          </w:r>
          <w:r w:rsidR="00777703" w:rsidRPr="00BC22EA">
            <w:t xml:space="preserve">Discharge of </w:t>
          </w:r>
          <w:r w:rsidRPr="00BC22EA">
            <w:t xml:space="preserve">Wastewater and Wastewater Commingled with </w:t>
          </w:r>
          <w:r w:rsidR="006E6F08" w:rsidRPr="00BC22EA">
            <w:t>Stormwater</w:t>
          </w:r>
          <w:bookmarkEnd w:id="18"/>
          <w:r w:rsidRPr="00BC22EA">
            <w:t xml:space="preserve"> </w:t>
          </w:r>
          <w:bookmarkEnd w:id="19"/>
        </w:p>
        <w:p w14:paraId="02592E09" w14:textId="77777777" w:rsidR="003B7399" w:rsidRPr="00BC22EA" w:rsidRDefault="00390BD9" w:rsidP="00400832">
          <w:pPr>
            <w:pStyle w:val="BodyText"/>
          </w:pPr>
          <w:r w:rsidRPr="00BC22EA">
            <w:t>This section applies to the discharge of facility wastewater and facility wastewater that is commingled with stormwater associated with industrial activities.</w:t>
          </w:r>
        </w:p>
        <w:p w14:paraId="3247C9A4" w14:textId="77777777" w:rsidR="00ED5A3C" w:rsidRPr="00BC22EA" w:rsidRDefault="00AB77B1" w:rsidP="00400832">
          <w:pPr>
            <w:pStyle w:val="ListNumber"/>
            <w:numPr>
              <w:ilvl w:val="0"/>
              <w:numId w:val="67"/>
            </w:numPr>
          </w:pPr>
          <w:r w:rsidRPr="00BC22EA">
            <w:t xml:space="preserve">Conventional Pollutants </w:t>
          </w:r>
          <w:r w:rsidR="00C6323A" w:rsidRPr="00BC22EA">
            <w:t>Numeric Effluent Limitations</w:t>
          </w:r>
          <w:r w:rsidRPr="00BC22EA">
            <w:t xml:space="preserve"> and Monitoring Frequencies</w:t>
          </w:r>
        </w:p>
        <w:tbl>
          <w:tblPr>
            <w:tblStyle w:val="TableGrid"/>
            <w:tblW w:w="8995" w:type="dxa"/>
            <w:tblInd w:w="355" w:type="dxa"/>
            <w:tblLook w:val="0020" w:firstRow="1" w:lastRow="0" w:firstColumn="0" w:lastColumn="0" w:noHBand="0" w:noVBand="0"/>
            <w:tblDescription w:val="Numeric Effluent Limiations and Monitoring Frequencies for Conventional Pollutants in Wastewater Only or Wastewater Combined with Stormwater"/>
          </w:tblPr>
          <w:tblGrid>
            <w:gridCol w:w="4027"/>
            <w:gridCol w:w="1890"/>
            <w:gridCol w:w="1350"/>
            <w:gridCol w:w="1728"/>
          </w:tblGrid>
          <w:tr w:rsidR="00AB77B1" w:rsidRPr="00BC22EA" w14:paraId="72E89D57" w14:textId="77777777" w:rsidTr="00400832">
            <w:trPr>
              <w:tblHeader/>
            </w:trPr>
            <w:tc>
              <w:tcPr>
                <w:tcW w:w="4027" w:type="dxa"/>
                <w:vAlign w:val="center"/>
              </w:tcPr>
              <w:p w14:paraId="070F5F2B" w14:textId="77777777" w:rsidR="00AB77B1" w:rsidRPr="00400832" w:rsidRDefault="00AB77B1" w:rsidP="00E466F7">
                <w:pPr>
                  <w:rPr>
                    <w:rStyle w:val="Strong"/>
                  </w:rPr>
                </w:pPr>
                <w:r w:rsidRPr="00400832">
                  <w:rPr>
                    <w:rStyle w:val="Strong"/>
                  </w:rPr>
                  <w:t>Parameter</w:t>
                </w:r>
              </w:p>
            </w:tc>
            <w:tc>
              <w:tcPr>
                <w:tcW w:w="1890" w:type="dxa"/>
                <w:vAlign w:val="center"/>
              </w:tcPr>
              <w:p w14:paraId="4D80F592" w14:textId="77777777" w:rsidR="00455B86" w:rsidRPr="00687271" w:rsidRDefault="00AB77B1" w:rsidP="00455B86">
                <w:pPr>
                  <w:rPr>
                    <w:rStyle w:val="Strong"/>
                  </w:rPr>
                </w:pPr>
                <w:r w:rsidRPr="00400832">
                  <w:rPr>
                    <w:rStyle w:val="Strong"/>
                  </w:rPr>
                  <w:t>Daily Maximum</w:t>
                </w:r>
              </w:p>
              <w:p w14:paraId="73C29CC8" w14:textId="17BA09DD" w:rsidR="00AB77B1" w:rsidRPr="00400832" w:rsidRDefault="00455B86" w:rsidP="00455B86">
                <w:pPr>
                  <w:rPr>
                    <w:rStyle w:val="Strong"/>
                  </w:rPr>
                </w:pPr>
                <w:r>
                  <w:rPr>
                    <w:rStyle w:val="Strong"/>
                  </w:rPr>
                  <w:t>(</w:t>
                </w:r>
                <w:r w:rsidRPr="00687271">
                  <w:rPr>
                    <w:rStyle w:val="Strong"/>
                  </w:rPr>
                  <w:t>mg/L</w:t>
                </w:r>
                <w:r w:rsidR="00AC4A58" w:rsidRPr="00687271">
                  <w:rPr>
                    <w:b/>
                    <w:bCs/>
                    <w:vertAlign w:val="superscript"/>
                  </w:rPr>
                  <w:t>1</w:t>
                </w:r>
                <w:r w:rsidRPr="00687271">
                  <w:rPr>
                    <w:rStyle w:val="Strong"/>
                  </w:rPr>
                  <w:t>)</w:t>
                </w:r>
              </w:p>
            </w:tc>
            <w:tc>
              <w:tcPr>
                <w:tcW w:w="1350" w:type="dxa"/>
                <w:vAlign w:val="center"/>
              </w:tcPr>
              <w:p w14:paraId="0C058C49" w14:textId="77777777" w:rsidR="00AB77B1" w:rsidRPr="00400832" w:rsidRDefault="00AB77B1" w:rsidP="00E466F7">
                <w:pPr>
                  <w:rPr>
                    <w:rStyle w:val="Strong"/>
                  </w:rPr>
                </w:pPr>
                <w:r w:rsidRPr="00400832">
                  <w:rPr>
                    <w:rStyle w:val="Strong"/>
                  </w:rPr>
                  <w:t>Sample Type</w:t>
                </w:r>
              </w:p>
            </w:tc>
            <w:tc>
              <w:tcPr>
                <w:tcW w:w="1728" w:type="dxa"/>
                <w:vAlign w:val="center"/>
              </w:tcPr>
              <w:p w14:paraId="4BE38816" w14:textId="77777777" w:rsidR="00AB77B1" w:rsidRPr="00400832" w:rsidRDefault="00AB77B1" w:rsidP="00E466F7">
                <w:pPr>
                  <w:rPr>
                    <w:rStyle w:val="Strong"/>
                  </w:rPr>
                </w:pPr>
                <w:r w:rsidRPr="00400832">
                  <w:rPr>
                    <w:rStyle w:val="Strong"/>
                  </w:rPr>
                  <w:t>Monitoring Frequency</w:t>
                </w:r>
              </w:p>
            </w:tc>
          </w:tr>
          <w:tr w:rsidR="00AB77B1" w:rsidRPr="00BC22EA" w14:paraId="10921909" w14:textId="77777777" w:rsidTr="00400832">
            <w:tc>
              <w:tcPr>
                <w:tcW w:w="4027" w:type="dxa"/>
              </w:tcPr>
              <w:p w14:paraId="60E8FB47" w14:textId="1036E96F" w:rsidR="00AB77B1" w:rsidRPr="00BC22EA" w:rsidRDefault="00AB77B1" w:rsidP="00AB77B1">
                <w:r w:rsidRPr="00BC22EA">
                  <w:t>Flow</w:t>
                </w:r>
                <w:r w:rsidR="00C45682">
                  <w:t xml:space="preserve"> (million gallons per day, MGD)</w:t>
                </w:r>
              </w:p>
            </w:tc>
            <w:tc>
              <w:tcPr>
                <w:tcW w:w="1890" w:type="dxa"/>
              </w:tcPr>
              <w:p w14:paraId="64FCC98D" w14:textId="36DE98B5" w:rsidR="00AB77B1" w:rsidRPr="00BC22EA" w:rsidRDefault="00AB77B1" w:rsidP="00AB77B1">
                <w:r w:rsidRPr="00BC22EA">
                  <w:t>Report</w:t>
                </w:r>
                <w:r w:rsidR="00E466F7">
                  <w:t>,</w:t>
                </w:r>
                <w:r w:rsidRPr="00BC22EA">
                  <w:t xml:space="preserve"> MGD</w:t>
                </w:r>
              </w:p>
            </w:tc>
            <w:tc>
              <w:tcPr>
                <w:tcW w:w="1350" w:type="dxa"/>
              </w:tcPr>
              <w:p w14:paraId="50CD229A" w14:textId="6C0DD81B" w:rsidR="00AB77B1" w:rsidRPr="00BC22EA" w:rsidRDefault="00AB77B1" w:rsidP="00AB77B1">
                <w:r w:rsidRPr="00BC22EA">
                  <w:t>Estimate</w:t>
                </w:r>
              </w:p>
            </w:tc>
            <w:tc>
              <w:tcPr>
                <w:tcW w:w="1728" w:type="dxa"/>
              </w:tcPr>
              <w:p w14:paraId="68B55BDD" w14:textId="25A607C4" w:rsidR="00AB77B1" w:rsidRPr="00BC22EA" w:rsidRDefault="00AB77B1" w:rsidP="00AB77B1">
                <w:r w:rsidRPr="00BC22EA">
                  <w:t>1/month</w:t>
                </w:r>
                <w:r w:rsidR="00AC4A58">
                  <w:rPr>
                    <w:b/>
                    <w:bCs/>
                    <w:vertAlign w:val="superscript"/>
                  </w:rPr>
                  <w:t>2</w:t>
                </w:r>
              </w:p>
            </w:tc>
          </w:tr>
          <w:tr w:rsidR="00AB77B1" w:rsidRPr="00BC22EA" w14:paraId="01008446" w14:textId="77777777" w:rsidTr="00400832">
            <w:tc>
              <w:tcPr>
                <w:tcW w:w="4027" w:type="dxa"/>
              </w:tcPr>
              <w:p w14:paraId="4FD72963" w14:textId="77777777" w:rsidR="00AB77B1" w:rsidRPr="00BC22EA" w:rsidRDefault="00AB77B1" w:rsidP="00AB77B1">
                <w:r w:rsidRPr="00BC22EA">
                  <w:t>Oil and Grease</w:t>
                </w:r>
              </w:p>
            </w:tc>
            <w:tc>
              <w:tcPr>
                <w:tcW w:w="1890" w:type="dxa"/>
              </w:tcPr>
              <w:p w14:paraId="0C5BA0DF" w14:textId="77777777" w:rsidR="00AB77B1" w:rsidRPr="00BC22EA" w:rsidRDefault="00AB77B1" w:rsidP="00AB77B1">
                <w:r w:rsidRPr="00BC22EA">
                  <w:t>15 mg/L</w:t>
                </w:r>
              </w:p>
            </w:tc>
            <w:tc>
              <w:tcPr>
                <w:tcW w:w="1350" w:type="dxa"/>
              </w:tcPr>
              <w:p w14:paraId="32373FB0" w14:textId="77777777" w:rsidR="00AB77B1" w:rsidRPr="00BC22EA" w:rsidRDefault="00AB77B1" w:rsidP="00AB77B1">
                <w:r w:rsidRPr="00BC22EA">
                  <w:t>Grab</w:t>
                </w:r>
              </w:p>
            </w:tc>
            <w:tc>
              <w:tcPr>
                <w:tcW w:w="1728" w:type="dxa"/>
              </w:tcPr>
              <w:p w14:paraId="0C931104" w14:textId="2B4C8DA9" w:rsidR="00AB77B1" w:rsidRPr="00BC22EA" w:rsidRDefault="00AB77B1" w:rsidP="00AB77B1">
                <w:r w:rsidRPr="00BC22EA">
                  <w:t>1/month</w:t>
                </w:r>
                <w:r w:rsidR="00AC4A58">
                  <w:rPr>
                    <w:b/>
                    <w:bCs/>
                    <w:vertAlign w:val="superscript"/>
                  </w:rPr>
                  <w:t>2</w:t>
                </w:r>
              </w:p>
            </w:tc>
          </w:tr>
          <w:tr w:rsidR="00AB77B1" w:rsidRPr="00BC22EA" w14:paraId="18742DA6" w14:textId="77777777" w:rsidTr="00400832">
            <w:tc>
              <w:tcPr>
                <w:tcW w:w="4027" w:type="dxa"/>
              </w:tcPr>
              <w:p w14:paraId="0BDF1F4A" w14:textId="77777777" w:rsidR="00AB77B1" w:rsidRPr="00BC22EA" w:rsidRDefault="00AB77B1" w:rsidP="00AB77B1">
                <w:r w:rsidRPr="00BC22EA">
                  <w:t>Total Suspended Solids</w:t>
                </w:r>
              </w:p>
            </w:tc>
            <w:tc>
              <w:tcPr>
                <w:tcW w:w="1890" w:type="dxa"/>
              </w:tcPr>
              <w:p w14:paraId="09C013A8" w14:textId="77777777" w:rsidR="00AB77B1" w:rsidRPr="00BC22EA" w:rsidRDefault="00AB77B1" w:rsidP="00AB77B1">
                <w:r w:rsidRPr="00BC22EA">
                  <w:t>65 mg/L</w:t>
                </w:r>
              </w:p>
            </w:tc>
            <w:tc>
              <w:tcPr>
                <w:tcW w:w="1350" w:type="dxa"/>
              </w:tcPr>
              <w:p w14:paraId="28BED4BC" w14:textId="77777777" w:rsidR="00AB77B1" w:rsidRPr="00BC22EA" w:rsidRDefault="00AB77B1" w:rsidP="00AB77B1">
                <w:r w:rsidRPr="00BC22EA">
                  <w:t>Grab</w:t>
                </w:r>
              </w:p>
            </w:tc>
            <w:tc>
              <w:tcPr>
                <w:tcW w:w="1728" w:type="dxa"/>
              </w:tcPr>
              <w:p w14:paraId="3BF3F113" w14:textId="08C3C62C" w:rsidR="00AB77B1" w:rsidRPr="00BC22EA" w:rsidRDefault="00AB77B1" w:rsidP="00AB77B1">
                <w:r w:rsidRPr="00BC22EA">
                  <w:t>1/month</w:t>
                </w:r>
                <w:r w:rsidR="00AC4A58">
                  <w:rPr>
                    <w:b/>
                    <w:bCs/>
                    <w:vertAlign w:val="superscript"/>
                  </w:rPr>
                  <w:t>2</w:t>
                </w:r>
              </w:p>
            </w:tc>
          </w:tr>
          <w:tr w:rsidR="00AB77B1" w:rsidRPr="00BC22EA" w14:paraId="2125F651" w14:textId="77777777" w:rsidTr="00400832">
            <w:tc>
              <w:tcPr>
                <w:tcW w:w="4027" w:type="dxa"/>
              </w:tcPr>
              <w:p w14:paraId="3C07FCE4" w14:textId="3822C0C9" w:rsidR="00AB77B1" w:rsidRPr="00BC22EA" w:rsidRDefault="00AB77B1" w:rsidP="00AB77B1">
                <w:r w:rsidRPr="00BC22EA">
                  <w:t>pH</w:t>
                </w:r>
                <w:r w:rsidR="00E466F7">
                  <w:t xml:space="preserve"> (standard units, SU)</w:t>
                </w:r>
              </w:p>
            </w:tc>
            <w:tc>
              <w:tcPr>
                <w:tcW w:w="1890" w:type="dxa"/>
              </w:tcPr>
              <w:p w14:paraId="197D8A87" w14:textId="77777777" w:rsidR="00AB77B1" w:rsidRPr="00BC22EA" w:rsidRDefault="00AB77B1" w:rsidP="00AB77B1">
                <w:r w:rsidRPr="00BC22EA">
                  <w:t xml:space="preserve">6.0 - 9.0 SU </w:t>
                </w:r>
              </w:p>
            </w:tc>
            <w:tc>
              <w:tcPr>
                <w:tcW w:w="1350" w:type="dxa"/>
              </w:tcPr>
              <w:p w14:paraId="00380C67" w14:textId="77777777" w:rsidR="00AB77B1" w:rsidRPr="00BC22EA" w:rsidRDefault="00AB77B1" w:rsidP="00AB77B1">
                <w:r w:rsidRPr="00BC22EA">
                  <w:t>Grab</w:t>
                </w:r>
              </w:p>
            </w:tc>
            <w:tc>
              <w:tcPr>
                <w:tcW w:w="1728" w:type="dxa"/>
              </w:tcPr>
              <w:p w14:paraId="0140771B" w14:textId="3837CE2D" w:rsidR="00AB77B1" w:rsidRPr="00BC22EA" w:rsidRDefault="00AB77B1" w:rsidP="00AB77B1">
                <w:r w:rsidRPr="00BC22EA">
                  <w:t>1/month</w:t>
                </w:r>
                <w:r w:rsidR="00AC4A58">
                  <w:rPr>
                    <w:b/>
                    <w:bCs/>
                    <w:vertAlign w:val="superscript"/>
                  </w:rPr>
                  <w:t>2</w:t>
                </w:r>
              </w:p>
            </w:tc>
          </w:tr>
        </w:tbl>
        <w:p w14:paraId="21463E6D" w14:textId="33E436B8" w:rsidR="00AC4A58" w:rsidRDefault="00AC4A58">
          <w:pPr>
            <w:ind w:left="540" w:hanging="180"/>
            <w:rPr>
              <w:b/>
              <w:bCs/>
              <w:vertAlign w:val="superscript"/>
            </w:rPr>
          </w:pPr>
          <w:r w:rsidRPr="00941500">
            <w:rPr>
              <w:b/>
              <w:bCs/>
              <w:vertAlign w:val="superscript"/>
            </w:rPr>
            <w:t>1</w:t>
          </w:r>
          <w:r>
            <w:tab/>
          </w:r>
          <w:r w:rsidR="00010E52">
            <w:t>M</w:t>
          </w:r>
          <w:r>
            <w:t>illigrams per liter.</w:t>
          </w:r>
        </w:p>
        <w:p w14:paraId="4867496B" w14:textId="2E50DEBB" w:rsidR="00AB77B1" w:rsidRDefault="00AC4A58" w:rsidP="00400832">
          <w:pPr>
            <w:ind w:left="540" w:hanging="180"/>
          </w:pPr>
          <w:r>
            <w:rPr>
              <w:b/>
              <w:bCs/>
              <w:vertAlign w:val="superscript"/>
            </w:rPr>
            <w:t>2</w:t>
          </w:r>
          <w:r w:rsidR="00E466F7">
            <w:tab/>
          </w:r>
          <w:r w:rsidR="00AB77B1" w:rsidRPr="00BC22EA">
            <w:t>If there is a discharge from the facility within a calendar month</w:t>
          </w:r>
          <w:r w:rsidR="00012F0A" w:rsidRPr="00BC22EA">
            <w:t>,</w:t>
          </w:r>
          <w:r w:rsidR="00AB77B1" w:rsidRPr="00BC22EA">
            <w:t xml:space="preserve"> a minimum of one sample of the discharge must be taken.</w:t>
          </w:r>
        </w:p>
        <w:p w14:paraId="3D7871AD" w14:textId="77777777" w:rsidR="00AB77B1" w:rsidRPr="00BC22EA" w:rsidRDefault="00AB77B1" w:rsidP="00400832">
          <w:pPr>
            <w:pStyle w:val="ListNumber"/>
          </w:pPr>
          <w:r w:rsidRPr="00BC22EA">
            <w:t>Hazardous Metals Numeric Effluent Limitations and Monitoring Frequencies</w:t>
          </w:r>
        </w:p>
        <w:tbl>
          <w:tblPr>
            <w:tblStyle w:val="TableGrid"/>
            <w:tblW w:w="9090" w:type="dxa"/>
            <w:tblInd w:w="355" w:type="dxa"/>
            <w:tblLayout w:type="fixed"/>
            <w:tblLook w:val="0020" w:firstRow="1" w:lastRow="0" w:firstColumn="0" w:lastColumn="0" w:noHBand="0" w:noVBand="0"/>
            <w:tblDescription w:val="Numeric Effluent Limitations and Monitoring Frequencies for Hazardous Metals in Wastewater Only or Wastewater Combined with Stormwater "/>
          </w:tblPr>
          <w:tblGrid>
            <w:gridCol w:w="2430"/>
            <w:gridCol w:w="1530"/>
            <w:gridCol w:w="1080"/>
            <w:gridCol w:w="1530"/>
            <w:gridCol w:w="2520"/>
          </w:tblGrid>
          <w:tr w:rsidR="00083CBC" w:rsidRPr="00BC22EA" w14:paraId="6ECF07FF" w14:textId="77777777" w:rsidTr="00400832">
            <w:trPr>
              <w:tblHeader/>
            </w:trPr>
            <w:tc>
              <w:tcPr>
                <w:tcW w:w="2430" w:type="dxa"/>
                <w:vAlign w:val="center"/>
              </w:tcPr>
              <w:p w14:paraId="50ADD197" w14:textId="77777777" w:rsidR="000453B8" w:rsidRPr="00400832" w:rsidRDefault="000453B8" w:rsidP="00E466F7">
                <w:pPr>
                  <w:rPr>
                    <w:rStyle w:val="Strong"/>
                  </w:rPr>
                </w:pPr>
                <w:r w:rsidRPr="00400832">
                  <w:rPr>
                    <w:rStyle w:val="Strong"/>
                  </w:rPr>
                  <w:t>Parameter</w:t>
                </w:r>
              </w:p>
            </w:tc>
            <w:tc>
              <w:tcPr>
                <w:tcW w:w="1530" w:type="dxa"/>
                <w:vAlign w:val="center"/>
              </w:tcPr>
              <w:p w14:paraId="374E5C3B" w14:textId="2B8D150E" w:rsidR="000453B8" w:rsidRPr="00400832" w:rsidRDefault="000453B8" w:rsidP="00400832">
                <w:pPr>
                  <w:rPr>
                    <w:rStyle w:val="Strong"/>
                  </w:rPr>
                </w:pPr>
                <w:r w:rsidRPr="00400832">
                  <w:rPr>
                    <w:rStyle w:val="Strong"/>
                  </w:rPr>
                  <w:t>Daily Maximum</w:t>
                </w:r>
              </w:p>
              <w:p w14:paraId="54351D1F" w14:textId="77777777" w:rsidR="000453B8" w:rsidRPr="00400832" w:rsidRDefault="000453B8" w:rsidP="00400832">
                <w:pPr>
                  <w:rPr>
                    <w:rStyle w:val="Strong"/>
                  </w:rPr>
                </w:pPr>
                <w:r w:rsidRPr="00400832">
                  <w:rPr>
                    <w:rStyle w:val="Strong"/>
                  </w:rPr>
                  <w:t>(mg/L)</w:t>
                </w:r>
              </w:p>
            </w:tc>
            <w:tc>
              <w:tcPr>
                <w:tcW w:w="1080" w:type="dxa"/>
                <w:vAlign w:val="center"/>
              </w:tcPr>
              <w:p w14:paraId="14AB185D" w14:textId="77777777" w:rsidR="000453B8" w:rsidRPr="00400832" w:rsidRDefault="000453B8" w:rsidP="00400832">
                <w:pPr>
                  <w:rPr>
                    <w:rStyle w:val="Strong"/>
                  </w:rPr>
                </w:pPr>
                <w:r w:rsidRPr="00400832">
                  <w:rPr>
                    <w:rStyle w:val="Strong"/>
                  </w:rPr>
                  <w:t>Sample Type</w:t>
                </w:r>
              </w:p>
            </w:tc>
            <w:tc>
              <w:tcPr>
                <w:tcW w:w="1530" w:type="dxa"/>
                <w:vAlign w:val="center"/>
              </w:tcPr>
              <w:p w14:paraId="02D2630F" w14:textId="6F7D6840" w:rsidR="000453B8" w:rsidRPr="00400832" w:rsidRDefault="000453B8" w:rsidP="00400832">
                <w:pPr>
                  <w:rPr>
                    <w:rStyle w:val="Strong"/>
                  </w:rPr>
                </w:pPr>
                <w:r w:rsidRPr="00400832">
                  <w:rPr>
                    <w:rStyle w:val="Strong"/>
                  </w:rPr>
                  <w:t>Monitoring Frequency</w:t>
                </w:r>
                <w:r w:rsidR="00E466F7" w:rsidRPr="00941500">
                  <w:rPr>
                    <w:b/>
                    <w:bCs/>
                    <w:vertAlign w:val="superscript"/>
                  </w:rPr>
                  <w:t>1</w:t>
                </w:r>
              </w:p>
            </w:tc>
            <w:tc>
              <w:tcPr>
                <w:tcW w:w="2520" w:type="dxa"/>
                <w:vAlign w:val="center"/>
              </w:tcPr>
              <w:p w14:paraId="5C2EDD8F" w14:textId="77777777" w:rsidR="000453B8" w:rsidRPr="00400832" w:rsidRDefault="000453B8" w:rsidP="00400832">
                <w:pPr>
                  <w:rPr>
                    <w:rStyle w:val="Strong"/>
                  </w:rPr>
                </w:pPr>
                <w:r w:rsidRPr="00400832">
                  <w:rPr>
                    <w:rStyle w:val="Strong"/>
                  </w:rPr>
                  <w:t>Minimum Analytical Level (MAL)</w:t>
                </w:r>
              </w:p>
              <w:p w14:paraId="0CF6B01D" w14:textId="3915418F" w:rsidR="000453B8" w:rsidRPr="00400832" w:rsidRDefault="000453B8" w:rsidP="00400832">
                <w:pPr>
                  <w:rPr>
                    <w:rStyle w:val="Strong"/>
                  </w:rPr>
                </w:pPr>
                <w:r w:rsidRPr="00400832">
                  <w:rPr>
                    <w:rStyle w:val="Strong"/>
                  </w:rPr>
                  <w:t>(mg/L)</w:t>
                </w:r>
                <w:r w:rsidR="00E466F7" w:rsidRPr="00941500">
                  <w:rPr>
                    <w:b/>
                    <w:bCs/>
                    <w:vertAlign w:val="superscript"/>
                  </w:rPr>
                  <w:t xml:space="preserve"> </w:t>
                </w:r>
                <w:r w:rsidR="00E466F7">
                  <w:rPr>
                    <w:b/>
                    <w:bCs/>
                    <w:vertAlign w:val="superscript"/>
                  </w:rPr>
                  <w:t>2</w:t>
                </w:r>
              </w:p>
            </w:tc>
          </w:tr>
          <w:tr w:rsidR="00083CBC" w:rsidRPr="00BC22EA" w14:paraId="7694DBFD" w14:textId="77777777" w:rsidTr="00083CBC">
            <w:tc>
              <w:tcPr>
                <w:tcW w:w="2430" w:type="dxa"/>
              </w:tcPr>
              <w:p w14:paraId="1772BC13" w14:textId="77777777" w:rsidR="000453B8" w:rsidRPr="00BC22EA" w:rsidRDefault="000453B8" w:rsidP="00B06F00">
                <w:r w:rsidRPr="00BC22EA">
                  <w:t>Arsenic, Total</w:t>
                </w:r>
              </w:p>
            </w:tc>
            <w:tc>
              <w:tcPr>
                <w:tcW w:w="1530" w:type="dxa"/>
              </w:tcPr>
              <w:p w14:paraId="27A5D0E3" w14:textId="77777777" w:rsidR="000453B8" w:rsidRPr="00BC22EA" w:rsidRDefault="000453B8" w:rsidP="000453B8">
                <w:pPr>
                  <w:jc w:val="center"/>
                </w:pPr>
                <w:r w:rsidRPr="00BC22EA">
                  <w:t>0.3</w:t>
                </w:r>
              </w:p>
            </w:tc>
            <w:tc>
              <w:tcPr>
                <w:tcW w:w="1080" w:type="dxa"/>
              </w:tcPr>
              <w:p w14:paraId="1F4B5FD8" w14:textId="77777777" w:rsidR="000453B8" w:rsidRPr="00BC22EA" w:rsidRDefault="000453B8" w:rsidP="000453B8">
                <w:pPr>
                  <w:jc w:val="center"/>
                </w:pPr>
                <w:r w:rsidRPr="00BC22EA">
                  <w:t>Grab</w:t>
                </w:r>
              </w:p>
            </w:tc>
            <w:tc>
              <w:tcPr>
                <w:tcW w:w="1530" w:type="dxa"/>
              </w:tcPr>
              <w:p w14:paraId="29A8B0F8" w14:textId="7D5B00F2" w:rsidR="000453B8" w:rsidRPr="00BC22EA" w:rsidRDefault="000453B8" w:rsidP="000453B8">
                <w:pPr>
                  <w:jc w:val="center"/>
                </w:pPr>
                <w:r w:rsidRPr="00BC22EA">
                  <w:t>1/year</w:t>
                </w:r>
              </w:p>
            </w:tc>
            <w:tc>
              <w:tcPr>
                <w:tcW w:w="2520" w:type="dxa"/>
              </w:tcPr>
              <w:p w14:paraId="4799E938" w14:textId="77777777" w:rsidR="000453B8" w:rsidRPr="00BC22EA" w:rsidRDefault="000453B8" w:rsidP="000453B8">
                <w:pPr>
                  <w:jc w:val="center"/>
                </w:pPr>
                <w:r w:rsidRPr="00BC22EA">
                  <w:t>0.0005</w:t>
                </w:r>
              </w:p>
            </w:tc>
          </w:tr>
          <w:tr w:rsidR="00083CBC" w:rsidRPr="00BC22EA" w14:paraId="7664DB86" w14:textId="77777777" w:rsidTr="00083CBC">
            <w:tc>
              <w:tcPr>
                <w:tcW w:w="2430" w:type="dxa"/>
              </w:tcPr>
              <w:p w14:paraId="47C86029" w14:textId="77777777" w:rsidR="000453B8" w:rsidRPr="00BC22EA" w:rsidRDefault="000453B8" w:rsidP="00B06F00">
                <w:r w:rsidRPr="00BC22EA">
                  <w:t>Barium, Total</w:t>
                </w:r>
              </w:p>
            </w:tc>
            <w:tc>
              <w:tcPr>
                <w:tcW w:w="1530" w:type="dxa"/>
              </w:tcPr>
              <w:p w14:paraId="6D1DEA6C" w14:textId="77777777" w:rsidR="000453B8" w:rsidRPr="00BC22EA" w:rsidRDefault="000453B8" w:rsidP="000453B8">
                <w:pPr>
                  <w:jc w:val="center"/>
                </w:pPr>
                <w:r w:rsidRPr="00BC22EA">
                  <w:t>4.0</w:t>
                </w:r>
              </w:p>
            </w:tc>
            <w:tc>
              <w:tcPr>
                <w:tcW w:w="1080" w:type="dxa"/>
              </w:tcPr>
              <w:p w14:paraId="2FB70FCC" w14:textId="77777777" w:rsidR="000453B8" w:rsidRPr="00BC22EA" w:rsidRDefault="000453B8" w:rsidP="000453B8">
                <w:pPr>
                  <w:jc w:val="center"/>
                </w:pPr>
                <w:r w:rsidRPr="00BC22EA">
                  <w:t>Grab</w:t>
                </w:r>
              </w:p>
            </w:tc>
            <w:tc>
              <w:tcPr>
                <w:tcW w:w="1530" w:type="dxa"/>
              </w:tcPr>
              <w:p w14:paraId="1CE5C194" w14:textId="27404791" w:rsidR="000453B8" w:rsidRPr="00BC22EA" w:rsidRDefault="000453B8" w:rsidP="000453B8">
                <w:pPr>
                  <w:jc w:val="center"/>
                </w:pPr>
                <w:r w:rsidRPr="00BC22EA">
                  <w:t>1/year</w:t>
                </w:r>
              </w:p>
            </w:tc>
            <w:tc>
              <w:tcPr>
                <w:tcW w:w="2520" w:type="dxa"/>
              </w:tcPr>
              <w:p w14:paraId="354014A5" w14:textId="77777777" w:rsidR="000453B8" w:rsidRPr="00BC22EA" w:rsidRDefault="000453B8" w:rsidP="000453B8">
                <w:pPr>
                  <w:jc w:val="center"/>
                </w:pPr>
                <w:r w:rsidRPr="00BC22EA">
                  <w:t>0.003</w:t>
                </w:r>
              </w:p>
            </w:tc>
          </w:tr>
          <w:tr w:rsidR="00083CBC" w:rsidRPr="00BC22EA" w14:paraId="2FF42280" w14:textId="77777777" w:rsidTr="00083CBC">
            <w:tc>
              <w:tcPr>
                <w:tcW w:w="2430" w:type="dxa"/>
              </w:tcPr>
              <w:p w14:paraId="16469EDD" w14:textId="77777777" w:rsidR="000453B8" w:rsidRPr="00BC22EA" w:rsidRDefault="000453B8" w:rsidP="00B06F00">
                <w:r w:rsidRPr="00BC22EA">
                  <w:t>Cadmium, Total (inland waters)</w:t>
                </w:r>
              </w:p>
            </w:tc>
            <w:tc>
              <w:tcPr>
                <w:tcW w:w="1530" w:type="dxa"/>
              </w:tcPr>
              <w:p w14:paraId="2E494F71" w14:textId="77777777" w:rsidR="000453B8" w:rsidRPr="00BC22EA" w:rsidRDefault="000453B8" w:rsidP="000453B8">
                <w:pPr>
                  <w:jc w:val="center"/>
                </w:pPr>
                <w:r w:rsidRPr="00BC22EA">
                  <w:t>0.2</w:t>
                </w:r>
              </w:p>
            </w:tc>
            <w:tc>
              <w:tcPr>
                <w:tcW w:w="1080" w:type="dxa"/>
              </w:tcPr>
              <w:p w14:paraId="4D795CA5" w14:textId="77777777" w:rsidR="000453B8" w:rsidRPr="00BC22EA" w:rsidRDefault="000453B8" w:rsidP="000453B8">
                <w:pPr>
                  <w:jc w:val="center"/>
                </w:pPr>
                <w:r w:rsidRPr="00BC22EA">
                  <w:t>Grab</w:t>
                </w:r>
              </w:p>
            </w:tc>
            <w:tc>
              <w:tcPr>
                <w:tcW w:w="1530" w:type="dxa"/>
              </w:tcPr>
              <w:p w14:paraId="43E4016E" w14:textId="68063EB2" w:rsidR="000453B8" w:rsidRPr="00BC22EA" w:rsidRDefault="000453B8" w:rsidP="000453B8">
                <w:pPr>
                  <w:jc w:val="center"/>
                </w:pPr>
                <w:r w:rsidRPr="00BC22EA">
                  <w:t>1/year</w:t>
                </w:r>
              </w:p>
            </w:tc>
            <w:tc>
              <w:tcPr>
                <w:tcW w:w="2520" w:type="dxa"/>
              </w:tcPr>
              <w:p w14:paraId="1D17AA7C" w14:textId="77777777" w:rsidR="000453B8" w:rsidRPr="00BC22EA" w:rsidRDefault="000453B8" w:rsidP="000453B8">
                <w:pPr>
                  <w:jc w:val="center"/>
                </w:pPr>
                <w:r w:rsidRPr="00BC22EA">
                  <w:t>0.001</w:t>
                </w:r>
              </w:p>
            </w:tc>
          </w:tr>
          <w:tr w:rsidR="00083CBC" w:rsidRPr="00BC22EA" w14:paraId="3CC337C3" w14:textId="77777777" w:rsidTr="00083CBC">
            <w:tc>
              <w:tcPr>
                <w:tcW w:w="2430" w:type="dxa"/>
              </w:tcPr>
              <w:p w14:paraId="43DC5EF8" w14:textId="77777777" w:rsidR="000453B8" w:rsidRPr="00BC22EA" w:rsidRDefault="000453B8" w:rsidP="00B06F00">
                <w:r w:rsidRPr="00BC22EA">
                  <w:t>Cadmium, Total (tidal waters)</w:t>
                </w:r>
              </w:p>
            </w:tc>
            <w:tc>
              <w:tcPr>
                <w:tcW w:w="1530" w:type="dxa"/>
              </w:tcPr>
              <w:p w14:paraId="78341B18" w14:textId="77777777" w:rsidR="000453B8" w:rsidRPr="00BC22EA" w:rsidRDefault="000453B8" w:rsidP="000453B8">
                <w:pPr>
                  <w:jc w:val="center"/>
                </w:pPr>
                <w:r w:rsidRPr="00BC22EA">
                  <w:t>0.3</w:t>
                </w:r>
              </w:p>
            </w:tc>
            <w:tc>
              <w:tcPr>
                <w:tcW w:w="1080" w:type="dxa"/>
              </w:tcPr>
              <w:p w14:paraId="0200611B" w14:textId="77777777" w:rsidR="000453B8" w:rsidRPr="00BC22EA" w:rsidRDefault="000453B8" w:rsidP="000453B8">
                <w:pPr>
                  <w:jc w:val="center"/>
                </w:pPr>
                <w:r w:rsidRPr="00BC22EA">
                  <w:t>Grab</w:t>
                </w:r>
              </w:p>
            </w:tc>
            <w:tc>
              <w:tcPr>
                <w:tcW w:w="1530" w:type="dxa"/>
              </w:tcPr>
              <w:p w14:paraId="639A062C" w14:textId="52A01545" w:rsidR="000453B8" w:rsidRPr="00BC22EA" w:rsidRDefault="000453B8" w:rsidP="000453B8">
                <w:pPr>
                  <w:jc w:val="center"/>
                </w:pPr>
                <w:r w:rsidRPr="00BC22EA">
                  <w:t>1/year</w:t>
                </w:r>
              </w:p>
            </w:tc>
            <w:tc>
              <w:tcPr>
                <w:tcW w:w="2520" w:type="dxa"/>
              </w:tcPr>
              <w:p w14:paraId="26EBBD20" w14:textId="77777777" w:rsidR="000453B8" w:rsidRPr="00BC22EA" w:rsidRDefault="000453B8" w:rsidP="000453B8">
                <w:pPr>
                  <w:jc w:val="center"/>
                </w:pPr>
                <w:r w:rsidRPr="00BC22EA">
                  <w:t>0.001</w:t>
                </w:r>
              </w:p>
            </w:tc>
          </w:tr>
          <w:tr w:rsidR="00083CBC" w:rsidRPr="00BC22EA" w14:paraId="34E9F311" w14:textId="77777777" w:rsidTr="00083CBC">
            <w:tc>
              <w:tcPr>
                <w:tcW w:w="2430" w:type="dxa"/>
              </w:tcPr>
              <w:p w14:paraId="283F0417" w14:textId="77777777" w:rsidR="000453B8" w:rsidRPr="00BC22EA" w:rsidRDefault="000453B8" w:rsidP="00B06F00">
                <w:r w:rsidRPr="00BC22EA">
                  <w:t>Chromium, Total</w:t>
                </w:r>
              </w:p>
            </w:tc>
            <w:tc>
              <w:tcPr>
                <w:tcW w:w="1530" w:type="dxa"/>
              </w:tcPr>
              <w:p w14:paraId="148CAE71" w14:textId="77777777" w:rsidR="000453B8" w:rsidRPr="00BC22EA" w:rsidRDefault="000453B8" w:rsidP="000453B8">
                <w:pPr>
                  <w:jc w:val="center"/>
                </w:pPr>
                <w:r w:rsidRPr="00BC22EA">
                  <w:t>5.0</w:t>
                </w:r>
              </w:p>
            </w:tc>
            <w:tc>
              <w:tcPr>
                <w:tcW w:w="1080" w:type="dxa"/>
              </w:tcPr>
              <w:p w14:paraId="740CCE7C" w14:textId="77777777" w:rsidR="000453B8" w:rsidRPr="00BC22EA" w:rsidRDefault="000453B8" w:rsidP="000453B8">
                <w:pPr>
                  <w:jc w:val="center"/>
                </w:pPr>
                <w:r w:rsidRPr="00BC22EA">
                  <w:t>Grab</w:t>
                </w:r>
              </w:p>
            </w:tc>
            <w:tc>
              <w:tcPr>
                <w:tcW w:w="1530" w:type="dxa"/>
              </w:tcPr>
              <w:p w14:paraId="2A5A560C" w14:textId="625CD367" w:rsidR="000453B8" w:rsidRPr="00BC22EA" w:rsidRDefault="000453B8" w:rsidP="000453B8">
                <w:pPr>
                  <w:jc w:val="center"/>
                </w:pPr>
                <w:r w:rsidRPr="00BC22EA">
                  <w:t>1/year</w:t>
                </w:r>
              </w:p>
            </w:tc>
            <w:tc>
              <w:tcPr>
                <w:tcW w:w="2520" w:type="dxa"/>
              </w:tcPr>
              <w:p w14:paraId="66A3CC85" w14:textId="77777777" w:rsidR="000453B8" w:rsidRPr="00BC22EA" w:rsidRDefault="000453B8" w:rsidP="000453B8">
                <w:pPr>
                  <w:jc w:val="center"/>
                </w:pPr>
                <w:r w:rsidRPr="00BC22EA">
                  <w:t>0.003</w:t>
                </w:r>
              </w:p>
            </w:tc>
          </w:tr>
          <w:tr w:rsidR="00083CBC" w:rsidRPr="00BC22EA" w14:paraId="75F42EF6" w14:textId="77777777" w:rsidTr="00083CBC">
            <w:tc>
              <w:tcPr>
                <w:tcW w:w="2430" w:type="dxa"/>
              </w:tcPr>
              <w:p w14:paraId="0E1EAA78" w14:textId="77777777" w:rsidR="000453B8" w:rsidRPr="00BC22EA" w:rsidRDefault="000453B8" w:rsidP="00B06F00">
                <w:r w:rsidRPr="00BC22EA">
                  <w:t>Copper, Total</w:t>
                </w:r>
              </w:p>
            </w:tc>
            <w:tc>
              <w:tcPr>
                <w:tcW w:w="1530" w:type="dxa"/>
              </w:tcPr>
              <w:p w14:paraId="497E8886" w14:textId="77777777" w:rsidR="000453B8" w:rsidRPr="00BC22EA" w:rsidRDefault="000453B8" w:rsidP="000453B8">
                <w:pPr>
                  <w:jc w:val="center"/>
                </w:pPr>
                <w:r w:rsidRPr="00BC22EA">
                  <w:t>2.0</w:t>
                </w:r>
              </w:p>
            </w:tc>
            <w:tc>
              <w:tcPr>
                <w:tcW w:w="1080" w:type="dxa"/>
              </w:tcPr>
              <w:p w14:paraId="164848BC" w14:textId="77777777" w:rsidR="000453B8" w:rsidRPr="00BC22EA" w:rsidRDefault="000453B8" w:rsidP="000453B8">
                <w:pPr>
                  <w:jc w:val="center"/>
                </w:pPr>
                <w:r w:rsidRPr="00BC22EA">
                  <w:t>Grab</w:t>
                </w:r>
              </w:p>
            </w:tc>
            <w:tc>
              <w:tcPr>
                <w:tcW w:w="1530" w:type="dxa"/>
              </w:tcPr>
              <w:p w14:paraId="6E1B15C8" w14:textId="1E27005E" w:rsidR="000453B8" w:rsidRPr="00BC22EA" w:rsidRDefault="000453B8" w:rsidP="000453B8">
                <w:pPr>
                  <w:jc w:val="center"/>
                </w:pPr>
                <w:r w:rsidRPr="00BC22EA">
                  <w:t>1/year</w:t>
                </w:r>
              </w:p>
            </w:tc>
            <w:tc>
              <w:tcPr>
                <w:tcW w:w="2520" w:type="dxa"/>
              </w:tcPr>
              <w:p w14:paraId="201F906B" w14:textId="77777777" w:rsidR="000453B8" w:rsidRPr="00BC22EA" w:rsidRDefault="000453B8" w:rsidP="000453B8">
                <w:pPr>
                  <w:jc w:val="center"/>
                </w:pPr>
                <w:r w:rsidRPr="00BC22EA">
                  <w:t>0.002</w:t>
                </w:r>
              </w:p>
            </w:tc>
          </w:tr>
          <w:tr w:rsidR="00083CBC" w:rsidRPr="00BC22EA" w14:paraId="7060544B" w14:textId="77777777" w:rsidTr="00083CBC">
            <w:tc>
              <w:tcPr>
                <w:tcW w:w="2430" w:type="dxa"/>
              </w:tcPr>
              <w:p w14:paraId="33BA8842" w14:textId="77777777" w:rsidR="000453B8" w:rsidRPr="00BC22EA" w:rsidRDefault="000453B8" w:rsidP="00B06F00">
                <w:r w:rsidRPr="00BC22EA">
                  <w:t>Lead, Total</w:t>
                </w:r>
              </w:p>
            </w:tc>
            <w:tc>
              <w:tcPr>
                <w:tcW w:w="1530" w:type="dxa"/>
              </w:tcPr>
              <w:p w14:paraId="160A0D3E" w14:textId="77777777" w:rsidR="000453B8" w:rsidRPr="00BC22EA" w:rsidRDefault="000453B8" w:rsidP="000453B8">
                <w:pPr>
                  <w:jc w:val="center"/>
                </w:pPr>
                <w:r w:rsidRPr="00BC22EA">
                  <w:t>1.5</w:t>
                </w:r>
              </w:p>
            </w:tc>
            <w:tc>
              <w:tcPr>
                <w:tcW w:w="1080" w:type="dxa"/>
              </w:tcPr>
              <w:p w14:paraId="1AAABF05" w14:textId="77777777" w:rsidR="000453B8" w:rsidRPr="00BC22EA" w:rsidRDefault="000453B8" w:rsidP="000453B8">
                <w:pPr>
                  <w:jc w:val="center"/>
                </w:pPr>
                <w:r w:rsidRPr="00BC22EA">
                  <w:t>Grab</w:t>
                </w:r>
              </w:p>
            </w:tc>
            <w:tc>
              <w:tcPr>
                <w:tcW w:w="1530" w:type="dxa"/>
              </w:tcPr>
              <w:p w14:paraId="236EDED6" w14:textId="5945E9D8" w:rsidR="000453B8" w:rsidRPr="00BC22EA" w:rsidRDefault="000453B8" w:rsidP="000453B8">
                <w:pPr>
                  <w:jc w:val="center"/>
                </w:pPr>
                <w:r w:rsidRPr="00BC22EA">
                  <w:t>1/year</w:t>
                </w:r>
              </w:p>
            </w:tc>
            <w:tc>
              <w:tcPr>
                <w:tcW w:w="2520" w:type="dxa"/>
              </w:tcPr>
              <w:p w14:paraId="6F677E2C" w14:textId="77777777" w:rsidR="000453B8" w:rsidRPr="00BC22EA" w:rsidRDefault="000453B8" w:rsidP="000453B8">
                <w:pPr>
                  <w:jc w:val="center"/>
                </w:pPr>
                <w:r w:rsidRPr="00BC22EA">
                  <w:t>0.0005</w:t>
                </w:r>
              </w:p>
            </w:tc>
          </w:tr>
          <w:tr w:rsidR="00083CBC" w:rsidRPr="00BC22EA" w14:paraId="790A20B0" w14:textId="77777777" w:rsidTr="00083CBC">
            <w:tc>
              <w:tcPr>
                <w:tcW w:w="2430" w:type="dxa"/>
              </w:tcPr>
              <w:p w14:paraId="3A8EBA42" w14:textId="77777777" w:rsidR="000453B8" w:rsidRPr="00BC22EA" w:rsidRDefault="000453B8" w:rsidP="00B06F00">
                <w:r w:rsidRPr="00BC22EA">
                  <w:t>Manganese, Total</w:t>
                </w:r>
              </w:p>
            </w:tc>
            <w:tc>
              <w:tcPr>
                <w:tcW w:w="1530" w:type="dxa"/>
              </w:tcPr>
              <w:p w14:paraId="108C36F1" w14:textId="77777777" w:rsidR="000453B8" w:rsidRPr="00BC22EA" w:rsidRDefault="000453B8" w:rsidP="000453B8">
                <w:pPr>
                  <w:jc w:val="center"/>
                </w:pPr>
                <w:r w:rsidRPr="00BC22EA">
                  <w:t>3.0</w:t>
                </w:r>
              </w:p>
            </w:tc>
            <w:tc>
              <w:tcPr>
                <w:tcW w:w="1080" w:type="dxa"/>
              </w:tcPr>
              <w:p w14:paraId="6E248188" w14:textId="77777777" w:rsidR="000453B8" w:rsidRPr="00BC22EA" w:rsidRDefault="000453B8" w:rsidP="000453B8">
                <w:pPr>
                  <w:jc w:val="center"/>
                </w:pPr>
                <w:r w:rsidRPr="00BC22EA">
                  <w:t>Grab</w:t>
                </w:r>
              </w:p>
            </w:tc>
            <w:tc>
              <w:tcPr>
                <w:tcW w:w="1530" w:type="dxa"/>
              </w:tcPr>
              <w:p w14:paraId="098A3146" w14:textId="6A28D92F" w:rsidR="000453B8" w:rsidRPr="00BC22EA" w:rsidRDefault="000453B8" w:rsidP="000453B8">
                <w:pPr>
                  <w:jc w:val="center"/>
                </w:pPr>
                <w:r w:rsidRPr="00BC22EA">
                  <w:t>1/year</w:t>
                </w:r>
              </w:p>
            </w:tc>
            <w:tc>
              <w:tcPr>
                <w:tcW w:w="2520" w:type="dxa"/>
              </w:tcPr>
              <w:p w14:paraId="15910F71" w14:textId="77777777" w:rsidR="000453B8" w:rsidRPr="00BC22EA" w:rsidRDefault="000453B8" w:rsidP="000453B8">
                <w:pPr>
                  <w:jc w:val="center"/>
                </w:pPr>
                <w:r w:rsidRPr="00BC22EA">
                  <w:t>0.0005</w:t>
                </w:r>
              </w:p>
            </w:tc>
          </w:tr>
          <w:tr w:rsidR="00083CBC" w:rsidRPr="00BC22EA" w14:paraId="1C2480D1" w14:textId="77777777" w:rsidTr="00083CBC">
            <w:tc>
              <w:tcPr>
                <w:tcW w:w="2430" w:type="dxa"/>
              </w:tcPr>
              <w:p w14:paraId="1494FA73" w14:textId="77777777" w:rsidR="000453B8" w:rsidRPr="00BC22EA" w:rsidRDefault="000453B8" w:rsidP="00B06F00">
                <w:r w:rsidRPr="00BC22EA">
                  <w:t>Mercury, Total</w:t>
                </w:r>
              </w:p>
            </w:tc>
            <w:tc>
              <w:tcPr>
                <w:tcW w:w="1530" w:type="dxa"/>
              </w:tcPr>
              <w:p w14:paraId="3258C0A8" w14:textId="77777777" w:rsidR="000453B8" w:rsidRPr="00BC22EA" w:rsidRDefault="000453B8" w:rsidP="000453B8">
                <w:pPr>
                  <w:jc w:val="center"/>
                </w:pPr>
                <w:r w:rsidRPr="00BC22EA">
                  <w:t>0.01</w:t>
                </w:r>
              </w:p>
            </w:tc>
            <w:tc>
              <w:tcPr>
                <w:tcW w:w="1080" w:type="dxa"/>
              </w:tcPr>
              <w:p w14:paraId="11E3AD53" w14:textId="77777777" w:rsidR="000453B8" w:rsidRPr="00BC22EA" w:rsidRDefault="000453B8" w:rsidP="000453B8">
                <w:pPr>
                  <w:jc w:val="center"/>
                </w:pPr>
                <w:r w:rsidRPr="00BC22EA">
                  <w:t>Grab</w:t>
                </w:r>
              </w:p>
            </w:tc>
            <w:tc>
              <w:tcPr>
                <w:tcW w:w="1530" w:type="dxa"/>
              </w:tcPr>
              <w:p w14:paraId="667CF6C8" w14:textId="3C20D87C" w:rsidR="000453B8" w:rsidRPr="00BC22EA" w:rsidRDefault="000453B8" w:rsidP="000453B8">
                <w:pPr>
                  <w:jc w:val="center"/>
                </w:pPr>
                <w:r w:rsidRPr="00BC22EA">
                  <w:t>1/year</w:t>
                </w:r>
              </w:p>
            </w:tc>
            <w:tc>
              <w:tcPr>
                <w:tcW w:w="2520" w:type="dxa"/>
              </w:tcPr>
              <w:p w14:paraId="6314483F" w14:textId="77777777" w:rsidR="000453B8" w:rsidRPr="00BC22EA" w:rsidRDefault="000453B8" w:rsidP="000453B8">
                <w:pPr>
                  <w:jc w:val="center"/>
                </w:pPr>
                <w:r w:rsidRPr="00BC22EA">
                  <w:t>0.000005</w:t>
                </w:r>
              </w:p>
            </w:tc>
          </w:tr>
          <w:tr w:rsidR="00083CBC" w:rsidRPr="00BC22EA" w14:paraId="3E787973" w14:textId="77777777" w:rsidTr="00083CBC">
            <w:tc>
              <w:tcPr>
                <w:tcW w:w="2430" w:type="dxa"/>
              </w:tcPr>
              <w:p w14:paraId="3F6E82EE" w14:textId="77777777" w:rsidR="000453B8" w:rsidRPr="00BC22EA" w:rsidRDefault="000453B8" w:rsidP="00B06F00">
                <w:r w:rsidRPr="00BC22EA">
                  <w:t>Nickel, Total</w:t>
                </w:r>
              </w:p>
            </w:tc>
            <w:tc>
              <w:tcPr>
                <w:tcW w:w="1530" w:type="dxa"/>
              </w:tcPr>
              <w:p w14:paraId="0DA1B65C" w14:textId="77777777" w:rsidR="000453B8" w:rsidRPr="00BC22EA" w:rsidRDefault="000453B8" w:rsidP="000453B8">
                <w:pPr>
                  <w:jc w:val="center"/>
                </w:pPr>
                <w:r w:rsidRPr="00BC22EA">
                  <w:t>3.0</w:t>
                </w:r>
              </w:p>
            </w:tc>
            <w:tc>
              <w:tcPr>
                <w:tcW w:w="1080" w:type="dxa"/>
              </w:tcPr>
              <w:p w14:paraId="0FDDAF5B" w14:textId="77777777" w:rsidR="000453B8" w:rsidRPr="00BC22EA" w:rsidRDefault="000453B8" w:rsidP="000453B8">
                <w:pPr>
                  <w:jc w:val="center"/>
                </w:pPr>
                <w:r w:rsidRPr="00BC22EA">
                  <w:t>Grab</w:t>
                </w:r>
              </w:p>
            </w:tc>
            <w:tc>
              <w:tcPr>
                <w:tcW w:w="1530" w:type="dxa"/>
              </w:tcPr>
              <w:p w14:paraId="469CF7EC" w14:textId="531DE2EA" w:rsidR="000453B8" w:rsidRPr="00BC22EA" w:rsidRDefault="000453B8" w:rsidP="000453B8">
                <w:pPr>
                  <w:jc w:val="center"/>
                </w:pPr>
                <w:r w:rsidRPr="00BC22EA">
                  <w:t>1/year</w:t>
                </w:r>
              </w:p>
            </w:tc>
            <w:tc>
              <w:tcPr>
                <w:tcW w:w="2520" w:type="dxa"/>
              </w:tcPr>
              <w:p w14:paraId="0EDFE59D" w14:textId="77777777" w:rsidR="000453B8" w:rsidRPr="00BC22EA" w:rsidRDefault="000453B8" w:rsidP="000453B8">
                <w:pPr>
                  <w:jc w:val="center"/>
                </w:pPr>
                <w:r w:rsidRPr="00BC22EA">
                  <w:t>0.002</w:t>
                </w:r>
              </w:p>
            </w:tc>
          </w:tr>
          <w:tr w:rsidR="00083CBC" w:rsidRPr="00BC22EA" w14:paraId="491294C4" w14:textId="77777777" w:rsidTr="00083CBC">
            <w:tc>
              <w:tcPr>
                <w:tcW w:w="2430" w:type="dxa"/>
              </w:tcPr>
              <w:p w14:paraId="2ED7FA35" w14:textId="77777777" w:rsidR="000453B8" w:rsidRPr="00BC22EA" w:rsidRDefault="000453B8" w:rsidP="00B06F00">
                <w:r w:rsidRPr="00BC22EA">
                  <w:t>Selenium, Total (inland waters)</w:t>
                </w:r>
              </w:p>
            </w:tc>
            <w:tc>
              <w:tcPr>
                <w:tcW w:w="1530" w:type="dxa"/>
              </w:tcPr>
              <w:p w14:paraId="2EA69D65" w14:textId="77777777" w:rsidR="000453B8" w:rsidRPr="00BC22EA" w:rsidRDefault="000453B8" w:rsidP="000453B8">
                <w:pPr>
                  <w:jc w:val="center"/>
                </w:pPr>
                <w:r w:rsidRPr="00BC22EA">
                  <w:t>0.2</w:t>
                </w:r>
              </w:p>
            </w:tc>
            <w:tc>
              <w:tcPr>
                <w:tcW w:w="1080" w:type="dxa"/>
              </w:tcPr>
              <w:p w14:paraId="48F0F2E0" w14:textId="77777777" w:rsidR="000453B8" w:rsidRPr="00BC22EA" w:rsidRDefault="000453B8" w:rsidP="000453B8">
                <w:pPr>
                  <w:jc w:val="center"/>
                </w:pPr>
                <w:r w:rsidRPr="00BC22EA">
                  <w:t>Grab</w:t>
                </w:r>
              </w:p>
            </w:tc>
            <w:tc>
              <w:tcPr>
                <w:tcW w:w="1530" w:type="dxa"/>
              </w:tcPr>
              <w:p w14:paraId="5EA24447" w14:textId="3C970AFE" w:rsidR="000453B8" w:rsidRPr="00BC22EA" w:rsidRDefault="000453B8" w:rsidP="000453B8">
                <w:pPr>
                  <w:jc w:val="center"/>
                </w:pPr>
                <w:r w:rsidRPr="00BC22EA">
                  <w:t>1/year</w:t>
                </w:r>
              </w:p>
            </w:tc>
            <w:tc>
              <w:tcPr>
                <w:tcW w:w="2520" w:type="dxa"/>
              </w:tcPr>
              <w:p w14:paraId="12224DE2" w14:textId="77777777" w:rsidR="000453B8" w:rsidRPr="00BC22EA" w:rsidRDefault="000453B8" w:rsidP="000453B8">
                <w:pPr>
                  <w:jc w:val="center"/>
                </w:pPr>
                <w:r w:rsidRPr="00BC22EA">
                  <w:t>0.005</w:t>
                </w:r>
              </w:p>
            </w:tc>
          </w:tr>
          <w:tr w:rsidR="00083CBC" w:rsidRPr="00BC22EA" w14:paraId="3124E5B5" w14:textId="77777777" w:rsidTr="00083CBC">
            <w:tc>
              <w:tcPr>
                <w:tcW w:w="2430" w:type="dxa"/>
              </w:tcPr>
              <w:p w14:paraId="68E20FD9" w14:textId="77777777" w:rsidR="000453B8" w:rsidRPr="00BC22EA" w:rsidRDefault="000453B8" w:rsidP="00B06F00">
                <w:r w:rsidRPr="00BC22EA">
                  <w:t>Selenium, Total (tidal waters)</w:t>
                </w:r>
              </w:p>
            </w:tc>
            <w:tc>
              <w:tcPr>
                <w:tcW w:w="1530" w:type="dxa"/>
              </w:tcPr>
              <w:p w14:paraId="4386E035" w14:textId="77777777" w:rsidR="000453B8" w:rsidRPr="00BC22EA" w:rsidRDefault="000453B8" w:rsidP="000453B8">
                <w:pPr>
                  <w:jc w:val="center"/>
                </w:pPr>
                <w:r w:rsidRPr="00BC22EA">
                  <w:t>0.3</w:t>
                </w:r>
              </w:p>
            </w:tc>
            <w:tc>
              <w:tcPr>
                <w:tcW w:w="1080" w:type="dxa"/>
              </w:tcPr>
              <w:p w14:paraId="28542C12" w14:textId="77777777" w:rsidR="000453B8" w:rsidRPr="00BC22EA" w:rsidRDefault="000453B8" w:rsidP="000453B8">
                <w:pPr>
                  <w:jc w:val="center"/>
                </w:pPr>
                <w:r w:rsidRPr="00BC22EA">
                  <w:t>Grab</w:t>
                </w:r>
              </w:p>
            </w:tc>
            <w:tc>
              <w:tcPr>
                <w:tcW w:w="1530" w:type="dxa"/>
              </w:tcPr>
              <w:p w14:paraId="402B67B6" w14:textId="098D7FE7" w:rsidR="000453B8" w:rsidRPr="00BC22EA" w:rsidRDefault="000453B8" w:rsidP="000453B8">
                <w:pPr>
                  <w:jc w:val="center"/>
                </w:pPr>
                <w:r w:rsidRPr="00BC22EA">
                  <w:t>1/year</w:t>
                </w:r>
              </w:p>
            </w:tc>
            <w:tc>
              <w:tcPr>
                <w:tcW w:w="2520" w:type="dxa"/>
              </w:tcPr>
              <w:p w14:paraId="5C367B4B" w14:textId="77777777" w:rsidR="000453B8" w:rsidRPr="00BC22EA" w:rsidRDefault="000453B8" w:rsidP="000453B8">
                <w:pPr>
                  <w:jc w:val="center"/>
                </w:pPr>
                <w:r w:rsidRPr="00BC22EA">
                  <w:t>0.005</w:t>
                </w:r>
              </w:p>
            </w:tc>
          </w:tr>
          <w:tr w:rsidR="00083CBC" w:rsidRPr="00BC22EA" w14:paraId="324B51C7" w14:textId="77777777" w:rsidTr="00083CBC">
            <w:tc>
              <w:tcPr>
                <w:tcW w:w="2430" w:type="dxa"/>
              </w:tcPr>
              <w:p w14:paraId="6F8D1516" w14:textId="77777777" w:rsidR="000453B8" w:rsidRPr="00BC22EA" w:rsidRDefault="000453B8" w:rsidP="00B06F00">
                <w:pPr>
                  <w:rPr>
                    <w:rFonts w:eastAsia="Times New Roman"/>
                    <w:b/>
                    <w:bCs/>
                    <w:sz w:val="26"/>
                    <w:szCs w:val="26"/>
                  </w:rPr>
                </w:pPr>
                <w:r w:rsidRPr="00BC22EA">
                  <w:lastRenderedPageBreak/>
                  <w:t>Silver, Total</w:t>
                </w:r>
              </w:p>
            </w:tc>
            <w:tc>
              <w:tcPr>
                <w:tcW w:w="1530" w:type="dxa"/>
              </w:tcPr>
              <w:p w14:paraId="126EE003" w14:textId="77777777" w:rsidR="000453B8" w:rsidRPr="00BC22EA" w:rsidRDefault="000453B8" w:rsidP="000453B8">
                <w:pPr>
                  <w:jc w:val="center"/>
                  <w:rPr>
                    <w:rFonts w:eastAsia="Times New Roman"/>
                    <w:b/>
                    <w:bCs/>
                    <w:sz w:val="26"/>
                    <w:szCs w:val="26"/>
                  </w:rPr>
                </w:pPr>
                <w:r w:rsidRPr="00BC22EA">
                  <w:t>0.2</w:t>
                </w:r>
              </w:p>
            </w:tc>
            <w:tc>
              <w:tcPr>
                <w:tcW w:w="1080" w:type="dxa"/>
              </w:tcPr>
              <w:p w14:paraId="42947FAC" w14:textId="77777777" w:rsidR="000453B8" w:rsidRPr="00BC22EA" w:rsidRDefault="000453B8" w:rsidP="000453B8">
                <w:pPr>
                  <w:jc w:val="center"/>
                  <w:rPr>
                    <w:rFonts w:eastAsia="Times New Roman"/>
                    <w:b/>
                    <w:bCs/>
                    <w:sz w:val="26"/>
                    <w:szCs w:val="26"/>
                  </w:rPr>
                </w:pPr>
                <w:r w:rsidRPr="00BC22EA">
                  <w:t>Grab</w:t>
                </w:r>
              </w:p>
            </w:tc>
            <w:tc>
              <w:tcPr>
                <w:tcW w:w="1530" w:type="dxa"/>
              </w:tcPr>
              <w:p w14:paraId="55F2C63F" w14:textId="14707B4A" w:rsidR="000453B8" w:rsidRPr="00BC22EA" w:rsidRDefault="000453B8" w:rsidP="000453B8">
                <w:pPr>
                  <w:jc w:val="center"/>
                  <w:rPr>
                    <w:rFonts w:eastAsia="Times New Roman"/>
                    <w:b/>
                    <w:bCs/>
                    <w:sz w:val="26"/>
                    <w:szCs w:val="26"/>
                  </w:rPr>
                </w:pPr>
                <w:r w:rsidRPr="00BC22EA">
                  <w:t>1/year</w:t>
                </w:r>
              </w:p>
            </w:tc>
            <w:tc>
              <w:tcPr>
                <w:tcW w:w="2520" w:type="dxa"/>
              </w:tcPr>
              <w:p w14:paraId="5DAC33C7" w14:textId="77777777" w:rsidR="000453B8" w:rsidRPr="00BC22EA" w:rsidRDefault="000453B8" w:rsidP="000453B8">
                <w:pPr>
                  <w:jc w:val="center"/>
                </w:pPr>
                <w:r w:rsidRPr="00BC22EA">
                  <w:t>0.0005</w:t>
                </w:r>
              </w:p>
            </w:tc>
          </w:tr>
          <w:tr w:rsidR="00083CBC" w:rsidRPr="00BC22EA" w14:paraId="7B87A5BC" w14:textId="77777777" w:rsidTr="00083CBC">
            <w:tc>
              <w:tcPr>
                <w:tcW w:w="2430" w:type="dxa"/>
              </w:tcPr>
              <w:p w14:paraId="0E8D1C22" w14:textId="77777777" w:rsidR="000453B8" w:rsidRPr="00BC22EA" w:rsidRDefault="000453B8" w:rsidP="00B06F00">
                <w:pPr>
                  <w:rPr>
                    <w:rFonts w:eastAsia="Times New Roman"/>
                    <w:b/>
                    <w:bCs/>
                    <w:sz w:val="26"/>
                    <w:szCs w:val="26"/>
                  </w:rPr>
                </w:pPr>
                <w:r w:rsidRPr="00BC22EA">
                  <w:t>Zinc, Total</w:t>
                </w:r>
              </w:p>
            </w:tc>
            <w:tc>
              <w:tcPr>
                <w:tcW w:w="1530" w:type="dxa"/>
              </w:tcPr>
              <w:p w14:paraId="567CF9D9" w14:textId="77777777" w:rsidR="000453B8" w:rsidRPr="00BC22EA" w:rsidRDefault="000453B8" w:rsidP="000453B8">
                <w:pPr>
                  <w:jc w:val="center"/>
                  <w:rPr>
                    <w:rFonts w:eastAsia="Times New Roman"/>
                    <w:b/>
                    <w:bCs/>
                    <w:sz w:val="26"/>
                    <w:szCs w:val="26"/>
                  </w:rPr>
                </w:pPr>
                <w:r w:rsidRPr="00BC22EA">
                  <w:t>6.0</w:t>
                </w:r>
              </w:p>
            </w:tc>
            <w:tc>
              <w:tcPr>
                <w:tcW w:w="1080" w:type="dxa"/>
              </w:tcPr>
              <w:p w14:paraId="1389EE33" w14:textId="77777777" w:rsidR="000453B8" w:rsidRPr="00BC22EA" w:rsidRDefault="000453B8" w:rsidP="000453B8">
                <w:pPr>
                  <w:jc w:val="center"/>
                  <w:rPr>
                    <w:rFonts w:eastAsia="Times New Roman"/>
                    <w:b/>
                    <w:bCs/>
                    <w:sz w:val="26"/>
                    <w:szCs w:val="26"/>
                  </w:rPr>
                </w:pPr>
                <w:r w:rsidRPr="00BC22EA">
                  <w:t>Grab</w:t>
                </w:r>
              </w:p>
            </w:tc>
            <w:tc>
              <w:tcPr>
                <w:tcW w:w="1530" w:type="dxa"/>
              </w:tcPr>
              <w:p w14:paraId="2D83D160" w14:textId="3A368C77" w:rsidR="000453B8" w:rsidRPr="00BC22EA" w:rsidRDefault="000453B8" w:rsidP="000453B8">
                <w:pPr>
                  <w:jc w:val="center"/>
                  <w:rPr>
                    <w:rFonts w:eastAsia="Times New Roman"/>
                    <w:b/>
                    <w:bCs/>
                    <w:sz w:val="26"/>
                    <w:szCs w:val="26"/>
                  </w:rPr>
                </w:pPr>
                <w:r w:rsidRPr="00BC22EA">
                  <w:t>1/year</w:t>
                </w:r>
              </w:p>
            </w:tc>
            <w:tc>
              <w:tcPr>
                <w:tcW w:w="2520" w:type="dxa"/>
              </w:tcPr>
              <w:p w14:paraId="35042837" w14:textId="77777777" w:rsidR="000453B8" w:rsidRPr="00BC22EA" w:rsidRDefault="000453B8" w:rsidP="000453B8">
                <w:pPr>
                  <w:jc w:val="center"/>
                </w:pPr>
                <w:r w:rsidRPr="00BC22EA">
                  <w:t>0.005</w:t>
                </w:r>
              </w:p>
            </w:tc>
          </w:tr>
        </w:tbl>
        <w:p w14:paraId="1DEE22BF" w14:textId="7EF8F856" w:rsidR="0069077E" w:rsidRPr="00BC22EA" w:rsidRDefault="00E466F7" w:rsidP="00400832">
          <w:pPr>
            <w:ind w:left="540" w:hanging="180"/>
          </w:pPr>
          <w:r w:rsidRPr="00941500">
            <w:rPr>
              <w:b/>
              <w:bCs/>
              <w:vertAlign w:val="superscript"/>
            </w:rPr>
            <w:t>1</w:t>
          </w:r>
          <w:r>
            <w:rPr>
              <w:b/>
              <w:bCs/>
              <w:vertAlign w:val="superscript"/>
            </w:rPr>
            <w:tab/>
          </w:r>
          <w:r w:rsidR="00C17759" w:rsidRPr="00BC22EA">
            <w:t xml:space="preserve">If there is a discharge from the facility </w:t>
          </w:r>
          <w:r w:rsidR="00012F0A" w:rsidRPr="00BC22EA">
            <w:t xml:space="preserve">during the year, </w:t>
          </w:r>
          <w:r w:rsidR="00C17759" w:rsidRPr="00BC22EA">
            <w:t>a minimum of one sample of the discharge must be taken.</w:t>
          </w:r>
        </w:p>
        <w:p w14:paraId="53B7C031" w14:textId="305C08DC" w:rsidR="0069077E" w:rsidRPr="00A7390F" w:rsidRDefault="00E466F7" w:rsidP="00400832">
          <w:pPr>
            <w:ind w:left="540" w:hanging="180"/>
          </w:pPr>
          <w:r>
            <w:rPr>
              <w:b/>
              <w:bCs/>
              <w:vertAlign w:val="superscript"/>
            </w:rPr>
            <w:t>2</w:t>
          </w:r>
          <w:r>
            <w:rPr>
              <w:b/>
              <w:bCs/>
              <w:vertAlign w:val="superscript"/>
            </w:rPr>
            <w:tab/>
          </w:r>
          <w:r w:rsidR="00231853" w:rsidRPr="00782E68">
            <w:rPr>
              <w:rFonts w:eastAsia="Times New Roman"/>
            </w:rPr>
            <w:t>By establishing MALs, TCEQ is not requiring us</w:t>
          </w:r>
          <w:r w:rsidR="0069077E" w:rsidRPr="00782E68">
            <w:rPr>
              <w:rFonts w:eastAsia="Times New Roman"/>
            </w:rPr>
            <w:t xml:space="preserve">e </w:t>
          </w:r>
          <w:r w:rsidR="00231853" w:rsidRPr="00782E68">
            <w:rPr>
              <w:rFonts w:eastAsia="Times New Roman"/>
            </w:rPr>
            <w:t xml:space="preserve">of </w:t>
          </w:r>
          <w:r w:rsidR="00782E68" w:rsidRPr="00782E68">
            <w:rPr>
              <w:rFonts w:eastAsia="Times New Roman"/>
            </w:rPr>
            <w:t>an</w:t>
          </w:r>
          <w:r w:rsidR="0069077E" w:rsidRPr="00782E68">
            <w:rPr>
              <w:rFonts w:eastAsia="Times New Roman"/>
            </w:rPr>
            <w:t xml:space="preserve"> analytical test method</w:t>
          </w:r>
          <w:r w:rsidR="00782E68" w:rsidRPr="00782E68">
            <w:rPr>
              <w:rFonts w:eastAsia="Times New Roman"/>
            </w:rPr>
            <w:t xml:space="preserve"> that detects at or below this MAL</w:t>
          </w:r>
          <w:r w:rsidR="00231853" w:rsidRPr="00782E68">
            <w:rPr>
              <w:rFonts w:eastAsia="Times New Roman"/>
            </w:rPr>
            <w:t xml:space="preserve">, nor is TCEQ requiring analytical results to be submitted where </w:t>
          </w:r>
          <w:r w:rsidR="00782E68" w:rsidRPr="00782E68">
            <w:rPr>
              <w:rFonts w:eastAsia="Times New Roman"/>
            </w:rPr>
            <w:t xml:space="preserve">an analytical test method </w:t>
          </w:r>
          <w:r w:rsidR="00231853" w:rsidRPr="00782E68">
            <w:rPr>
              <w:rFonts w:eastAsia="Times New Roman"/>
            </w:rPr>
            <w:t xml:space="preserve">was </w:t>
          </w:r>
          <w:r w:rsidR="00782E68" w:rsidRPr="00782E68">
            <w:rPr>
              <w:rFonts w:eastAsia="Times New Roman"/>
            </w:rPr>
            <w:t>used</w:t>
          </w:r>
          <w:r w:rsidR="00231853" w:rsidRPr="00782E68">
            <w:rPr>
              <w:rFonts w:eastAsia="Times New Roman"/>
            </w:rPr>
            <w:t xml:space="preserve"> to achieve this MAL</w:t>
          </w:r>
          <w:r w:rsidR="0069077E" w:rsidRPr="00782E68">
            <w:rPr>
              <w:rFonts w:eastAsia="Times New Roman"/>
            </w:rPr>
            <w:t xml:space="preserve">. </w:t>
          </w:r>
          <w:r w:rsidR="00231853" w:rsidRPr="00782E68">
            <w:rPr>
              <w:rFonts w:eastAsia="Times New Roman"/>
            </w:rPr>
            <w:t xml:space="preserve">For permitting and compliance purposes, MALs are used </w:t>
          </w:r>
          <w:r w:rsidR="0069077E" w:rsidRPr="00782E68">
            <w:rPr>
              <w:rFonts w:eastAsia="Times New Roman"/>
            </w:rPr>
            <w:t>to allow the permittee to submit analytical results as non</w:t>
          </w:r>
          <w:r w:rsidR="00782E68">
            <w:rPr>
              <w:rFonts w:eastAsia="Times New Roman"/>
            </w:rPr>
            <w:t>-</w:t>
          </w:r>
          <w:r w:rsidR="0069077E" w:rsidRPr="00782E68">
            <w:rPr>
              <w:rFonts w:eastAsia="Times New Roman"/>
            </w:rPr>
            <w:t>detect. Non</w:t>
          </w:r>
          <w:r w:rsidR="00782E68">
            <w:rPr>
              <w:rFonts w:eastAsia="Times New Roman"/>
            </w:rPr>
            <w:t>-</w:t>
          </w:r>
          <w:r w:rsidR="0069077E" w:rsidRPr="00782E68">
            <w:rPr>
              <w:rFonts w:eastAsia="Times New Roman"/>
            </w:rPr>
            <w:t>detect analytical results are assumed to represent a concentration of zero (0) mg/L</w:t>
          </w:r>
          <w:r w:rsidR="00231853" w:rsidRPr="00782E68">
            <w:rPr>
              <w:rFonts w:eastAsia="Times New Roman"/>
            </w:rPr>
            <w:t xml:space="preserve"> (or µg/L as appropriate)</w:t>
          </w:r>
          <w:r w:rsidR="0069077E" w:rsidRPr="00782E68">
            <w:rPr>
              <w:rFonts w:eastAsia="Times New Roman"/>
            </w:rPr>
            <w:t>.</w:t>
          </w:r>
          <w:r w:rsidR="0069077E" w:rsidRPr="00A7390F">
            <w:rPr>
              <w:rFonts w:eastAsia="Times New Roman"/>
            </w:rPr>
            <w:t xml:space="preserve"> </w:t>
          </w:r>
        </w:p>
        <w:p w14:paraId="4B550A97" w14:textId="77777777" w:rsidR="005B6C9C" w:rsidRPr="006C0A4C" w:rsidRDefault="005B6C9C" w:rsidP="00400832">
          <w:pPr>
            <w:pStyle w:val="ListNumber"/>
            <w:rPr>
              <w:b/>
            </w:rPr>
          </w:pPr>
          <w:r w:rsidRPr="00BC22EA">
            <w:t>Samples must be collected at a clearly defined accessible point following the final treatment unit and prior to discharge into receiving waters</w:t>
          </w:r>
          <w:r w:rsidR="00C20D91" w:rsidRPr="00BC22EA">
            <w:t xml:space="preserve"> or leaving the property</w:t>
          </w:r>
          <w:r w:rsidRPr="00BC22EA">
            <w:t>.</w:t>
          </w:r>
          <w:r w:rsidR="008C48C0" w:rsidRPr="00BC22EA">
            <w:t xml:space="preserve"> Results from the conventional pollutants and hazardous metals monitoring must be submitted to TCEQ in accordance with Part IV.7.f.</w:t>
          </w:r>
        </w:p>
        <w:p w14:paraId="18842730" w14:textId="77777777" w:rsidR="006C0A4C" w:rsidRPr="00BC22EA" w:rsidRDefault="006C0A4C" w:rsidP="00400832">
          <w:pPr>
            <w:pStyle w:val="ListNumber"/>
            <w:rPr>
              <w:b/>
            </w:rPr>
          </w:pPr>
          <w:r w:rsidRPr="00BC22EA">
            <w:t>Requirements to sample, inspect, examine or otherwise monitor discharges may be temporarily suspended for adverse weather conditions. Adverse weather conditions are conditions that are either dangerous to personnel (e.g., high wind, excessive lightening) or weather conditions that prohibit access to a discharge (e.g., flooding, freezing conditions, extended periods of drought). Adverse conditions that result in the temporary suspension of a permit requirement to sample, inspect, examine, or otherwise monitor stormwater d</w:t>
          </w:r>
          <w:r>
            <w:t>ischarges must be documented</w:t>
          </w:r>
          <w:r w:rsidRPr="00BC22EA">
            <w:t xml:space="preserve">. Documentation shall include the date, time, names of personnel that witnessed the adverse condition, and the nature of the adverse condition. </w:t>
          </w:r>
          <w:r>
            <w:t xml:space="preserve">Documentation </w:t>
          </w:r>
          <w:r w:rsidRPr="00BC22EA">
            <w:t>must be retained for a minimum of five years and must be made available upon request of the executive director.</w:t>
          </w:r>
        </w:p>
        <w:p w14:paraId="20E0183C" w14:textId="77777777" w:rsidR="00B65278" w:rsidRPr="00BC22EA" w:rsidRDefault="00970723" w:rsidP="00400832">
          <w:pPr>
            <w:pStyle w:val="ListNumber"/>
            <w:rPr>
              <w:b/>
            </w:rPr>
          </w:pPr>
          <w:r w:rsidRPr="00BC22EA">
            <w:t xml:space="preserve">Whole Effluent Toxicity Testing </w:t>
          </w:r>
        </w:p>
        <w:p w14:paraId="539EB777" w14:textId="55CC9F16" w:rsidR="00BC22EA" w:rsidRDefault="00970723" w:rsidP="00400832">
          <w:pPr>
            <w:pStyle w:val="ListContinue"/>
          </w:pPr>
          <w:r w:rsidRPr="00BC22EA">
            <w:t>There must be no acute toxicity as determined by requiring greater than 50</w:t>
          </w:r>
          <w:r w:rsidR="00555C59" w:rsidRPr="00BC22EA">
            <w:t xml:space="preserve"> percent (%)</w:t>
          </w:r>
          <w:r w:rsidRPr="00BC22EA">
            <w:t xml:space="preserve"> survival </w:t>
          </w:r>
          <w:r w:rsidR="00DA4919" w:rsidRPr="00BC22EA">
            <w:t xml:space="preserve">of the appropriate test organism </w:t>
          </w:r>
          <w:r w:rsidRPr="00BC22EA">
            <w:t>in 100</w:t>
          </w:r>
          <w:r w:rsidR="00555C59" w:rsidRPr="00BC22EA">
            <w:t>%</w:t>
          </w:r>
          <w:r w:rsidRPr="00BC22EA">
            <w:t xml:space="preserve"> effluent using a 24-hour acute toxicity test on discharges of facility wastewater and facility wastewater commingled with </w:t>
          </w:r>
          <w:r w:rsidR="006E6F08" w:rsidRPr="00BC22EA">
            <w:t>stormwater</w:t>
          </w:r>
          <w:r w:rsidRPr="00BC22EA">
            <w:t xml:space="preserve"> associated with industrial activities. </w:t>
          </w:r>
          <w:r w:rsidR="005205C1" w:rsidRPr="00BC22EA">
            <w:t>Whole effluent toxicity testing</w:t>
          </w:r>
          <w:r w:rsidRPr="00BC22EA">
            <w:t xml:space="preserve"> is not </w:t>
          </w:r>
          <w:r w:rsidR="005205C1" w:rsidRPr="00BC22EA">
            <w:t>required for</w:t>
          </w:r>
          <w:r w:rsidRPr="00BC22EA">
            <w:t xml:space="preserve"> discharges consisting solely of </w:t>
          </w:r>
          <w:r w:rsidR="006E6F08" w:rsidRPr="00BC22EA">
            <w:t>stormwater</w:t>
          </w:r>
          <w:r w:rsidRPr="00BC22EA">
            <w:t xml:space="preserve"> associated with industrial activities. Monitoring </w:t>
          </w:r>
          <w:r w:rsidR="00872DD1" w:rsidRPr="00BC22EA">
            <w:t xml:space="preserve">for whole effluent toxicity </w:t>
          </w:r>
          <w:r w:rsidR="003928E4" w:rsidRPr="00BC22EA">
            <w:t>must</w:t>
          </w:r>
          <w:r w:rsidRPr="00BC22EA">
            <w:t xml:space="preserve"> be </w:t>
          </w:r>
          <w:r w:rsidR="00872DD1" w:rsidRPr="00BC22EA">
            <w:t xml:space="preserve">completed </w:t>
          </w:r>
          <w:r w:rsidRPr="00BC22EA">
            <w:t xml:space="preserve">once per </w:t>
          </w:r>
          <w:r w:rsidR="00872DD1" w:rsidRPr="00BC22EA">
            <w:t xml:space="preserve">calendar </w:t>
          </w:r>
          <w:r w:rsidRPr="00BC22EA">
            <w:t xml:space="preserve">year using a </w:t>
          </w:r>
          <w:r w:rsidR="00B24280">
            <w:t>grab</w:t>
          </w:r>
          <w:r w:rsidR="00DF71DD">
            <w:t xml:space="preserve"> </w:t>
          </w:r>
          <w:r w:rsidRPr="00BC22EA">
            <w:t>sample.</w:t>
          </w:r>
        </w:p>
        <w:p w14:paraId="0AF121AE" w14:textId="77777777" w:rsidR="00B65278" w:rsidRPr="00BC22EA" w:rsidRDefault="00970723" w:rsidP="00400832">
          <w:pPr>
            <w:pStyle w:val="ListNumber2"/>
            <w:numPr>
              <w:ilvl w:val="0"/>
              <w:numId w:val="68"/>
            </w:numPr>
          </w:pPr>
          <w:r w:rsidRPr="00BC22EA">
            <w:t>Scope and Methodology</w:t>
          </w:r>
        </w:p>
        <w:p w14:paraId="5FA5D4B2" w14:textId="77777777" w:rsidR="00125F49" w:rsidRPr="00BC22EA" w:rsidRDefault="00125F49" w:rsidP="00400832">
          <w:pPr>
            <w:pStyle w:val="ListNumber3"/>
          </w:pPr>
          <w:r w:rsidRPr="00BC22EA">
            <w:t>Test Species</w:t>
          </w:r>
          <w:r w:rsidR="003B77CC" w:rsidRPr="00BC22EA">
            <w:t xml:space="preserve"> -</w:t>
          </w:r>
        </w:p>
        <w:p w14:paraId="77DD8B40" w14:textId="3521EDDD" w:rsidR="00125F49" w:rsidRPr="00BC22EA" w:rsidRDefault="00125F49" w:rsidP="00400832">
          <w:pPr>
            <w:pStyle w:val="ListContinue3"/>
          </w:pPr>
          <w:r w:rsidRPr="00400832">
            <w:rPr>
              <w:rStyle w:val="Style1"/>
            </w:rPr>
            <w:t>Fresh</w:t>
          </w:r>
          <w:r w:rsidR="00B92722" w:rsidRPr="00400832">
            <w:rPr>
              <w:rStyle w:val="Style1"/>
            </w:rPr>
            <w:t>water</w:t>
          </w:r>
          <w:r w:rsidRPr="00BC22EA">
            <w:t xml:space="preserve">: </w:t>
          </w:r>
          <w:r w:rsidR="00B92722" w:rsidRPr="00BC22EA">
            <w:t xml:space="preserve">For discharges into freshwater receiving waters, the following test species must be used: </w:t>
          </w:r>
          <w:r w:rsidR="00970723" w:rsidRPr="00BC22EA">
            <w:rPr>
              <w:i/>
              <w:iCs/>
            </w:rPr>
            <w:t>Daphnia pulex</w:t>
          </w:r>
          <w:r w:rsidR="00970723" w:rsidRPr="00BC22EA">
            <w:t xml:space="preserve"> </w:t>
          </w:r>
          <w:r w:rsidR="00724D8D">
            <w:t xml:space="preserve">or </w:t>
          </w:r>
          <w:r w:rsidR="00724D8D" w:rsidRPr="00400832">
            <w:rPr>
              <w:rStyle w:val="Emphasis"/>
            </w:rPr>
            <w:t>Ceridaphnia dubia</w:t>
          </w:r>
          <w:r w:rsidR="00724D8D">
            <w:t xml:space="preserve"> </w:t>
          </w:r>
          <w:r w:rsidR="00872DD1" w:rsidRPr="00BC22EA">
            <w:t xml:space="preserve">(water flea) </w:t>
          </w:r>
          <w:r w:rsidR="00970723" w:rsidRPr="00BC22EA">
            <w:t xml:space="preserve">and </w:t>
          </w:r>
          <w:r w:rsidR="00970723" w:rsidRPr="00BC22EA">
            <w:rPr>
              <w:i/>
              <w:iCs/>
            </w:rPr>
            <w:t>Pimephales promelas</w:t>
          </w:r>
          <w:r w:rsidR="00970723" w:rsidRPr="00BC22EA">
            <w:t xml:space="preserve"> (fathead minnow). </w:t>
          </w:r>
        </w:p>
        <w:p w14:paraId="0934073F" w14:textId="0AF1FBA6" w:rsidR="00125F49" w:rsidRPr="00BC22EA" w:rsidRDefault="00125F49" w:rsidP="00400832">
          <w:pPr>
            <w:pStyle w:val="ListContinue3"/>
          </w:pPr>
          <w:r w:rsidRPr="00400832">
            <w:rPr>
              <w:rStyle w:val="Style1"/>
            </w:rPr>
            <w:t xml:space="preserve">Marine </w:t>
          </w:r>
          <w:r w:rsidR="00B92722" w:rsidRPr="00400832">
            <w:rPr>
              <w:rStyle w:val="Style1"/>
            </w:rPr>
            <w:t>Water</w:t>
          </w:r>
          <w:r w:rsidRPr="00BC22EA">
            <w:t xml:space="preserve">: </w:t>
          </w:r>
          <w:r w:rsidR="00B92722" w:rsidRPr="00BC22EA">
            <w:t xml:space="preserve">For discharges into marine receiving waters, the following test species must be used: </w:t>
          </w:r>
          <w:r w:rsidR="00DB0FFE" w:rsidRPr="00400832">
            <w:rPr>
              <w:rStyle w:val="Emphasis"/>
            </w:rPr>
            <w:t>Americamysis</w:t>
          </w:r>
          <w:r w:rsidR="001729AD">
            <w:rPr>
              <w:rStyle w:val="Emphasis"/>
            </w:rPr>
            <w:t xml:space="preserve"> </w:t>
          </w:r>
          <w:r w:rsidRPr="00BC22EA">
            <w:rPr>
              <w:i/>
              <w:iCs/>
            </w:rPr>
            <w:t>bahia</w:t>
          </w:r>
          <w:r w:rsidRPr="00BC22EA">
            <w:t xml:space="preserve"> (mysid shrimp) and </w:t>
          </w:r>
          <w:r w:rsidRPr="00BC22EA">
            <w:rPr>
              <w:i/>
              <w:iCs/>
            </w:rPr>
            <w:t>Menidia beryllina</w:t>
          </w:r>
          <w:r w:rsidRPr="00BC22EA">
            <w:t xml:space="preserve"> (inland silverside).</w:t>
          </w:r>
        </w:p>
        <w:p w14:paraId="2C06AC11" w14:textId="77777777" w:rsidR="00B65278" w:rsidRPr="00BC22EA" w:rsidRDefault="00970723" w:rsidP="00400832">
          <w:pPr>
            <w:pStyle w:val="ListNumber3"/>
          </w:pPr>
          <w:r w:rsidRPr="00BC22EA">
            <w:lastRenderedPageBreak/>
            <w:t xml:space="preserve">Acute static nonrenewal 24-hour toxicity tests must be conducted using </w:t>
          </w:r>
          <w:r w:rsidR="00A32EDB" w:rsidRPr="00BC22EA">
            <w:rPr>
              <w:rStyle w:val="Emphasis"/>
            </w:rPr>
            <w:t>Methods for Measuring the Acute Toxicity of Effluents and Receiving Waters to Freshwater and Marine Organisms</w:t>
          </w:r>
          <w:r w:rsidRPr="00BC22EA">
            <w:t xml:space="preserve"> (EPA-821-R-02-012) or the latest update. A minimum of </w:t>
          </w:r>
          <w:r w:rsidR="00A41340" w:rsidRPr="00BC22EA">
            <w:t xml:space="preserve">five </w:t>
          </w:r>
          <w:r w:rsidRPr="00BC22EA">
            <w:t xml:space="preserve">replicates with </w:t>
          </w:r>
          <w:r w:rsidR="00A41340" w:rsidRPr="00BC22EA">
            <w:t xml:space="preserve">eight </w:t>
          </w:r>
          <w:r w:rsidRPr="00BC22EA">
            <w:t>organisms per replicate must be used in the control and in each effluent dilution of this test.</w:t>
          </w:r>
        </w:p>
        <w:p w14:paraId="1703DA26" w14:textId="77777777" w:rsidR="009E6CF7" w:rsidRPr="00BC22EA" w:rsidRDefault="000A699A" w:rsidP="00400832">
          <w:pPr>
            <w:pStyle w:val="ListNumber3"/>
          </w:pPr>
          <w:r w:rsidRPr="00BC22EA">
            <w:t>The permittee shall test the effluent for lethality in accordance with the provision of this section. In addition to the use of an appropriate control (0% effluent), testing will determine if an effluent sample meets the requirement of greater than 50% survival of the appropriate test organisms in 100% effluent of a 24-hour period.</w:t>
          </w:r>
        </w:p>
        <w:p w14:paraId="09D4B2B5" w14:textId="77777777" w:rsidR="00B65278" w:rsidRPr="00BC22EA" w:rsidRDefault="00970723" w:rsidP="00400832">
          <w:pPr>
            <w:pStyle w:val="ListNumber2"/>
          </w:pPr>
          <w:r w:rsidRPr="00BC22EA">
            <w:t>Required Toxicity Testing Conditions</w:t>
          </w:r>
        </w:p>
        <w:p w14:paraId="3FD8877F" w14:textId="77777777" w:rsidR="003D65A8" w:rsidRPr="00BC22EA" w:rsidRDefault="00970723" w:rsidP="00400832">
          <w:pPr>
            <w:pStyle w:val="ListNumber3"/>
            <w:numPr>
              <w:ilvl w:val="0"/>
              <w:numId w:val="70"/>
            </w:numPr>
          </w:pPr>
          <w:r w:rsidRPr="00BC22EA">
            <w:t>Control</w:t>
          </w:r>
          <w:r w:rsidR="00797909" w:rsidRPr="00BC22EA">
            <w:t xml:space="preserve"> and </w:t>
          </w:r>
          <w:r w:rsidR="003B77CC" w:rsidRPr="00BC22EA">
            <w:t>Dilution Water -</w:t>
          </w:r>
        </w:p>
        <w:p w14:paraId="70D2E063" w14:textId="77777777" w:rsidR="00B65278" w:rsidRPr="00BC22EA" w:rsidRDefault="003D65A8" w:rsidP="003D65A8">
          <w:pPr>
            <w:tabs>
              <w:tab w:val="left" w:pos="1080"/>
            </w:tabs>
            <w:ind w:left="1080"/>
          </w:pPr>
          <w:r w:rsidRPr="00400832">
            <w:rPr>
              <w:rStyle w:val="Style1"/>
            </w:rPr>
            <w:t>Fresh</w:t>
          </w:r>
          <w:r w:rsidR="00B92722" w:rsidRPr="00400832">
            <w:rPr>
              <w:rStyle w:val="Style1"/>
            </w:rPr>
            <w:t>water</w:t>
          </w:r>
          <w:r w:rsidRPr="00BC22EA">
            <w:t xml:space="preserve">: </w:t>
          </w:r>
          <w:r w:rsidR="00B92722" w:rsidRPr="00BC22EA">
            <w:t>For discharges into freshwater receiving waters, c</w:t>
          </w:r>
          <w:r w:rsidR="00970723" w:rsidRPr="00BC22EA">
            <w:t xml:space="preserve">ontrol </w:t>
          </w:r>
          <w:r w:rsidR="00D33405" w:rsidRPr="00BC22EA">
            <w:t xml:space="preserve">and </w:t>
          </w:r>
          <w:r w:rsidR="00970723" w:rsidRPr="00BC22EA">
            <w:t>dilution water will normally consist of a standard, synthetic, moderately hard, reconstituted water of similar pH and alkalinity to the closest downstream perennial water.</w:t>
          </w:r>
        </w:p>
        <w:p w14:paraId="64F71A38" w14:textId="77777777" w:rsidR="003D65A8" w:rsidRPr="00BC22EA" w:rsidRDefault="003D65A8" w:rsidP="003D65A8">
          <w:pPr>
            <w:tabs>
              <w:tab w:val="left" w:pos="1080"/>
            </w:tabs>
            <w:ind w:left="1080"/>
          </w:pPr>
          <w:r w:rsidRPr="00400832">
            <w:rPr>
              <w:rStyle w:val="Style1"/>
            </w:rPr>
            <w:t xml:space="preserve">Marine </w:t>
          </w:r>
          <w:r w:rsidR="00B92722" w:rsidRPr="00400832">
            <w:rPr>
              <w:rStyle w:val="Style1"/>
            </w:rPr>
            <w:t>Water</w:t>
          </w:r>
          <w:r w:rsidRPr="00BC22EA">
            <w:t xml:space="preserve">: </w:t>
          </w:r>
          <w:r w:rsidR="00B92722" w:rsidRPr="00BC22EA">
            <w:t>For discharges into marine receiving waters, c</w:t>
          </w:r>
          <w:r w:rsidRPr="00BC22EA">
            <w:t>ontrol and dilution water will normally consist of a standard, synthetic reconstituted seawater.</w:t>
          </w:r>
        </w:p>
        <w:p w14:paraId="76B5B1AE" w14:textId="77777777" w:rsidR="00B65278" w:rsidRPr="00BC22EA" w:rsidRDefault="005B360C" w:rsidP="00400832">
          <w:pPr>
            <w:pStyle w:val="ListNumber3"/>
          </w:pPr>
          <w:r w:rsidRPr="00BC22EA">
            <w:t xml:space="preserve">Control Survival - If more than 10% of the test organisms in any control die within 24 hours, that test, including the control and the 100% effluent, must be repeated with all results from both tests reported as required in Item </w:t>
          </w:r>
          <w:r w:rsidR="00D17CF1" w:rsidRPr="00BC22EA">
            <w:t>4</w:t>
          </w:r>
          <w:r w:rsidR="00BD6E7A" w:rsidRPr="00BC22EA">
            <w:t>.</w:t>
          </w:r>
          <w:r w:rsidR="00EC6CAF" w:rsidRPr="00BC22EA">
            <w:t>d</w:t>
          </w:r>
          <w:r w:rsidR="00D17CF1" w:rsidRPr="00BC22EA">
            <w:t>.</w:t>
          </w:r>
          <w:r w:rsidRPr="00BC22EA">
            <w:t xml:space="preserve"> </w:t>
          </w:r>
          <w:r w:rsidR="00EC6CAF" w:rsidRPr="00BC22EA">
            <w:t>(</w:t>
          </w:r>
          <w:r w:rsidRPr="00BC22EA">
            <w:t>Reporting</w:t>
          </w:r>
          <w:r w:rsidR="00EC6CAF" w:rsidRPr="00BC22EA">
            <w:rPr>
              <w:i/>
            </w:rPr>
            <w:t>)</w:t>
          </w:r>
          <w:r w:rsidRPr="00BC22EA">
            <w:t xml:space="preserve"> of this section.</w:t>
          </w:r>
        </w:p>
        <w:p w14:paraId="336E4A29" w14:textId="77777777" w:rsidR="00B65278" w:rsidRPr="00BC22EA" w:rsidRDefault="005B360C" w:rsidP="00400832">
          <w:pPr>
            <w:pStyle w:val="ListNumber3"/>
          </w:pPr>
          <w:r w:rsidRPr="00BC22EA">
            <w:t>Repeat Test - The permittee shall repeat a test, including the control and all effluent dilutions, if the procedures and quality assurance requirements defined in the test methods or in this general permit are not satisfied. A repeat test must be conducted within the required reporting period of any test determined to be invalid</w:t>
          </w:r>
          <w:r w:rsidR="00022B71" w:rsidRPr="00BC22EA">
            <w:t>.</w:t>
          </w:r>
        </w:p>
        <w:p w14:paraId="291FDABE" w14:textId="3569EC89" w:rsidR="00B65278" w:rsidRPr="00BC22EA" w:rsidRDefault="005B360C" w:rsidP="00400832">
          <w:pPr>
            <w:pStyle w:val="ListNumber3"/>
          </w:pPr>
          <w:r w:rsidRPr="00BC22EA">
            <w:t xml:space="preserve">Sample Collection and Preservation - Samples must be collected at a point following the last treatment unit and prior to entering receiving waters. One </w:t>
          </w:r>
          <w:r w:rsidR="008833D6">
            <w:t xml:space="preserve">grab </w:t>
          </w:r>
          <w:r w:rsidRPr="00BC22EA">
            <w:t xml:space="preserve">sample representative of normal operating flows </w:t>
          </w:r>
          <w:r w:rsidR="001367EB" w:rsidRPr="00BC22EA">
            <w:t>(</w:t>
          </w:r>
          <w:r w:rsidR="00A52355" w:rsidRPr="00BC22EA">
            <w:t>s</w:t>
          </w:r>
          <w:r w:rsidR="001367EB" w:rsidRPr="00BC22EA">
            <w:t xml:space="preserve">ee 30 TAC </w:t>
          </w:r>
          <w:r w:rsidR="00B3383F" w:rsidRPr="00BC22EA">
            <w:t>§</w:t>
          </w:r>
          <w:r w:rsidR="001367EB" w:rsidRPr="00BC22EA">
            <w:t xml:space="preserve">319.9(c)) </w:t>
          </w:r>
          <w:r w:rsidR="00CD3E0A" w:rsidRPr="00BC22EA">
            <w:t xml:space="preserve">must </w:t>
          </w:r>
          <w:r w:rsidRPr="00BC22EA">
            <w:t xml:space="preserve">be collected from each outfall and a discrete test </w:t>
          </w:r>
          <w:r w:rsidR="00CD3E0A" w:rsidRPr="00BC22EA">
            <w:t xml:space="preserve">must </w:t>
          </w:r>
          <w:r w:rsidRPr="00BC22EA">
            <w:t xml:space="preserve">be run on each </w:t>
          </w:r>
          <w:r w:rsidR="008833D6">
            <w:t>grab</w:t>
          </w:r>
          <w:r w:rsidR="00DF71DD">
            <w:t xml:space="preserve"> </w:t>
          </w:r>
          <w:r w:rsidRPr="00BC22EA">
            <w:t>sample. Samples must be chilled to 0</w:t>
          </w:r>
          <w:r w:rsidR="003B77CC" w:rsidRPr="00BC22EA">
            <w:t xml:space="preserve"> </w:t>
          </w:r>
          <w:r w:rsidRPr="00BC22EA">
            <w:t>-</w:t>
          </w:r>
          <w:r w:rsidR="003B77CC" w:rsidRPr="00BC22EA">
            <w:t xml:space="preserve"> </w:t>
          </w:r>
          <w:r w:rsidRPr="00BC22EA">
            <w:t xml:space="preserve">6 degrees Centigrade during collection, shipping, </w:t>
          </w:r>
          <w:r w:rsidR="00D33405" w:rsidRPr="00BC22EA">
            <w:t xml:space="preserve">and </w:t>
          </w:r>
          <w:r w:rsidRPr="00BC22EA">
            <w:t xml:space="preserve">storage. The toxicity tests must be initiated within 36 hours after collection of the sample. The </w:t>
          </w:r>
          <w:r w:rsidR="008833D6">
            <w:t>grab</w:t>
          </w:r>
          <w:r w:rsidR="00DF71DD">
            <w:t xml:space="preserve"> </w:t>
          </w:r>
          <w:r w:rsidRPr="00BC22EA">
            <w:t>sample must be collected in a manner that makes the sample representative of any periodic episode of chlorination, biocide usage, or other potentially toxic substance discharged on an intermittent basis.</w:t>
          </w:r>
        </w:p>
        <w:p w14:paraId="0B09B53C" w14:textId="77777777" w:rsidR="00B92722" w:rsidRPr="00BC22EA" w:rsidRDefault="00B92722" w:rsidP="00953E09">
          <w:pPr>
            <w:pStyle w:val="ListNumber2"/>
            <w:keepNext/>
          </w:pPr>
          <w:r w:rsidRPr="00BC22EA">
            <w:t xml:space="preserve">Persistent Mortality </w:t>
          </w:r>
        </w:p>
        <w:p w14:paraId="0E7A6F0E" w14:textId="1009CAF4" w:rsidR="00B92722" w:rsidRPr="00BC22EA" w:rsidRDefault="00B92722" w:rsidP="00400832">
          <w:pPr>
            <w:pStyle w:val="ListContinue2"/>
          </w:pPr>
          <w:r w:rsidRPr="00BC22EA">
            <w:t>These requirements apply when a toxicity test demonstrates significant lethality, here defined as a mean mortality of 50% or greater to organisms exposed to the 100% effluent concentration after 24</w:t>
          </w:r>
          <w:r w:rsidR="00DF71DD">
            <w:t xml:space="preserve"> </w:t>
          </w:r>
          <w:r w:rsidRPr="00BC22EA">
            <w:t>hours.</w:t>
          </w:r>
        </w:p>
        <w:p w14:paraId="0A031EAB" w14:textId="62BBA058" w:rsidR="00B92722" w:rsidRPr="00BC22EA" w:rsidRDefault="00B92722" w:rsidP="00400832">
          <w:pPr>
            <w:pStyle w:val="ListNumber3"/>
            <w:numPr>
              <w:ilvl w:val="0"/>
              <w:numId w:val="71"/>
            </w:numPr>
          </w:pPr>
          <w:r w:rsidRPr="00BC22EA">
            <w:t xml:space="preserve">The permittee shall conduct two additional tests (retests) for each species that demonstrate significant lethality. The two retests must be conducted once per </w:t>
          </w:r>
          <w:r w:rsidRPr="00BC22EA">
            <w:lastRenderedPageBreak/>
            <w:t xml:space="preserve">week for two weeks. Five effluent dilution concentrations in addition to an appropriate control must be used in the retests. These additional effluent concentrations are 6%, 13%, 25%, 50%, and 100% effluent. The first retest must be conducted within 15 days of the laboratory determination of significant lethality. The retests must also be reported on the </w:t>
          </w:r>
          <w:r w:rsidR="0003700A" w:rsidRPr="00BC22EA">
            <w:t>Discharge Monitoring Report (DMR)</w:t>
          </w:r>
          <w:r w:rsidRPr="00BC22EA">
            <w:t xml:space="preserve"> as specified in </w:t>
          </w:r>
          <w:r w:rsidR="00D17CF1" w:rsidRPr="00BC22EA">
            <w:t>Item 4</w:t>
          </w:r>
          <w:r w:rsidRPr="00BC22EA">
            <w:t xml:space="preserve">.d. (Reporting) of this section. </w:t>
          </w:r>
        </w:p>
        <w:p w14:paraId="34BC2A8A" w14:textId="77777777" w:rsidR="00B92722" w:rsidRPr="00BC22EA" w:rsidRDefault="00B92722" w:rsidP="00400832">
          <w:pPr>
            <w:pStyle w:val="ListNumber3"/>
          </w:pPr>
          <w:r w:rsidRPr="00BC22EA">
            <w:t>If one or both of the two retests demonstrates significant lethality, the permittee shall submit the failing test results to the Water Quality Assessment Section (MC-150) within 20 days of test completion of the second retest for evaluation to determine if further action is required. Test completion is defined as the 24th hour.</w:t>
          </w:r>
        </w:p>
        <w:p w14:paraId="31B8AE40" w14:textId="77777777" w:rsidR="00B65278" w:rsidRPr="00BC22EA" w:rsidRDefault="00970723" w:rsidP="00400832">
          <w:pPr>
            <w:pStyle w:val="ListNumber2"/>
          </w:pPr>
          <w:r w:rsidRPr="00BC22EA">
            <w:t xml:space="preserve">Reporting </w:t>
          </w:r>
        </w:p>
        <w:p w14:paraId="150196FB" w14:textId="77777777" w:rsidR="00BC22EA" w:rsidRDefault="00970723" w:rsidP="00400832">
          <w:pPr>
            <w:pStyle w:val="ListNumber3"/>
            <w:numPr>
              <w:ilvl w:val="0"/>
              <w:numId w:val="72"/>
            </w:numPr>
          </w:pPr>
          <w:r w:rsidRPr="00BC22EA">
            <w:t>The permittee shall prepare a full report of the results of all tests</w:t>
          </w:r>
          <w:r w:rsidR="00B92722" w:rsidRPr="00BC22EA">
            <w:t xml:space="preserve"> and retests</w:t>
          </w:r>
          <w:r w:rsidRPr="00BC22EA">
            <w:t xml:space="preserve"> conducted, regardless of whether the tests are valid, invalid, completed, or not completed. The report </w:t>
          </w:r>
          <w:r w:rsidR="003928E4" w:rsidRPr="00BC22EA">
            <w:t>must</w:t>
          </w:r>
          <w:r w:rsidRPr="00BC22EA">
            <w:t xml:space="preserve"> be retained for a minimum of </w:t>
          </w:r>
          <w:r w:rsidR="00B92722" w:rsidRPr="00BC22EA">
            <w:t xml:space="preserve">five </w:t>
          </w:r>
          <w:r w:rsidRPr="00BC22EA">
            <w:t>years and must be made available upon request of the executive director.</w:t>
          </w:r>
        </w:p>
        <w:p w14:paraId="7909EAD4" w14:textId="77777777" w:rsidR="0044269E" w:rsidRPr="00BC22EA" w:rsidRDefault="0044269E" w:rsidP="00400832">
          <w:pPr>
            <w:pStyle w:val="ListNumber3"/>
          </w:pPr>
          <w:r w:rsidRPr="00BC22EA">
            <w:t xml:space="preserve">The results of valid tests and all retests must be submitted on the </w:t>
          </w:r>
          <w:r w:rsidR="0003700A" w:rsidRPr="00BC22EA">
            <w:t>DMR</w:t>
          </w:r>
          <w:r w:rsidRPr="00BC22EA">
            <w:t xml:space="preserve"> in the following manner: enter “0” if mean survival at 24 hours is greater than 50% in 100% effluent; if the mean survival at 24 hours is less than or equal to 50%, enter “1”.</w:t>
          </w:r>
        </w:p>
        <w:p w14:paraId="0C82CA71" w14:textId="77777777" w:rsidR="00B65278" w:rsidRPr="00BC22EA" w:rsidRDefault="0044269E" w:rsidP="00400832">
          <w:pPr>
            <w:pStyle w:val="ListNumber3"/>
          </w:pPr>
          <w:r w:rsidRPr="00BC22EA">
            <w:t xml:space="preserve">Use the following </w:t>
          </w:r>
          <w:r w:rsidR="00EC6CAF" w:rsidRPr="00BC22EA">
            <w:t xml:space="preserve">DMR </w:t>
          </w:r>
          <w:r w:rsidRPr="00BC22EA">
            <w:t xml:space="preserve">parameter </w:t>
          </w:r>
          <w:r w:rsidR="00EC6CAF" w:rsidRPr="00BC22EA">
            <w:t xml:space="preserve">codes for valid tests only: </w:t>
          </w:r>
        </w:p>
        <w:tbl>
          <w:tblPr>
            <w:tblStyle w:val="TableGrid"/>
            <w:tblW w:w="0" w:type="auto"/>
            <w:tblInd w:w="1075" w:type="dxa"/>
            <w:tblLook w:val="04A0" w:firstRow="1" w:lastRow="0" w:firstColumn="1" w:lastColumn="0" w:noHBand="0" w:noVBand="1"/>
            <w:tblDescription w:val="Parameter Codes for each test species as determined by the type of receiving water."/>
          </w:tblPr>
          <w:tblGrid>
            <w:gridCol w:w="2358"/>
            <w:gridCol w:w="2358"/>
            <w:gridCol w:w="2322"/>
          </w:tblGrid>
          <w:tr w:rsidR="00725273" w:rsidRPr="00BC22EA" w14:paraId="5BDD48C3" w14:textId="77777777" w:rsidTr="00400832">
            <w:trPr>
              <w:tblHeader/>
            </w:trPr>
            <w:tc>
              <w:tcPr>
                <w:tcW w:w="2358" w:type="dxa"/>
                <w:vAlign w:val="center"/>
              </w:tcPr>
              <w:p w14:paraId="109D1B9C" w14:textId="77777777" w:rsidR="00725273" w:rsidRPr="00BC22EA" w:rsidRDefault="00725273" w:rsidP="001C5141">
                <w:pPr>
                  <w:tabs>
                    <w:tab w:val="left" w:pos="1080"/>
                  </w:tabs>
                  <w:rPr>
                    <w:b/>
                  </w:rPr>
                </w:pPr>
                <w:r w:rsidRPr="00BC22EA">
                  <w:rPr>
                    <w:b/>
                  </w:rPr>
                  <w:t>Receiving Water</w:t>
                </w:r>
              </w:p>
            </w:tc>
            <w:tc>
              <w:tcPr>
                <w:tcW w:w="2358" w:type="dxa"/>
                <w:vAlign w:val="center"/>
              </w:tcPr>
              <w:p w14:paraId="7638D8E1" w14:textId="77777777" w:rsidR="00725273" w:rsidRPr="00BC22EA" w:rsidRDefault="00725273" w:rsidP="001C5141">
                <w:pPr>
                  <w:tabs>
                    <w:tab w:val="left" w:pos="1080"/>
                  </w:tabs>
                  <w:rPr>
                    <w:b/>
                  </w:rPr>
                </w:pPr>
                <w:r w:rsidRPr="00BC22EA">
                  <w:rPr>
                    <w:b/>
                  </w:rPr>
                  <w:t>Species</w:t>
                </w:r>
              </w:p>
            </w:tc>
            <w:tc>
              <w:tcPr>
                <w:tcW w:w="2322" w:type="dxa"/>
                <w:vAlign w:val="center"/>
              </w:tcPr>
              <w:p w14:paraId="7DE52C31" w14:textId="77777777" w:rsidR="00725273" w:rsidRPr="00BC22EA" w:rsidRDefault="00725273" w:rsidP="001C5141">
                <w:pPr>
                  <w:tabs>
                    <w:tab w:val="left" w:pos="1080"/>
                  </w:tabs>
                  <w:rPr>
                    <w:b/>
                  </w:rPr>
                </w:pPr>
                <w:r w:rsidRPr="00BC22EA">
                  <w:rPr>
                    <w:b/>
                  </w:rPr>
                  <w:t>Parameter Code</w:t>
                </w:r>
              </w:p>
            </w:tc>
          </w:tr>
          <w:tr w:rsidR="00725273" w:rsidRPr="00BC22EA" w14:paraId="66806971" w14:textId="77777777" w:rsidTr="00400832">
            <w:tc>
              <w:tcPr>
                <w:tcW w:w="2358" w:type="dxa"/>
              </w:tcPr>
              <w:p w14:paraId="533D4F82" w14:textId="77777777" w:rsidR="00725273" w:rsidRPr="00BC22EA" w:rsidRDefault="00725273" w:rsidP="00EC6CAF">
                <w:pPr>
                  <w:tabs>
                    <w:tab w:val="left" w:pos="1080"/>
                  </w:tabs>
                </w:pPr>
                <w:r w:rsidRPr="00BC22EA">
                  <w:t>Freshwater</w:t>
                </w:r>
              </w:p>
            </w:tc>
            <w:tc>
              <w:tcPr>
                <w:tcW w:w="2358" w:type="dxa"/>
              </w:tcPr>
              <w:p w14:paraId="722012ED" w14:textId="77777777" w:rsidR="00725273" w:rsidRPr="00BC22EA" w:rsidRDefault="00725273" w:rsidP="00EC6CAF">
                <w:pPr>
                  <w:tabs>
                    <w:tab w:val="left" w:pos="1080"/>
                  </w:tabs>
                </w:pPr>
                <w:r w:rsidRPr="00BC22EA">
                  <w:t>Water Flea</w:t>
                </w:r>
              </w:p>
            </w:tc>
            <w:tc>
              <w:tcPr>
                <w:tcW w:w="2322" w:type="dxa"/>
              </w:tcPr>
              <w:p w14:paraId="53831318" w14:textId="77777777" w:rsidR="00725273" w:rsidRPr="00BC22EA" w:rsidRDefault="00725273" w:rsidP="00EC6CAF">
                <w:pPr>
                  <w:tabs>
                    <w:tab w:val="left" w:pos="1080"/>
                  </w:tabs>
                </w:pPr>
                <w:r w:rsidRPr="00BC22EA">
                  <w:t>TIE3D</w:t>
                </w:r>
              </w:p>
            </w:tc>
          </w:tr>
          <w:tr w:rsidR="00725273" w:rsidRPr="00BC22EA" w14:paraId="51B84FAC" w14:textId="77777777" w:rsidTr="00400832">
            <w:tc>
              <w:tcPr>
                <w:tcW w:w="2358" w:type="dxa"/>
              </w:tcPr>
              <w:p w14:paraId="6759F934" w14:textId="77777777" w:rsidR="00725273" w:rsidRPr="00BC22EA" w:rsidRDefault="00725273" w:rsidP="00EC6CAF">
                <w:pPr>
                  <w:tabs>
                    <w:tab w:val="left" w:pos="1080"/>
                  </w:tabs>
                </w:pPr>
                <w:r w:rsidRPr="00BC22EA">
                  <w:t>Freshwater</w:t>
                </w:r>
              </w:p>
            </w:tc>
            <w:tc>
              <w:tcPr>
                <w:tcW w:w="2358" w:type="dxa"/>
              </w:tcPr>
              <w:p w14:paraId="01BA21FA" w14:textId="77777777" w:rsidR="00725273" w:rsidRPr="00BC22EA" w:rsidRDefault="00725273" w:rsidP="00EC6CAF">
                <w:pPr>
                  <w:tabs>
                    <w:tab w:val="left" w:pos="1080"/>
                  </w:tabs>
                </w:pPr>
                <w:r w:rsidRPr="00BC22EA">
                  <w:t>Fathead Minnow</w:t>
                </w:r>
              </w:p>
            </w:tc>
            <w:tc>
              <w:tcPr>
                <w:tcW w:w="2322" w:type="dxa"/>
              </w:tcPr>
              <w:p w14:paraId="5CB61E61" w14:textId="77777777" w:rsidR="00725273" w:rsidRPr="00BC22EA" w:rsidRDefault="00725273" w:rsidP="00EC6CAF">
                <w:pPr>
                  <w:tabs>
                    <w:tab w:val="left" w:pos="1080"/>
                  </w:tabs>
                </w:pPr>
                <w:r w:rsidRPr="00BC22EA">
                  <w:t>TIE6C</w:t>
                </w:r>
              </w:p>
            </w:tc>
          </w:tr>
          <w:tr w:rsidR="00725273" w:rsidRPr="00BC22EA" w14:paraId="457D3ABF" w14:textId="77777777" w:rsidTr="00400832">
            <w:tc>
              <w:tcPr>
                <w:tcW w:w="2358" w:type="dxa"/>
              </w:tcPr>
              <w:p w14:paraId="26D56190" w14:textId="77777777" w:rsidR="00725273" w:rsidRPr="00BC22EA" w:rsidRDefault="00725273" w:rsidP="00F90DA5">
                <w:pPr>
                  <w:tabs>
                    <w:tab w:val="left" w:pos="1080"/>
                  </w:tabs>
                </w:pPr>
                <w:r w:rsidRPr="00BC22EA">
                  <w:t>Marine Water</w:t>
                </w:r>
              </w:p>
            </w:tc>
            <w:tc>
              <w:tcPr>
                <w:tcW w:w="2358" w:type="dxa"/>
              </w:tcPr>
              <w:p w14:paraId="630C9040" w14:textId="77777777" w:rsidR="00725273" w:rsidRPr="00BC22EA" w:rsidRDefault="00725273" w:rsidP="00F90DA5">
                <w:pPr>
                  <w:tabs>
                    <w:tab w:val="left" w:pos="1080"/>
                  </w:tabs>
                </w:pPr>
                <w:r w:rsidRPr="00BC22EA">
                  <w:t>Mysid Shrimp</w:t>
                </w:r>
              </w:p>
            </w:tc>
            <w:tc>
              <w:tcPr>
                <w:tcW w:w="2322" w:type="dxa"/>
              </w:tcPr>
              <w:p w14:paraId="7406D744" w14:textId="77777777" w:rsidR="00725273" w:rsidRPr="00BC22EA" w:rsidRDefault="00725273" w:rsidP="00F90DA5">
                <w:pPr>
                  <w:tabs>
                    <w:tab w:val="left" w:pos="1080"/>
                  </w:tabs>
                </w:pPr>
                <w:r w:rsidRPr="00BC22EA">
                  <w:t>TIE3E</w:t>
                </w:r>
              </w:p>
            </w:tc>
          </w:tr>
          <w:tr w:rsidR="00725273" w:rsidRPr="00BC22EA" w14:paraId="0EE757D4" w14:textId="77777777" w:rsidTr="00400832">
            <w:tc>
              <w:tcPr>
                <w:tcW w:w="2358" w:type="dxa"/>
              </w:tcPr>
              <w:p w14:paraId="704392B7" w14:textId="77777777" w:rsidR="00725273" w:rsidRPr="00BC22EA" w:rsidRDefault="00725273" w:rsidP="00F90DA5">
                <w:pPr>
                  <w:tabs>
                    <w:tab w:val="left" w:pos="1080"/>
                  </w:tabs>
                </w:pPr>
                <w:r w:rsidRPr="00BC22EA">
                  <w:t>Marine Water</w:t>
                </w:r>
              </w:p>
            </w:tc>
            <w:tc>
              <w:tcPr>
                <w:tcW w:w="2358" w:type="dxa"/>
              </w:tcPr>
              <w:p w14:paraId="6B6074CF" w14:textId="77777777" w:rsidR="00725273" w:rsidRPr="00BC22EA" w:rsidRDefault="00725273" w:rsidP="00F90DA5">
                <w:pPr>
                  <w:tabs>
                    <w:tab w:val="left" w:pos="1080"/>
                  </w:tabs>
                </w:pPr>
                <w:r w:rsidRPr="00BC22EA">
                  <w:t>Inland Silverside</w:t>
                </w:r>
              </w:p>
            </w:tc>
            <w:tc>
              <w:tcPr>
                <w:tcW w:w="2322" w:type="dxa"/>
              </w:tcPr>
              <w:p w14:paraId="6E6E0CA0" w14:textId="5903EA83" w:rsidR="00725273" w:rsidRPr="00BC22EA" w:rsidRDefault="00725273" w:rsidP="00F90DA5">
                <w:pPr>
                  <w:tabs>
                    <w:tab w:val="left" w:pos="1080"/>
                  </w:tabs>
                </w:pPr>
                <w:r w:rsidRPr="00BC22EA">
                  <w:t>TI</w:t>
                </w:r>
                <w:r w:rsidR="00501F52">
                  <w:t>I</w:t>
                </w:r>
                <w:r w:rsidRPr="00BC22EA">
                  <w:t>6</w:t>
                </w:r>
                <w:r w:rsidR="00501F52">
                  <w:t>J</w:t>
                </w:r>
              </w:p>
            </w:tc>
          </w:tr>
        </w:tbl>
        <w:p w14:paraId="5C2123AD" w14:textId="77777777" w:rsidR="00ED5A3C" w:rsidRPr="00BC22EA" w:rsidRDefault="005B360C" w:rsidP="00B97E10">
          <w:pPr>
            <w:tabs>
              <w:tab w:val="left" w:pos="1080"/>
            </w:tabs>
            <w:spacing w:before="240"/>
            <w:ind w:left="1080" w:hanging="360"/>
          </w:pPr>
          <w:r w:rsidRPr="00BC22EA">
            <w:t>iii</w:t>
          </w:r>
          <w:r w:rsidR="00F23771" w:rsidRPr="00BC22EA">
            <w:t>.</w:t>
          </w:r>
          <w:r w:rsidRPr="00BC22EA">
            <w:tab/>
          </w:r>
          <w:r w:rsidR="0044269E" w:rsidRPr="00BC22EA">
            <w:t xml:space="preserve">Use the following </w:t>
          </w:r>
          <w:r w:rsidR="00EC6CAF" w:rsidRPr="00BC22EA">
            <w:t xml:space="preserve">DMR </w:t>
          </w:r>
          <w:r w:rsidR="0044269E" w:rsidRPr="00BC22EA">
            <w:t xml:space="preserve">parameter </w:t>
          </w:r>
          <w:r w:rsidR="00EC6CAF" w:rsidRPr="00BC22EA">
            <w:t>codes for retes</w:t>
          </w:r>
          <w:r w:rsidR="00AB77B1" w:rsidRPr="00BC22EA">
            <w:t>ts</w:t>
          </w:r>
          <w:r w:rsidR="00EC6CAF" w:rsidRPr="00BC22EA">
            <w:t xml:space="preserve">: </w:t>
          </w:r>
        </w:p>
        <w:tbl>
          <w:tblPr>
            <w:tblStyle w:val="TableGrid"/>
            <w:tblW w:w="0" w:type="auto"/>
            <w:tblInd w:w="1075" w:type="dxa"/>
            <w:tblLook w:val="04A0" w:firstRow="1" w:lastRow="0" w:firstColumn="1" w:lastColumn="0" w:noHBand="0" w:noVBand="1"/>
            <w:tblDescription w:val="Parameter Codes for each retest."/>
          </w:tblPr>
          <w:tblGrid>
            <w:gridCol w:w="2358"/>
            <w:gridCol w:w="2340"/>
            <w:gridCol w:w="1260"/>
            <w:gridCol w:w="2340"/>
          </w:tblGrid>
          <w:tr w:rsidR="00EA4864" w:rsidRPr="00BC22EA" w14:paraId="347E6656" w14:textId="77777777" w:rsidTr="00400832">
            <w:trPr>
              <w:tblHeader/>
            </w:trPr>
            <w:tc>
              <w:tcPr>
                <w:tcW w:w="2358" w:type="dxa"/>
                <w:vAlign w:val="center"/>
              </w:tcPr>
              <w:p w14:paraId="7E627E82" w14:textId="77777777" w:rsidR="00EA4864" w:rsidRPr="00BC22EA" w:rsidRDefault="00EA4864" w:rsidP="006467A4">
                <w:pPr>
                  <w:tabs>
                    <w:tab w:val="left" w:pos="1080"/>
                  </w:tabs>
                  <w:rPr>
                    <w:b/>
                  </w:rPr>
                </w:pPr>
                <w:r w:rsidRPr="00BC22EA">
                  <w:rPr>
                    <w:b/>
                  </w:rPr>
                  <w:t>Retest Number</w:t>
                </w:r>
              </w:p>
            </w:tc>
            <w:tc>
              <w:tcPr>
                <w:tcW w:w="2340" w:type="dxa"/>
                <w:vAlign w:val="center"/>
              </w:tcPr>
              <w:p w14:paraId="239C3930" w14:textId="77777777" w:rsidR="00EA4864" w:rsidRPr="00BC22EA" w:rsidRDefault="00EA4864" w:rsidP="006467A4">
                <w:pPr>
                  <w:tabs>
                    <w:tab w:val="left" w:pos="1080"/>
                  </w:tabs>
                  <w:rPr>
                    <w:b/>
                  </w:rPr>
                </w:pPr>
                <w:r w:rsidRPr="00BC22EA">
                  <w:rPr>
                    <w:b/>
                  </w:rPr>
                  <w:t>Receiving Water</w:t>
                </w:r>
              </w:p>
            </w:tc>
            <w:tc>
              <w:tcPr>
                <w:tcW w:w="1260" w:type="dxa"/>
                <w:vAlign w:val="center"/>
              </w:tcPr>
              <w:p w14:paraId="3B4AB8EF" w14:textId="77777777" w:rsidR="00EA4864" w:rsidRPr="00BC22EA" w:rsidRDefault="00EA4864" w:rsidP="006467A4">
                <w:pPr>
                  <w:tabs>
                    <w:tab w:val="left" w:pos="1080"/>
                  </w:tabs>
                  <w:rPr>
                    <w:b/>
                  </w:rPr>
                </w:pPr>
                <w:r w:rsidRPr="00BC22EA">
                  <w:rPr>
                    <w:b/>
                  </w:rPr>
                  <w:t>Species</w:t>
                </w:r>
              </w:p>
            </w:tc>
            <w:tc>
              <w:tcPr>
                <w:tcW w:w="2340" w:type="dxa"/>
                <w:vAlign w:val="center"/>
              </w:tcPr>
              <w:p w14:paraId="3CA58224" w14:textId="77777777" w:rsidR="00EA4864" w:rsidRPr="00BC22EA" w:rsidRDefault="00EA4864" w:rsidP="006467A4">
                <w:pPr>
                  <w:tabs>
                    <w:tab w:val="left" w:pos="1080"/>
                  </w:tabs>
                  <w:rPr>
                    <w:b/>
                  </w:rPr>
                </w:pPr>
                <w:r w:rsidRPr="00BC22EA">
                  <w:rPr>
                    <w:b/>
                  </w:rPr>
                  <w:t>Parameter Code</w:t>
                </w:r>
              </w:p>
            </w:tc>
          </w:tr>
          <w:tr w:rsidR="00EA4864" w:rsidRPr="00BC22EA" w14:paraId="7D2E13A7" w14:textId="77777777" w:rsidTr="00400832">
            <w:tc>
              <w:tcPr>
                <w:tcW w:w="2358" w:type="dxa"/>
              </w:tcPr>
              <w:p w14:paraId="7028C11D" w14:textId="77777777" w:rsidR="00EA4864" w:rsidRPr="00BC22EA" w:rsidRDefault="00EA4864" w:rsidP="00220AFA">
                <w:pPr>
                  <w:tabs>
                    <w:tab w:val="left" w:pos="1080"/>
                  </w:tabs>
                </w:pPr>
                <w:r w:rsidRPr="00BC22EA">
                  <w:t>Retest Number 1</w:t>
                </w:r>
              </w:p>
            </w:tc>
            <w:tc>
              <w:tcPr>
                <w:tcW w:w="2340" w:type="dxa"/>
              </w:tcPr>
              <w:p w14:paraId="66856780" w14:textId="77777777" w:rsidR="00EA4864" w:rsidRPr="00BC22EA" w:rsidRDefault="00EA4864" w:rsidP="00220AFA">
                <w:pPr>
                  <w:tabs>
                    <w:tab w:val="left" w:pos="1080"/>
                  </w:tabs>
                </w:pPr>
                <w:r w:rsidRPr="00BC22EA">
                  <w:t>All</w:t>
                </w:r>
              </w:p>
            </w:tc>
            <w:tc>
              <w:tcPr>
                <w:tcW w:w="1260" w:type="dxa"/>
              </w:tcPr>
              <w:p w14:paraId="26E07DFB" w14:textId="77777777" w:rsidR="00EA4864" w:rsidRPr="00BC22EA" w:rsidRDefault="00EA4864" w:rsidP="00220AFA">
                <w:pPr>
                  <w:tabs>
                    <w:tab w:val="left" w:pos="1080"/>
                  </w:tabs>
                </w:pPr>
                <w:r w:rsidRPr="00BC22EA">
                  <w:t>All</w:t>
                </w:r>
              </w:p>
            </w:tc>
            <w:tc>
              <w:tcPr>
                <w:tcW w:w="2340" w:type="dxa"/>
              </w:tcPr>
              <w:p w14:paraId="0D4DCFEB" w14:textId="77777777" w:rsidR="00EA4864" w:rsidRPr="00BC22EA" w:rsidRDefault="00EA4864" w:rsidP="00220AFA">
                <w:pPr>
                  <w:tabs>
                    <w:tab w:val="left" w:pos="1080"/>
                  </w:tabs>
                </w:pPr>
                <w:r w:rsidRPr="00BC22EA">
                  <w:t>22415</w:t>
                </w:r>
              </w:p>
            </w:tc>
          </w:tr>
          <w:tr w:rsidR="00EA4864" w:rsidRPr="00BC22EA" w14:paraId="000271EC" w14:textId="77777777" w:rsidTr="00400832">
            <w:tc>
              <w:tcPr>
                <w:tcW w:w="2358" w:type="dxa"/>
              </w:tcPr>
              <w:p w14:paraId="6BB4F117" w14:textId="77777777" w:rsidR="00EA4864" w:rsidRPr="00BC22EA" w:rsidRDefault="00EA4864" w:rsidP="00220AFA">
                <w:pPr>
                  <w:tabs>
                    <w:tab w:val="left" w:pos="1080"/>
                  </w:tabs>
                </w:pPr>
                <w:r w:rsidRPr="00BC22EA">
                  <w:t>Retest Number 2</w:t>
                </w:r>
              </w:p>
            </w:tc>
            <w:tc>
              <w:tcPr>
                <w:tcW w:w="2340" w:type="dxa"/>
              </w:tcPr>
              <w:p w14:paraId="1791F046" w14:textId="77777777" w:rsidR="00EA4864" w:rsidRPr="00BC22EA" w:rsidRDefault="00EA4864" w:rsidP="00220AFA">
                <w:pPr>
                  <w:tabs>
                    <w:tab w:val="left" w:pos="1080"/>
                  </w:tabs>
                </w:pPr>
                <w:r w:rsidRPr="00BC22EA">
                  <w:t>All</w:t>
                </w:r>
              </w:p>
            </w:tc>
            <w:tc>
              <w:tcPr>
                <w:tcW w:w="1260" w:type="dxa"/>
              </w:tcPr>
              <w:p w14:paraId="54BB7D14" w14:textId="77777777" w:rsidR="00EA4864" w:rsidRPr="00BC22EA" w:rsidRDefault="00EA4864" w:rsidP="00220AFA">
                <w:pPr>
                  <w:tabs>
                    <w:tab w:val="left" w:pos="1080"/>
                  </w:tabs>
                </w:pPr>
                <w:r w:rsidRPr="00BC22EA">
                  <w:t>All</w:t>
                </w:r>
              </w:p>
            </w:tc>
            <w:tc>
              <w:tcPr>
                <w:tcW w:w="2340" w:type="dxa"/>
              </w:tcPr>
              <w:p w14:paraId="37BA4554" w14:textId="77777777" w:rsidR="00EA4864" w:rsidRPr="00BC22EA" w:rsidRDefault="00EA4864" w:rsidP="00220AFA">
                <w:pPr>
                  <w:tabs>
                    <w:tab w:val="left" w:pos="1080"/>
                  </w:tabs>
                </w:pPr>
                <w:r w:rsidRPr="00BC22EA">
                  <w:t>22416</w:t>
                </w:r>
              </w:p>
            </w:tc>
          </w:tr>
        </w:tbl>
        <w:p w14:paraId="78D92C5E" w14:textId="77777777" w:rsidR="00E3758D" w:rsidRPr="00782E68" w:rsidRDefault="00E3758D" w:rsidP="00400832">
          <w:pPr>
            <w:pStyle w:val="ListNumber"/>
            <w:spacing w:before="240"/>
          </w:pPr>
          <w:bookmarkStart w:id="20" w:name="_Toc419104031"/>
          <w:r w:rsidRPr="00782E68">
            <w:t>Inactive Status</w:t>
          </w:r>
        </w:p>
        <w:p w14:paraId="3E8816D9" w14:textId="20F2DAE9" w:rsidR="00E3758D" w:rsidRPr="00782E68" w:rsidRDefault="00E3758D" w:rsidP="00400832">
          <w:pPr>
            <w:pStyle w:val="ListNumber2"/>
            <w:numPr>
              <w:ilvl w:val="0"/>
              <w:numId w:val="73"/>
            </w:numPr>
          </w:pPr>
          <w:r w:rsidRPr="00782E68">
            <w:t>A permittee with an inactive industrial facility may seek inactive status. To qualify for inactive status, all industrial activities at the facility must be suspended with no industrial materials or activities exposed to stormwater</w:t>
          </w:r>
          <w:r w:rsidR="00782E68" w:rsidRPr="00782E68">
            <w:t xml:space="preserve"> and no wastewater being generated</w:t>
          </w:r>
          <w:r w:rsidRPr="00782E68">
            <w:t xml:space="preserve">. </w:t>
          </w:r>
          <w:r w:rsidR="006C2F15">
            <w:t>To seek inactive status, t</w:t>
          </w:r>
          <w:r w:rsidRPr="00782E68">
            <w:t xml:space="preserve">he permittee must </w:t>
          </w:r>
          <w:r w:rsidR="006C2F15">
            <w:t xml:space="preserve">submit a NOC </w:t>
          </w:r>
          <w:r w:rsidR="006C2F15" w:rsidRPr="006C2F15">
            <w:t>in accordance with Part II.C.6 and</w:t>
          </w:r>
          <w:r w:rsidR="006C2F15">
            <w:t xml:space="preserve"> certify</w:t>
          </w:r>
          <w:r w:rsidR="006C2F15" w:rsidRPr="00782E68">
            <w:t xml:space="preserve"> </w:t>
          </w:r>
          <w:r w:rsidRPr="00782E68">
            <w:t xml:space="preserve">that all industrial activities at the facility are suspended. </w:t>
          </w:r>
          <w:r w:rsidR="006C2F15">
            <w:t>Upon receipt of the NOC by the executive director</w:t>
          </w:r>
          <w:r w:rsidRPr="00782E68">
            <w:t xml:space="preserve">, permit requirements to sample, inspect, examine, or otherwise monitor stormwater discharges are waived during the period that a facility is in inactive status. </w:t>
          </w:r>
        </w:p>
        <w:p w14:paraId="05E15E79" w14:textId="1FC4DE22" w:rsidR="00E3758D" w:rsidRPr="00782E68" w:rsidRDefault="00E3758D" w:rsidP="00400832">
          <w:pPr>
            <w:pStyle w:val="ListNumber2"/>
          </w:pPr>
          <w:r w:rsidRPr="00782E68">
            <w:lastRenderedPageBreak/>
            <w:t xml:space="preserve">A permittee with a facility in inactive status shall </w:t>
          </w:r>
          <w:r w:rsidR="006C2F15">
            <w:t>submit a NOC</w:t>
          </w:r>
          <w:r w:rsidR="00DE1EB4">
            <w:t xml:space="preserve"> in accordance with Part II.C.6</w:t>
          </w:r>
          <w:r w:rsidRPr="00782E68">
            <w:t xml:space="preserve"> at least 30 days before commencing industrial activities and transferring to active status.</w:t>
          </w:r>
        </w:p>
        <w:p w14:paraId="31F2010E" w14:textId="77777777" w:rsidR="000018C8" w:rsidRPr="00BC22EA" w:rsidRDefault="000018C8" w:rsidP="00B06F00">
          <w:pPr>
            <w:pStyle w:val="Heading2"/>
          </w:pPr>
          <w:bookmarkStart w:id="21" w:name="_Toc196219277"/>
          <w:r w:rsidRPr="00BC22EA">
            <w:t>Section B.</w:t>
          </w:r>
          <w:r w:rsidR="007C4A0B" w:rsidRPr="00BC22EA">
            <w:t xml:space="preserve"> </w:t>
          </w:r>
          <w:r w:rsidR="006E6F08" w:rsidRPr="00BC22EA">
            <w:t>Stormwater</w:t>
          </w:r>
          <w:r w:rsidRPr="00BC22EA">
            <w:t xml:space="preserve"> </w:t>
          </w:r>
          <w:bookmarkEnd w:id="20"/>
          <w:r w:rsidR="00777703" w:rsidRPr="00BC22EA">
            <w:t>Discharges</w:t>
          </w:r>
          <w:r w:rsidR="0025203E" w:rsidRPr="00BC22EA">
            <w:t xml:space="preserve"> Associated with Industrial Activity</w:t>
          </w:r>
          <w:bookmarkEnd w:id="21"/>
        </w:p>
        <w:p w14:paraId="2C1F394C" w14:textId="77777777" w:rsidR="006B7C3A" w:rsidRPr="00BC22EA" w:rsidRDefault="00390BD9" w:rsidP="00400832">
          <w:pPr>
            <w:pStyle w:val="BodyText"/>
          </w:pPr>
          <w:r w:rsidRPr="00BC22EA">
            <w:t>This section applies to d</w:t>
          </w:r>
          <w:r w:rsidR="006B7C3A" w:rsidRPr="00BC22EA">
            <w:t xml:space="preserve">ischarges of </w:t>
          </w:r>
          <w:r w:rsidR="006E6F08" w:rsidRPr="00BC22EA">
            <w:t>stormwater</w:t>
          </w:r>
          <w:r w:rsidR="006B7C3A" w:rsidRPr="00BC22EA">
            <w:t xml:space="preserve"> associated with industrial activities </w:t>
          </w:r>
          <w:r w:rsidRPr="00BC22EA">
            <w:t xml:space="preserve">that are </w:t>
          </w:r>
          <w:r w:rsidR="006B7C3A" w:rsidRPr="00BC22EA">
            <w:t>not commingled with facility wastewater</w:t>
          </w:r>
          <w:r w:rsidRPr="00BC22EA">
            <w:t>.</w:t>
          </w:r>
        </w:p>
        <w:p w14:paraId="44E5EFD3" w14:textId="77777777" w:rsidR="00ED5A3C" w:rsidRPr="00BC22EA" w:rsidRDefault="006B7C3A" w:rsidP="00400832">
          <w:pPr>
            <w:pStyle w:val="ListNumber"/>
            <w:numPr>
              <w:ilvl w:val="0"/>
              <w:numId w:val="74"/>
            </w:numPr>
          </w:pPr>
          <w:bookmarkStart w:id="22" w:name="_Hlk45005633"/>
          <w:r w:rsidRPr="00BC22EA">
            <w:t>Benchmark monitoring</w:t>
          </w:r>
          <w:r w:rsidR="00AB77B1" w:rsidRPr="00BC22EA">
            <w:t xml:space="preserve"> values</w:t>
          </w:r>
          <w:r w:rsidR="00840B23" w:rsidRPr="00BC22EA">
            <w:t>.</w:t>
          </w:r>
        </w:p>
        <w:tbl>
          <w:tblPr>
            <w:tblStyle w:val="TableGrid"/>
            <w:tblW w:w="0" w:type="auto"/>
            <w:tblInd w:w="355" w:type="dxa"/>
            <w:tblLook w:val="0020" w:firstRow="1" w:lastRow="0" w:firstColumn="0" w:lastColumn="0" w:noHBand="0" w:noVBand="0"/>
            <w:tblDescription w:val="Benchmark Monitoring Parameters and Values for Stormwater Discharges"/>
          </w:tblPr>
          <w:tblGrid>
            <w:gridCol w:w="3031"/>
            <w:gridCol w:w="2214"/>
            <w:gridCol w:w="1965"/>
            <w:gridCol w:w="1965"/>
          </w:tblGrid>
          <w:tr w:rsidR="00CA49F9" w:rsidRPr="00BC22EA" w14:paraId="196ED8C1" w14:textId="3975AC0C" w:rsidTr="00953E09">
            <w:trPr>
              <w:tblHeader/>
            </w:trPr>
            <w:tc>
              <w:tcPr>
                <w:tcW w:w="3031" w:type="dxa"/>
                <w:vAlign w:val="center"/>
              </w:tcPr>
              <w:p w14:paraId="442E5BFA" w14:textId="77777777" w:rsidR="00CA49F9" w:rsidRPr="00BC22EA" w:rsidRDefault="00CA49F9" w:rsidP="00CA49F9">
                <w:pPr>
                  <w:rPr>
                    <w:rStyle w:val="Strong"/>
                  </w:rPr>
                </w:pPr>
                <w:r w:rsidRPr="00BC22EA">
                  <w:rPr>
                    <w:rStyle w:val="Strong"/>
                  </w:rPr>
                  <w:t>Benchmark Parameter</w:t>
                </w:r>
              </w:p>
            </w:tc>
            <w:tc>
              <w:tcPr>
                <w:tcW w:w="2214" w:type="dxa"/>
                <w:vAlign w:val="center"/>
              </w:tcPr>
              <w:p w14:paraId="418B55FE" w14:textId="77777777" w:rsidR="00CA49F9" w:rsidRPr="00BC22EA" w:rsidRDefault="00CA49F9" w:rsidP="00CA49F9">
                <w:pPr>
                  <w:jc w:val="center"/>
                  <w:rPr>
                    <w:rStyle w:val="Strong"/>
                  </w:rPr>
                </w:pPr>
                <w:r w:rsidRPr="00BC22EA">
                  <w:rPr>
                    <w:rStyle w:val="Strong"/>
                  </w:rPr>
                  <w:t>Benchmark Value</w:t>
                </w:r>
              </w:p>
            </w:tc>
            <w:tc>
              <w:tcPr>
                <w:tcW w:w="1965" w:type="dxa"/>
                <w:vAlign w:val="center"/>
              </w:tcPr>
              <w:p w14:paraId="476DF9DF" w14:textId="1B5A5428" w:rsidR="00CA49F9" w:rsidRPr="00BC22EA" w:rsidRDefault="00CA49F9" w:rsidP="00CA49F9">
                <w:pPr>
                  <w:jc w:val="center"/>
                  <w:rPr>
                    <w:rStyle w:val="Strong"/>
                  </w:rPr>
                </w:pPr>
                <w:r w:rsidRPr="00462380">
                  <w:rPr>
                    <w:rStyle w:val="Strong"/>
                  </w:rPr>
                  <w:t>Sample Type</w:t>
                </w:r>
              </w:p>
            </w:tc>
            <w:tc>
              <w:tcPr>
                <w:tcW w:w="1965" w:type="dxa"/>
                <w:vAlign w:val="center"/>
              </w:tcPr>
              <w:p w14:paraId="72560832" w14:textId="735B521A" w:rsidR="00CA49F9" w:rsidRPr="00BC22EA" w:rsidRDefault="00CA49F9" w:rsidP="00CA49F9">
                <w:pPr>
                  <w:jc w:val="center"/>
                  <w:rPr>
                    <w:rStyle w:val="Strong"/>
                  </w:rPr>
                </w:pPr>
                <w:r w:rsidRPr="00462380">
                  <w:rPr>
                    <w:rStyle w:val="Strong"/>
                  </w:rPr>
                  <w:t>Monitoring Frequency</w:t>
                </w:r>
              </w:p>
            </w:tc>
          </w:tr>
          <w:tr w:rsidR="00CA49F9" w:rsidRPr="00BC22EA" w14:paraId="012DE013" w14:textId="782EE81B" w:rsidTr="00953E09">
            <w:tc>
              <w:tcPr>
                <w:tcW w:w="3031" w:type="dxa"/>
              </w:tcPr>
              <w:p w14:paraId="4C7E11AB" w14:textId="77777777" w:rsidR="00CA49F9" w:rsidRPr="00BC22EA" w:rsidRDefault="00CA49F9" w:rsidP="00CA49F9">
                <w:r w:rsidRPr="00BC22EA">
                  <w:t>Oil and Grease</w:t>
                </w:r>
              </w:p>
            </w:tc>
            <w:tc>
              <w:tcPr>
                <w:tcW w:w="2214" w:type="dxa"/>
              </w:tcPr>
              <w:p w14:paraId="1B78B7BF" w14:textId="77777777" w:rsidR="00CA49F9" w:rsidRPr="00BC22EA" w:rsidRDefault="00CA49F9" w:rsidP="00CA49F9">
                <w:pPr>
                  <w:jc w:val="center"/>
                </w:pPr>
                <w:r w:rsidRPr="00BC22EA">
                  <w:t>15 mg/L</w:t>
                </w:r>
              </w:p>
            </w:tc>
            <w:tc>
              <w:tcPr>
                <w:tcW w:w="1965" w:type="dxa"/>
              </w:tcPr>
              <w:p w14:paraId="12AD6DCC" w14:textId="1169ABE8" w:rsidR="00CA49F9" w:rsidRPr="00BC22EA" w:rsidRDefault="00CA49F9" w:rsidP="00CA49F9">
                <w:pPr>
                  <w:jc w:val="center"/>
                </w:pPr>
                <w:r>
                  <w:t>Grab</w:t>
                </w:r>
              </w:p>
            </w:tc>
            <w:tc>
              <w:tcPr>
                <w:tcW w:w="1965" w:type="dxa"/>
              </w:tcPr>
              <w:p w14:paraId="3A8B3C2F" w14:textId="1DF48B85" w:rsidR="00CA49F9" w:rsidRPr="00BC22EA" w:rsidRDefault="00CA49F9" w:rsidP="00CA49F9">
                <w:pPr>
                  <w:jc w:val="center"/>
                </w:pPr>
                <w:r>
                  <w:t>1/quarter</w:t>
                </w:r>
              </w:p>
            </w:tc>
          </w:tr>
          <w:tr w:rsidR="00CA49F9" w:rsidRPr="00BC22EA" w14:paraId="4F7E15A7" w14:textId="0C7C0113" w:rsidTr="00953E09">
            <w:tc>
              <w:tcPr>
                <w:tcW w:w="3031" w:type="dxa"/>
              </w:tcPr>
              <w:p w14:paraId="57F9E988" w14:textId="77777777" w:rsidR="00CA49F9" w:rsidRPr="00BC22EA" w:rsidRDefault="00CA49F9" w:rsidP="00CA49F9">
                <w:r w:rsidRPr="00BC22EA">
                  <w:t>Total Suspended Solids</w:t>
                </w:r>
              </w:p>
            </w:tc>
            <w:tc>
              <w:tcPr>
                <w:tcW w:w="2214" w:type="dxa"/>
              </w:tcPr>
              <w:p w14:paraId="2980DBD4" w14:textId="77777777" w:rsidR="00CA49F9" w:rsidRPr="00BC22EA" w:rsidRDefault="00CA49F9" w:rsidP="00CA49F9">
                <w:pPr>
                  <w:jc w:val="center"/>
                </w:pPr>
                <w:r w:rsidRPr="00BC22EA">
                  <w:t>50 mg/L</w:t>
                </w:r>
              </w:p>
            </w:tc>
            <w:tc>
              <w:tcPr>
                <w:tcW w:w="1965" w:type="dxa"/>
              </w:tcPr>
              <w:p w14:paraId="24018A5C" w14:textId="4999358C" w:rsidR="00CA49F9" w:rsidRPr="00BC22EA" w:rsidRDefault="00CA49F9" w:rsidP="00CA49F9">
                <w:pPr>
                  <w:jc w:val="center"/>
                </w:pPr>
                <w:r>
                  <w:t>Grab</w:t>
                </w:r>
              </w:p>
            </w:tc>
            <w:tc>
              <w:tcPr>
                <w:tcW w:w="1965" w:type="dxa"/>
              </w:tcPr>
              <w:p w14:paraId="0C41E316" w14:textId="15A81999" w:rsidR="00CA49F9" w:rsidRPr="00BC22EA" w:rsidRDefault="00CA49F9" w:rsidP="00CA49F9">
                <w:pPr>
                  <w:jc w:val="center"/>
                </w:pPr>
                <w:r>
                  <w:t>1/quarter</w:t>
                </w:r>
              </w:p>
            </w:tc>
          </w:tr>
          <w:tr w:rsidR="00CA49F9" w:rsidRPr="00BC22EA" w14:paraId="5DAF0762" w14:textId="63B34176" w:rsidTr="00953E09">
            <w:tc>
              <w:tcPr>
                <w:tcW w:w="3031" w:type="dxa"/>
              </w:tcPr>
              <w:p w14:paraId="33118601" w14:textId="77777777" w:rsidR="00CA49F9" w:rsidRPr="00BC22EA" w:rsidRDefault="00CA49F9" w:rsidP="00CA49F9">
                <w:r w:rsidRPr="00BC22EA">
                  <w:t>pH</w:t>
                </w:r>
              </w:p>
            </w:tc>
            <w:tc>
              <w:tcPr>
                <w:tcW w:w="2214" w:type="dxa"/>
              </w:tcPr>
              <w:p w14:paraId="424EA224" w14:textId="77777777" w:rsidR="00CA49F9" w:rsidRPr="00BC22EA" w:rsidRDefault="00CA49F9" w:rsidP="00CA49F9">
                <w:pPr>
                  <w:jc w:val="center"/>
                </w:pPr>
                <w:r w:rsidRPr="00BC22EA">
                  <w:t>6.0 -9.0 SU</w:t>
                </w:r>
              </w:p>
            </w:tc>
            <w:tc>
              <w:tcPr>
                <w:tcW w:w="1965" w:type="dxa"/>
              </w:tcPr>
              <w:p w14:paraId="1BB0EEA1" w14:textId="6CEABEF9" w:rsidR="00CA49F9" w:rsidRPr="00BC22EA" w:rsidRDefault="00CA49F9" w:rsidP="00CA49F9">
                <w:pPr>
                  <w:jc w:val="center"/>
                </w:pPr>
                <w:r>
                  <w:t>Grab</w:t>
                </w:r>
              </w:p>
            </w:tc>
            <w:tc>
              <w:tcPr>
                <w:tcW w:w="1965" w:type="dxa"/>
              </w:tcPr>
              <w:p w14:paraId="6EE332E4" w14:textId="04AD3FBC" w:rsidR="00CA49F9" w:rsidRPr="00BC22EA" w:rsidRDefault="00CA49F9" w:rsidP="00CA49F9">
                <w:pPr>
                  <w:jc w:val="center"/>
                </w:pPr>
                <w:r>
                  <w:t>1/quarter</w:t>
                </w:r>
              </w:p>
            </w:tc>
          </w:tr>
          <w:tr w:rsidR="00CA49F9" w:rsidRPr="00BC22EA" w14:paraId="000000BF" w14:textId="4ABE4390" w:rsidTr="00953E09">
            <w:tc>
              <w:tcPr>
                <w:tcW w:w="3031" w:type="dxa"/>
              </w:tcPr>
              <w:p w14:paraId="1EBB1F4F" w14:textId="77777777" w:rsidR="00CA49F9" w:rsidRPr="00BC22EA" w:rsidRDefault="00CA49F9" w:rsidP="00CA49F9">
                <w:r w:rsidRPr="00BC22EA">
                  <w:t>Total Iron</w:t>
                </w:r>
              </w:p>
            </w:tc>
            <w:tc>
              <w:tcPr>
                <w:tcW w:w="2214" w:type="dxa"/>
              </w:tcPr>
              <w:p w14:paraId="0BACD1F9" w14:textId="77777777" w:rsidR="00CA49F9" w:rsidRPr="00BC22EA" w:rsidRDefault="00CA49F9" w:rsidP="00CA49F9">
                <w:pPr>
                  <w:jc w:val="center"/>
                </w:pPr>
                <w:r w:rsidRPr="00BC22EA">
                  <w:t>1.3 mg/L</w:t>
                </w:r>
              </w:p>
            </w:tc>
            <w:tc>
              <w:tcPr>
                <w:tcW w:w="1965" w:type="dxa"/>
              </w:tcPr>
              <w:p w14:paraId="6E7ACBD6" w14:textId="0572CAB8" w:rsidR="00CA49F9" w:rsidRPr="00BC22EA" w:rsidRDefault="00CA49F9" w:rsidP="00CA49F9">
                <w:pPr>
                  <w:jc w:val="center"/>
                </w:pPr>
                <w:r>
                  <w:t>Grab</w:t>
                </w:r>
              </w:p>
            </w:tc>
            <w:tc>
              <w:tcPr>
                <w:tcW w:w="1965" w:type="dxa"/>
              </w:tcPr>
              <w:p w14:paraId="0032CF32" w14:textId="1FD7A9E5" w:rsidR="00CA49F9" w:rsidRPr="00BC22EA" w:rsidRDefault="00CA49F9" w:rsidP="00CA49F9">
                <w:pPr>
                  <w:jc w:val="center"/>
                </w:pPr>
                <w:r>
                  <w:t>1/quarter</w:t>
                </w:r>
              </w:p>
            </w:tc>
          </w:tr>
        </w:tbl>
        <w:bookmarkEnd w:id="22"/>
        <w:p w14:paraId="1B295736" w14:textId="77777777" w:rsidR="00390BD9" w:rsidRPr="00BC22EA" w:rsidRDefault="00390BD9" w:rsidP="00400832">
          <w:pPr>
            <w:pStyle w:val="ListNumber2"/>
            <w:numPr>
              <w:ilvl w:val="0"/>
              <w:numId w:val="75"/>
            </w:numPr>
            <w:spacing w:before="120"/>
          </w:pPr>
          <w:r w:rsidRPr="00BC22EA">
            <w:t>Samples must be collected at a clearly defined accessible point following the final treatment unit and prior to discharge into receiving waters</w:t>
          </w:r>
          <w:r w:rsidR="00EC3993" w:rsidRPr="00BC22EA">
            <w:t xml:space="preserve"> or leaving the property</w:t>
          </w:r>
          <w:r w:rsidRPr="00BC22EA">
            <w:t>.</w:t>
          </w:r>
        </w:p>
        <w:p w14:paraId="1C037276" w14:textId="77777777" w:rsidR="00231853" w:rsidRDefault="000A650B" w:rsidP="00400832">
          <w:pPr>
            <w:pStyle w:val="ListNumber2"/>
          </w:pPr>
          <w:r w:rsidRPr="00BC22EA">
            <w:t xml:space="preserve">A minimum of one grab sample </w:t>
          </w:r>
          <w:r w:rsidR="00B7385D" w:rsidRPr="00BC22EA">
            <w:t>shall</w:t>
          </w:r>
          <w:r w:rsidRPr="00BC22EA">
            <w:t xml:space="preserve"> be </w:t>
          </w:r>
          <w:r w:rsidR="00C04A84" w:rsidRPr="00BC22EA">
            <w:t>collected</w:t>
          </w:r>
          <w:r w:rsidRPr="00BC22EA">
            <w:t xml:space="preserve"> within the first 30 minutes of discharge. If it is not practicable to </w:t>
          </w:r>
          <w:r w:rsidR="00C04A84" w:rsidRPr="00BC22EA">
            <w:t>collect</w:t>
          </w:r>
          <w:r w:rsidRPr="00BC22EA">
            <w:t xml:space="preserve"> the sample, or to complete the sampling, within the first 30 minutes, sampling must be completed within the first hour of discharge. If sampling is not completed within the first 30 minutes of discharge, the reason must be documented and attached to all required reports and records of the sampling activity</w:t>
          </w:r>
          <w:r w:rsidR="001A2479" w:rsidRPr="00BC22EA">
            <w:t>.</w:t>
          </w:r>
          <w:r w:rsidR="007C4A0B" w:rsidRPr="00BC22EA">
            <w:t xml:space="preserve"> </w:t>
          </w:r>
          <w:r w:rsidR="00A86BC3" w:rsidRPr="00BC22EA">
            <w:t>Sample results shall be kept on site and available for review by TCEQ staff.</w:t>
          </w:r>
        </w:p>
        <w:p w14:paraId="4B4AD0D7" w14:textId="77777777" w:rsidR="00B65278" w:rsidRPr="00BC22EA" w:rsidRDefault="000018C8" w:rsidP="00400832">
          <w:pPr>
            <w:pStyle w:val="ListNumber2"/>
          </w:pPr>
          <w:r w:rsidRPr="00BC22EA">
            <w:t xml:space="preserve">Sampling is required on a quarterly basis and </w:t>
          </w:r>
          <w:r w:rsidR="00B7385D" w:rsidRPr="00BC22EA">
            <w:t>shall</w:t>
          </w:r>
          <w:r w:rsidRPr="00BC22EA">
            <w:t xml:space="preserve"> be conducted during the following periods: </w:t>
          </w:r>
        </w:p>
        <w:p w14:paraId="103A95E2" w14:textId="77777777" w:rsidR="00ED5A3C" w:rsidRPr="00BC22EA" w:rsidRDefault="000018C8" w:rsidP="00400832">
          <w:pPr>
            <w:pStyle w:val="ListContinue2"/>
            <w:spacing w:after="0"/>
            <w:ind w:left="1080"/>
          </w:pPr>
          <w:r w:rsidRPr="00BC22EA">
            <w:t>First quarter - January</w:t>
          </w:r>
          <w:r w:rsidR="005E2274" w:rsidRPr="00BC22EA">
            <w:t xml:space="preserve"> 1</w:t>
          </w:r>
          <w:r w:rsidRPr="00BC22EA">
            <w:t xml:space="preserve"> through March</w:t>
          </w:r>
          <w:r w:rsidR="005E2274" w:rsidRPr="00BC22EA">
            <w:t xml:space="preserve"> 31</w:t>
          </w:r>
        </w:p>
        <w:p w14:paraId="3294C769" w14:textId="77777777" w:rsidR="00ED5A3C" w:rsidRPr="00BC22EA" w:rsidRDefault="005E2274" w:rsidP="00400832">
          <w:pPr>
            <w:pStyle w:val="ListContinue2"/>
            <w:spacing w:after="0"/>
            <w:ind w:left="1080"/>
          </w:pPr>
          <w:r w:rsidRPr="00BC22EA">
            <w:t>S</w:t>
          </w:r>
          <w:r w:rsidR="000018C8" w:rsidRPr="00BC22EA">
            <w:t>econd quarter - April</w:t>
          </w:r>
          <w:r w:rsidRPr="00BC22EA">
            <w:t xml:space="preserve"> 1</w:t>
          </w:r>
          <w:r w:rsidR="000018C8" w:rsidRPr="00BC22EA">
            <w:t xml:space="preserve"> through June</w:t>
          </w:r>
          <w:r w:rsidRPr="00BC22EA">
            <w:t xml:space="preserve"> 30</w:t>
          </w:r>
        </w:p>
        <w:p w14:paraId="10B2C57D" w14:textId="77777777" w:rsidR="00ED5A3C" w:rsidRPr="00BC22EA" w:rsidRDefault="005E2274" w:rsidP="00400832">
          <w:pPr>
            <w:pStyle w:val="ListContinue2"/>
            <w:spacing w:after="0"/>
            <w:ind w:left="1080"/>
          </w:pPr>
          <w:r w:rsidRPr="00BC22EA">
            <w:t>T</w:t>
          </w:r>
          <w:r w:rsidR="000018C8" w:rsidRPr="00BC22EA">
            <w:t>hird quarter - July</w:t>
          </w:r>
          <w:r w:rsidRPr="00BC22EA">
            <w:t xml:space="preserve"> 1</w:t>
          </w:r>
          <w:r w:rsidR="000018C8" w:rsidRPr="00BC22EA">
            <w:t xml:space="preserve"> through September</w:t>
          </w:r>
          <w:r w:rsidRPr="00BC22EA">
            <w:t xml:space="preserve"> 30</w:t>
          </w:r>
        </w:p>
        <w:p w14:paraId="354F04AF" w14:textId="77777777" w:rsidR="00ED5A3C" w:rsidRPr="00BC22EA" w:rsidRDefault="005E2274" w:rsidP="00400832">
          <w:pPr>
            <w:pStyle w:val="ListContinue2"/>
            <w:ind w:left="1080"/>
          </w:pPr>
          <w:r w:rsidRPr="00BC22EA">
            <w:t>F</w:t>
          </w:r>
          <w:r w:rsidR="000018C8" w:rsidRPr="00BC22EA">
            <w:t>ourth quarter - October</w:t>
          </w:r>
          <w:r w:rsidRPr="00BC22EA">
            <w:t xml:space="preserve"> 1</w:t>
          </w:r>
          <w:r w:rsidR="000018C8" w:rsidRPr="00BC22EA">
            <w:t xml:space="preserve"> through December</w:t>
          </w:r>
          <w:r w:rsidRPr="00BC22EA">
            <w:t xml:space="preserve"> 31</w:t>
          </w:r>
        </w:p>
        <w:p w14:paraId="337370DC" w14:textId="21B9363F" w:rsidR="00ED5A3C" w:rsidRPr="00BC22EA" w:rsidRDefault="005E2274" w:rsidP="00400832">
          <w:pPr>
            <w:pStyle w:val="ListContinue2"/>
          </w:pPr>
          <w:r w:rsidRPr="00BC22EA">
            <w:t>Permittees</w:t>
          </w:r>
          <w:r w:rsidR="000018C8" w:rsidRPr="00BC22EA">
            <w:t xml:space="preserve"> shall begin sampling in the first full quarter following submission of the NOI. If a facility maintains an inactive status for an entire quarter, quarterly sampling may be waived. </w:t>
          </w:r>
          <w:r w:rsidR="00D93661" w:rsidRPr="0009072D">
            <w:t>See Part</w:t>
          </w:r>
          <w:r w:rsidR="00A166CD" w:rsidRPr="0009072D">
            <w:t xml:space="preserve"> II.C.6 and</w:t>
          </w:r>
          <w:r w:rsidR="00D93661" w:rsidRPr="0009072D">
            <w:t xml:space="preserve"> III.B.6 for requirements to change </w:t>
          </w:r>
          <w:r w:rsidR="00E4207F" w:rsidRPr="0009072D">
            <w:t xml:space="preserve">the </w:t>
          </w:r>
          <w:r w:rsidR="00D93661" w:rsidRPr="0009072D">
            <w:t>facility to inactive status.</w:t>
          </w:r>
          <w:r w:rsidR="00D93661" w:rsidRPr="00BC22EA">
            <w:t xml:space="preserve"> </w:t>
          </w:r>
        </w:p>
        <w:p w14:paraId="6EBD861B" w14:textId="77777777" w:rsidR="00653FE6" w:rsidRPr="00BC22EA" w:rsidRDefault="00653FE6" w:rsidP="00400832">
          <w:pPr>
            <w:pStyle w:val="ListNumber2"/>
          </w:pPr>
          <w:r w:rsidRPr="00BC22EA">
            <w:t xml:space="preserve">The permittee shall compare the results of sample analyses to the benchmark values above and shall include this comparison in the overall assessment </w:t>
          </w:r>
          <w:r w:rsidR="007C0427" w:rsidRPr="00BC22EA">
            <w:t xml:space="preserve">of the effectiveness </w:t>
          </w:r>
          <w:r w:rsidRPr="00BC22EA">
            <w:t xml:space="preserve">of the </w:t>
          </w:r>
          <w:r w:rsidR="00D93661" w:rsidRPr="00BC22EA">
            <w:t>Stormwater Pollution Prevention Plan (</w:t>
          </w:r>
          <w:r w:rsidRPr="00BC22EA">
            <w:t>SWP3</w:t>
          </w:r>
          <w:r w:rsidR="00D93661" w:rsidRPr="00BC22EA">
            <w:t>) required in Part III.B.7</w:t>
          </w:r>
          <w:r w:rsidR="007C0427" w:rsidRPr="00BC22EA">
            <w:t xml:space="preserve">. </w:t>
          </w:r>
          <w:r w:rsidRPr="00BC22EA">
            <w:t xml:space="preserve">Analytical results that exceed a benchmark value are not a violation of this permit, as these values are not numeric effluent limitations. Results of analyses are indicators that the SWP3 </w:t>
          </w:r>
          <w:r w:rsidR="00EC3993" w:rsidRPr="00BC22EA">
            <w:t xml:space="preserve">must </w:t>
          </w:r>
          <w:r w:rsidRPr="00BC22EA">
            <w:t>be assessed and modifications may be necessary to protect water quality.</w:t>
          </w:r>
        </w:p>
        <w:p w14:paraId="77CEA002" w14:textId="77777777" w:rsidR="00653FE6" w:rsidRPr="00BC22EA" w:rsidRDefault="00653FE6" w:rsidP="00400832">
          <w:pPr>
            <w:pStyle w:val="ListNumber2"/>
          </w:pPr>
          <w:r w:rsidRPr="00BC22EA">
            <w:lastRenderedPageBreak/>
            <w:t xml:space="preserve">The pollution prevention team </w:t>
          </w:r>
          <w:r w:rsidR="00D93661" w:rsidRPr="00BC22EA">
            <w:t>identified in the SWP3</w:t>
          </w:r>
          <w:r w:rsidRPr="00BC22EA">
            <w:t xml:space="preserve"> shall investigate the cause of each </w:t>
          </w:r>
          <w:r w:rsidR="00D93661" w:rsidRPr="00BC22EA">
            <w:t xml:space="preserve">benchmark value </w:t>
          </w:r>
          <w:r w:rsidRPr="00BC22EA">
            <w:t xml:space="preserve">exceedance and </w:t>
          </w:r>
          <w:r w:rsidR="00B7385D" w:rsidRPr="00BC22EA">
            <w:t>shall</w:t>
          </w:r>
          <w:r w:rsidRPr="00BC22EA">
            <w:t xml:space="preserve"> document the results of this investigation in the SWP3 within 90 days following the sampling event. The investigation must identify the following:</w:t>
          </w:r>
        </w:p>
        <w:p w14:paraId="4CDD63A3" w14:textId="77777777" w:rsidR="00653FE6" w:rsidRPr="00BC22EA" w:rsidRDefault="006760DA" w:rsidP="00400832">
          <w:pPr>
            <w:pStyle w:val="ListNumber3"/>
            <w:numPr>
              <w:ilvl w:val="0"/>
              <w:numId w:val="76"/>
            </w:numPr>
          </w:pPr>
          <w:r w:rsidRPr="00BC22EA">
            <w:t>any additional potential sources of pollution, such as spills that might have occurred</w:t>
          </w:r>
          <w:r w:rsidR="00D93661" w:rsidRPr="00BC22EA">
            <w:t>;</w:t>
          </w:r>
        </w:p>
        <w:p w14:paraId="6444483E" w14:textId="77777777" w:rsidR="006760DA" w:rsidRPr="00BC22EA" w:rsidRDefault="006760DA" w:rsidP="00400832">
          <w:pPr>
            <w:pStyle w:val="ListNumber3"/>
          </w:pPr>
          <w:r w:rsidRPr="00BC22EA">
            <w:t>necessary revisions to the good housekeeping measures section of the SWP3;</w:t>
          </w:r>
        </w:p>
        <w:p w14:paraId="2A945F2C" w14:textId="77777777" w:rsidR="00653FE6" w:rsidRPr="00BC22EA" w:rsidRDefault="00653FE6" w:rsidP="00400832">
          <w:pPr>
            <w:pStyle w:val="ListNumber3"/>
          </w:pPr>
          <w:r w:rsidRPr="00BC22EA">
            <w:t>additional BMPs, including a schedule to install or implement the BMPs; and</w:t>
          </w:r>
        </w:p>
        <w:p w14:paraId="1913DD00" w14:textId="77777777" w:rsidR="00653FE6" w:rsidRPr="00BC22EA" w:rsidRDefault="00653FE6" w:rsidP="00400832">
          <w:pPr>
            <w:pStyle w:val="ListNumber3"/>
          </w:pPr>
          <w:r w:rsidRPr="00BC22EA">
            <w:t>identification of other parts of the SWP3 that may require revisions in order to meet the goal of the benchmark values.</w:t>
          </w:r>
        </w:p>
        <w:p w14:paraId="2A11FD74" w14:textId="062C4536" w:rsidR="00BC22EA" w:rsidRDefault="00B7385D" w:rsidP="00400832">
          <w:pPr>
            <w:pStyle w:val="ListNumber2"/>
          </w:pPr>
          <w:r w:rsidRPr="00BC22EA">
            <w:t xml:space="preserve">Background concentrations of specific pollutants may also be considered during the investigation. If the pollution prevention team is able to relate the cause of the exceedance </w:t>
          </w:r>
          <w:r w:rsidR="002970A6">
            <w:t xml:space="preserve">solely </w:t>
          </w:r>
          <w:r w:rsidRPr="00BC22EA">
            <w:t xml:space="preserve">to </w:t>
          </w:r>
          <w:r w:rsidR="002970A6">
            <w:t xml:space="preserve">natural </w:t>
          </w:r>
          <w:r w:rsidRPr="00BC22EA">
            <w:t xml:space="preserve">background </w:t>
          </w:r>
          <w:r w:rsidR="002970A6">
            <w:t xml:space="preserve">pollutant </w:t>
          </w:r>
          <w:r w:rsidRPr="00BC22EA">
            <w:t xml:space="preserve">concentrations, then subsequent </w:t>
          </w:r>
          <w:r w:rsidR="00C04A84" w:rsidRPr="00BC22EA">
            <w:t>exceedances</w:t>
          </w:r>
          <w:r w:rsidRPr="00BC22EA">
            <w:t xml:space="preserve"> of benchmark values for that pollutant may be resolved by referencing earlier findings in the SWP3.</w:t>
          </w:r>
          <w:r w:rsidR="00A64D43" w:rsidRPr="00BC22EA">
            <w:t xml:space="preserve"> </w:t>
          </w:r>
          <w:r w:rsidR="002970A6" w:rsidRPr="002970A6">
            <w:t>Natural background pollutants include substances that are naturally occurring in the soil or groundwater. Natural background pollutants do not include legacy pollutants from earlier activity at the site, or pollutants in run-on from neighboring sources that are not naturally occurring. Natural</w:t>
          </w:r>
          <w:r w:rsidR="002970A6">
            <w:t xml:space="preserve"> b</w:t>
          </w:r>
          <w:r w:rsidRPr="00BC22EA">
            <w:t xml:space="preserve">ackground concentrations may be identified by laboratory analyses of samples of </w:t>
          </w:r>
          <w:r w:rsidR="006E6F08" w:rsidRPr="00BC22EA">
            <w:t>stormwater</w:t>
          </w:r>
          <w:r w:rsidRPr="00BC22EA">
            <w:t xml:space="preserve"> run-on to the permitted facility, laboratory analyses of samples of </w:t>
          </w:r>
          <w:r w:rsidR="006E6F08" w:rsidRPr="00BC22EA">
            <w:t>stormwater</w:t>
          </w:r>
          <w:r w:rsidRPr="00BC22EA">
            <w:t xml:space="preserve"> runoff from adjacent non-industrial areas, or by identifying the pollutant is a naturally occurring material in soils at the site</w:t>
          </w:r>
          <w:r w:rsidR="00951AA7" w:rsidRPr="00BC22EA">
            <w:t>.</w:t>
          </w:r>
        </w:p>
        <w:p w14:paraId="0F350450" w14:textId="77777777" w:rsidR="006B7C3A" w:rsidRPr="00BC22EA" w:rsidRDefault="005205C1" w:rsidP="00400832">
          <w:pPr>
            <w:pStyle w:val="ListNumber"/>
          </w:pPr>
          <w:r w:rsidRPr="00BC22EA">
            <w:t>Hazardous Metals Numeric Effluent Limitations and Monitoring Frequencies</w:t>
          </w:r>
        </w:p>
        <w:tbl>
          <w:tblPr>
            <w:tblStyle w:val="TableGrid"/>
            <w:tblW w:w="8550" w:type="dxa"/>
            <w:tblInd w:w="355" w:type="dxa"/>
            <w:tblLayout w:type="fixed"/>
            <w:tblLook w:val="0020" w:firstRow="1" w:lastRow="0" w:firstColumn="0" w:lastColumn="0" w:noHBand="0" w:noVBand="0"/>
            <w:tblDescription w:val="Numeric Effluent Limitations and Monitoring Frequencies for Hazardous Metals in Stormwater Discharges"/>
          </w:tblPr>
          <w:tblGrid>
            <w:gridCol w:w="2610"/>
            <w:gridCol w:w="1620"/>
            <w:gridCol w:w="1260"/>
            <w:gridCol w:w="1530"/>
            <w:gridCol w:w="1530"/>
          </w:tblGrid>
          <w:tr w:rsidR="00505231" w:rsidRPr="006467A4" w14:paraId="60227126" w14:textId="77777777" w:rsidTr="00400832">
            <w:trPr>
              <w:cantSplit/>
              <w:tblHeader/>
            </w:trPr>
            <w:tc>
              <w:tcPr>
                <w:tcW w:w="2610" w:type="dxa"/>
                <w:vAlign w:val="center"/>
              </w:tcPr>
              <w:p w14:paraId="7FF33B3D" w14:textId="77777777" w:rsidR="00505231" w:rsidRPr="00400832" w:rsidRDefault="00505231" w:rsidP="006467A4">
                <w:pPr>
                  <w:rPr>
                    <w:rStyle w:val="Strong"/>
                  </w:rPr>
                </w:pPr>
                <w:r w:rsidRPr="00400832">
                  <w:rPr>
                    <w:rStyle w:val="Strong"/>
                  </w:rPr>
                  <w:t>Parameter</w:t>
                </w:r>
              </w:p>
            </w:tc>
            <w:tc>
              <w:tcPr>
                <w:tcW w:w="1620" w:type="dxa"/>
                <w:vAlign w:val="center"/>
              </w:tcPr>
              <w:p w14:paraId="31348C9F" w14:textId="77777777" w:rsidR="00505231" w:rsidRPr="00400832" w:rsidRDefault="00505231" w:rsidP="00400832">
                <w:pPr>
                  <w:rPr>
                    <w:rStyle w:val="Strong"/>
                  </w:rPr>
                </w:pPr>
                <w:r w:rsidRPr="00400832">
                  <w:rPr>
                    <w:rStyle w:val="Strong"/>
                  </w:rPr>
                  <w:t>Daily Maximum</w:t>
                </w:r>
              </w:p>
              <w:p w14:paraId="4803742C" w14:textId="77777777" w:rsidR="000453B8" w:rsidRPr="00400832" w:rsidRDefault="000453B8" w:rsidP="00400832">
                <w:pPr>
                  <w:rPr>
                    <w:rStyle w:val="Strong"/>
                  </w:rPr>
                </w:pPr>
                <w:r w:rsidRPr="00400832">
                  <w:rPr>
                    <w:rStyle w:val="Strong"/>
                  </w:rPr>
                  <w:t>(mg/L)</w:t>
                </w:r>
              </w:p>
            </w:tc>
            <w:tc>
              <w:tcPr>
                <w:tcW w:w="1260" w:type="dxa"/>
                <w:vAlign w:val="center"/>
              </w:tcPr>
              <w:p w14:paraId="478C8F9B" w14:textId="77777777" w:rsidR="00505231" w:rsidRPr="00400832" w:rsidRDefault="00505231" w:rsidP="00400832">
                <w:pPr>
                  <w:rPr>
                    <w:rStyle w:val="Strong"/>
                  </w:rPr>
                </w:pPr>
                <w:r w:rsidRPr="00400832">
                  <w:rPr>
                    <w:rStyle w:val="Strong"/>
                  </w:rPr>
                  <w:t>Sample Type</w:t>
                </w:r>
              </w:p>
            </w:tc>
            <w:tc>
              <w:tcPr>
                <w:tcW w:w="1530" w:type="dxa"/>
                <w:vAlign w:val="center"/>
              </w:tcPr>
              <w:p w14:paraId="766DFC0E" w14:textId="3BB4780C" w:rsidR="00505231" w:rsidRPr="00400832" w:rsidRDefault="00505231" w:rsidP="00400832">
                <w:pPr>
                  <w:rPr>
                    <w:rStyle w:val="Strong"/>
                  </w:rPr>
                </w:pPr>
                <w:r w:rsidRPr="00400832">
                  <w:rPr>
                    <w:rStyle w:val="Strong"/>
                  </w:rPr>
                  <w:t>Monitoring Frequency</w:t>
                </w:r>
                <w:r w:rsidR="00C94430" w:rsidRPr="00941500">
                  <w:rPr>
                    <w:b/>
                    <w:bCs/>
                    <w:vertAlign w:val="superscript"/>
                  </w:rPr>
                  <w:t>1</w:t>
                </w:r>
              </w:p>
            </w:tc>
            <w:tc>
              <w:tcPr>
                <w:tcW w:w="1530" w:type="dxa"/>
                <w:vAlign w:val="center"/>
              </w:tcPr>
              <w:p w14:paraId="746BA19D" w14:textId="77777777" w:rsidR="00505231" w:rsidRPr="00400832" w:rsidRDefault="00505231" w:rsidP="00400832">
                <w:pPr>
                  <w:rPr>
                    <w:rStyle w:val="Strong"/>
                  </w:rPr>
                </w:pPr>
                <w:r w:rsidRPr="00400832">
                  <w:rPr>
                    <w:rStyle w:val="Strong"/>
                  </w:rPr>
                  <w:t>MAL</w:t>
                </w:r>
              </w:p>
              <w:p w14:paraId="6024000A" w14:textId="156E416C" w:rsidR="000453B8" w:rsidRPr="00400832" w:rsidRDefault="000453B8" w:rsidP="00400832">
                <w:pPr>
                  <w:rPr>
                    <w:rStyle w:val="Strong"/>
                  </w:rPr>
                </w:pPr>
                <w:r w:rsidRPr="00400832">
                  <w:rPr>
                    <w:rStyle w:val="Strong"/>
                  </w:rPr>
                  <w:t>(mg/L)</w:t>
                </w:r>
                <w:r w:rsidR="00C94430" w:rsidRPr="00941500">
                  <w:rPr>
                    <w:b/>
                    <w:bCs/>
                    <w:vertAlign w:val="superscript"/>
                  </w:rPr>
                  <w:t xml:space="preserve"> </w:t>
                </w:r>
                <w:r w:rsidR="00C94430">
                  <w:rPr>
                    <w:b/>
                    <w:bCs/>
                    <w:vertAlign w:val="superscript"/>
                  </w:rPr>
                  <w:t>2</w:t>
                </w:r>
              </w:p>
            </w:tc>
          </w:tr>
          <w:tr w:rsidR="00505231" w:rsidRPr="00BC22EA" w14:paraId="4D5A45DF" w14:textId="77777777" w:rsidTr="00400832">
            <w:trPr>
              <w:cantSplit/>
            </w:trPr>
            <w:tc>
              <w:tcPr>
                <w:tcW w:w="2610" w:type="dxa"/>
              </w:tcPr>
              <w:p w14:paraId="245B9FC4" w14:textId="77777777" w:rsidR="00505231" w:rsidRPr="00BC22EA" w:rsidRDefault="00505231" w:rsidP="00B06F00">
                <w:r w:rsidRPr="00BC22EA">
                  <w:t>Arsenic, Total</w:t>
                </w:r>
              </w:p>
            </w:tc>
            <w:tc>
              <w:tcPr>
                <w:tcW w:w="1620" w:type="dxa"/>
              </w:tcPr>
              <w:p w14:paraId="6A0CD753" w14:textId="77777777" w:rsidR="00505231" w:rsidRPr="00BC22EA" w:rsidRDefault="00505231" w:rsidP="000453B8">
                <w:pPr>
                  <w:jc w:val="center"/>
                </w:pPr>
                <w:r w:rsidRPr="00BC22EA">
                  <w:t>0.3</w:t>
                </w:r>
              </w:p>
            </w:tc>
            <w:tc>
              <w:tcPr>
                <w:tcW w:w="1260" w:type="dxa"/>
              </w:tcPr>
              <w:p w14:paraId="09AD830B" w14:textId="77777777" w:rsidR="00505231" w:rsidRPr="00BC22EA" w:rsidRDefault="00505231" w:rsidP="000453B8">
                <w:pPr>
                  <w:jc w:val="center"/>
                </w:pPr>
                <w:r w:rsidRPr="00BC22EA">
                  <w:t>Grab</w:t>
                </w:r>
              </w:p>
            </w:tc>
            <w:tc>
              <w:tcPr>
                <w:tcW w:w="1530" w:type="dxa"/>
              </w:tcPr>
              <w:p w14:paraId="6088E215" w14:textId="6B67E827" w:rsidR="00505231" w:rsidRPr="00BC22EA" w:rsidRDefault="00505231" w:rsidP="000453B8">
                <w:pPr>
                  <w:jc w:val="center"/>
                </w:pPr>
                <w:r w:rsidRPr="00BC22EA">
                  <w:t>1/year</w:t>
                </w:r>
              </w:p>
            </w:tc>
            <w:tc>
              <w:tcPr>
                <w:tcW w:w="1530" w:type="dxa"/>
              </w:tcPr>
              <w:p w14:paraId="7E563C75" w14:textId="77777777" w:rsidR="00505231" w:rsidRPr="00BC22EA" w:rsidRDefault="00522F0F" w:rsidP="000453B8">
                <w:pPr>
                  <w:jc w:val="center"/>
                </w:pPr>
                <w:r w:rsidRPr="00BC22EA">
                  <w:t>0.0005</w:t>
                </w:r>
              </w:p>
            </w:tc>
          </w:tr>
          <w:tr w:rsidR="00505231" w:rsidRPr="00BC22EA" w14:paraId="72DB0251" w14:textId="77777777" w:rsidTr="00400832">
            <w:trPr>
              <w:cantSplit/>
            </w:trPr>
            <w:tc>
              <w:tcPr>
                <w:tcW w:w="2610" w:type="dxa"/>
              </w:tcPr>
              <w:p w14:paraId="1B374F1C" w14:textId="77777777" w:rsidR="00505231" w:rsidRPr="00BC22EA" w:rsidRDefault="00505231" w:rsidP="00B06F00">
                <w:r w:rsidRPr="00BC22EA">
                  <w:t>Barium, Total</w:t>
                </w:r>
              </w:p>
            </w:tc>
            <w:tc>
              <w:tcPr>
                <w:tcW w:w="1620" w:type="dxa"/>
              </w:tcPr>
              <w:p w14:paraId="33E2A982" w14:textId="77777777" w:rsidR="00505231" w:rsidRPr="00BC22EA" w:rsidRDefault="00505231" w:rsidP="000453B8">
                <w:pPr>
                  <w:jc w:val="center"/>
                </w:pPr>
                <w:r w:rsidRPr="00BC22EA">
                  <w:t>4.0</w:t>
                </w:r>
              </w:p>
            </w:tc>
            <w:tc>
              <w:tcPr>
                <w:tcW w:w="1260" w:type="dxa"/>
              </w:tcPr>
              <w:p w14:paraId="198DACE2" w14:textId="77777777" w:rsidR="00505231" w:rsidRPr="00BC22EA" w:rsidRDefault="00505231" w:rsidP="000453B8">
                <w:pPr>
                  <w:jc w:val="center"/>
                </w:pPr>
                <w:r w:rsidRPr="00BC22EA">
                  <w:t>Grab</w:t>
                </w:r>
              </w:p>
            </w:tc>
            <w:tc>
              <w:tcPr>
                <w:tcW w:w="1530" w:type="dxa"/>
              </w:tcPr>
              <w:p w14:paraId="6B2E069B" w14:textId="0C422193" w:rsidR="00505231" w:rsidRPr="00BC22EA" w:rsidRDefault="00505231" w:rsidP="000453B8">
                <w:pPr>
                  <w:jc w:val="center"/>
                </w:pPr>
                <w:r w:rsidRPr="00BC22EA">
                  <w:t>1/year</w:t>
                </w:r>
              </w:p>
            </w:tc>
            <w:tc>
              <w:tcPr>
                <w:tcW w:w="1530" w:type="dxa"/>
              </w:tcPr>
              <w:p w14:paraId="5FC06477" w14:textId="77777777" w:rsidR="00505231" w:rsidRPr="00BC22EA" w:rsidRDefault="00522F0F" w:rsidP="000453B8">
                <w:pPr>
                  <w:jc w:val="center"/>
                </w:pPr>
                <w:r w:rsidRPr="00BC22EA">
                  <w:t>0.003</w:t>
                </w:r>
              </w:p>
            </w:tc>
          </w:tr>
          <w:tr w:rsidR="00505231" w:rsidRPr="00BC22EA" w14:paraId="77425354" w14:textId="77777777" w:rsidTr="00400832">
            <w:trPr>
              <w:cantSplit/>
            </w:trPr>
            <w:tc>
              <w:tcPr>
                <w:tcW w:w="2610" w:type="dxa"/>
              </w:tcPr>
              <w:p w14:paraId="56F4DC81" w14:textId="77777777" w:rsidR="00505231" w:rsidRPr="00BC22EA" w:rsidRDefault="00505231" w:rsidP="00B06F00">
                <w:r w:rsidRPr="00BC22EA">
                  <w:t>Cadmium, Total (inland waters)</w:t>
                </w:r>
              </w:p>
            </w:tc>
            <w:tc>
              <w:tcPr>
                <w:tcW w:w="1620" w:type="dxa"/>
              </w:tcPr>
              <w:p w14:paraId="0ABC1D1B" w14:textId="77777777" w:rsidR="00505231" w:rsidRPr="00BC22EA" w:rsidRDefault="00505231" w:rsidP="000453B8">
                <w:pPr>
                  <w:jc w:val="center"/>
                </w:pPr>
                <w:r w:rsidRPr="00BC22EA">
                  <w:t>0.2</w:t>
                </w:r>
              </w:p>
            </w:tc>
            <w:tc>
              <w:tcPr>
                <w:tcW w:w="1260" w:type="dxa"/>
              </w:tcPr>
              <w:p w14:paraId="6DB538EC" w14:textId="77777777" w:rsidR="00505231" w:rsidRPr="00BC22EA" w:rsidRDefault="00505231" w:rsidP="000453B8">
                <w:pPr>
                  <w:jc w:val="center"/>
                </w:pPr>
                <w:r w:rsidRPr="00BC22EA">
                  <w:t>Grab</w:t>
                </w:r>
              </w:p>
            </w:tc>
            <w:tc>
              <w:tcPr>
                <w:tcW w:w="1530" w:type="dxa"/>
              </w:tcPr>
              <w:p w14:paraId="5C55A4B4" w14:textId="600EAC30" w:rsidR="00505231" w:rsidRPr="00BC22EA" w:rsidRDefault="00505231" w:rsidP="000453B8">
                <w:pPr>
                  <w:jc w:val="center"/>
                </w:pPr>
                <w:r w:rsidRPr="00BC22EA">
                  <w:t>1/year</w:t>
                </w:r>
              </w:p>
            </w:tc>
            <w:tc>
              <w:tcPr>
                <w:tcW w:w="1530" w:type="dxa"/>
              </w:tcPr>
              <w:p w14:paraId="5C9C67AE" w14:textId="77777777" w:rsidR="00505231" w:rsidRPr="00BC22EA" w:rsidRDefault="00505231" w:rsidP="000453B8">
                <w:pPr>
                  <w:jc w:val="center"/>
                </w:pPr>
                <w:r w:rsidRPr="00BC22EA">
                  <w:t>0.001</w:t>
                </w:r>
              </w:p>
            </w:tc>
          </w:tr>
          <w:tr w:rsidR="00505231" w:rsidRPr="00BC22EA" w14:paraId="101EBF28" w14:textId="77777777" w:rsidTr="00400832">
            <w:trPr>
              <w:cantSplit/>
            </w:trPr>
            <w:tc>
              <w:tcPr>
                <w:tcW w:w="2610" w:type="dxa"/>
              </w:tcPr>
              <w:p w14:paraId="4683A48B" w14:textId="77777777" w:rsidR="00505231" w:rsidRPr="00BC22EA" w:rsidRDefault="00505231" w:rsidP="00B06F00">
                <w:r w:rsidRPr="00BC22EA">
                  <w:t>Cadmium, Total (tidal waters)</w:t>
                </w:r>
              </w:p>
            </w:tc>
            <w:tc>
              <w:tcPr>
                <w:tcW w:w="1620" w:type="dxa"/>
              </w:tcPr>
              <w:p w14:paraId="434C390B" w14:textId="77777777" w:rsidR="00505231" w:rsidRPr="00BC22EA" w:rsidRDefault="00505231" w:rsidP="000453B8">
                <w:pPr>
                  <w:jc w:val="center"/>
                </w:pPr>
                <w:r w:rsidRPr="00BC22EA">
                  <w:t>0.3</w:t>
                </w:r>
              </w:p>
            </w:tc>
            <w:tc>
              <w:tcPr>
                <w:tcW w:w="1260" w:type="dxa"/>
              </w:tcPr>
              <w:p w14:paraId="5E353EF3" w14:textId="77777777" w:rsidR="00505231" w:rsidRPr="00BC22EA" w:rsidRDefault="00505231" w:rsidP="000453B8">
                <w:pPr>
                  <w:jc w:val="center"/>
                </w:pPr>
                <w:r w:rsidRPr="00BC22EA">
                  <w:t>Grab</w:t>
                </w:r>
              </w:p>
            </w:tc>
            <w:tc>
              <w:tcPr>
                <w:tcW w:w="1530" w:type="dxa"/>
              </w:tcPr>
              <w:p w14:paraId="3BBCD5F5" w14:textId="2DF09896" w:rsidR="00505231" w:rsidRPr="00BC22EA" w:rsidRDefault="00505231" w:rsidP="000453B8">
                <w:pPr>
                  <w:jc w:val="center"/>
                </w:pPr>
                <w:r w:rsidRPr="00BC22EA">
                  <w:t>1/year</w:t>
                </w:r>
              </w:p>
            </w:tc>
            <w:tc>
              <w:tcPr>
                <w:tcW w:w="1530" w:type="dxa"/>
              </w:tcPr>
              <w:p w14:paraId="5668DE23" w14:textId="77777777" w:rsidR="00505231" w:rsidRPr="00BC22EA" w:rsidRDefault="00505231" w:rsidP="000453B8">
                <w:pPr>
                  <w:jc w:val="center"/>
                </w:pPr>
                <w:r w:rsidRPr="00BC22EA">
                  <w:t>0.001</w:t>
                </w:r>
              </w:p>
            </w:tc>
          </w:tr>
          <w:tr w:rsidR="00505231" w:rsidRPr="00BC22EA" w14:paraId="3A15E538" w14:textId="77777777" w:rsidTr="00400832">
            <w:trPr>
              <w:cantSplit/>
            </w:trPr>
            <w:tc>
              <w:tcPr>
                <w:tcW w:w="2610" w:type="dxa"/>
              </w:tcPr>
              <w:p w14:paraId="06981E3A" w14:textId="77777777" w:rsidR="00505231" w:rsidRPr="00BC22EA" w:rsidRDefault="00505231" w:rsidP="00B06F00">
                <w:r w:rsidRPr="00BC22EA">
                  <w:t>Chromium, Total</w:t>
                </w:r>
              </w:p>
            </w:tc>
            <w:tc>
              <w:tcPr>
                <w:tcW w:w="1620" w:type="dxa"/>
              </w:tcPr>
              <w:p w14:paraId="14CC4F7F" w14:textId="77777777" w:rsidR="00505231" w:rsidRPr="00BC22EA" w:rsidRDefault="00505231" w:rsidP="000453B8">
                <w:pPr>
                  <w:jc w:val="center"/>
                </w:pPr>
                <w:r w:rsidRPr="00BC22EA">
                  <w:t>5.0</w:t>
                </w:r>
              </w:p>
            </w:tc>
            <w:tc>
              <w:tcPr>
                <w:tcW w:w="1260" w:type="dxa"/>
              </w:tcPr>
              <w:p w14:paraId="7D1265FE" w14:textId="77777777" w:rsidR="00505231" w:rsidRPr="00BC22EA" w:rsidRDefault="00505231" w:rsidP="000453B8">
                <w:pPr>
                  <w:jc w:val="center"/>
                </w:pPr>
                <w:r w:rsidRPr="00BC22EA">
                  <w:t>Grab</w:t>
                </w:r>
              </w:p>
            </w:tc>
            <w:tc>
              <w:tcPr>
                <w:tcW w:w="1530" w:type="dxa"/>
              </w:tcPr>
              <w:p w14:paraId="45DFBD94" w14:textId="021A8298" w:rsidR="00505231" w:rsidRPr="00BC22EA" w:rsidRDefault="00505231" w:rsidP="000453B8">
                <w:pPr>
                  <w:jc w:val="center"/>
                </w:pPr>
                <w:r w:rsidRPr="00BC22EA">
                  <w:t>1/year</w:t>
                </w:r>
              </w:p>
            </w:tc>
            <w:tc>
              <w:tcPr>
                <w:tcW w:w="1530" w:type="dxa"/>
              </w:tcPr>
              <w:p w14:paraId="3378BDCB" w14:textId="77777777" w:rsidR="00505231" w:rsidRPr="00BC22EA" w:rsidRDefault="00522F0F" w:rsidP="000453B8">
                <w:pPr>
                  <w:jc w:val="center"/>
                </w:pPr>
                <w:r w:rsidRPr="00BC22EA">
                  <w:t>0.003</w:t>
                </w:r>
              </w:p>
            </w:tc>
          </w:tr>
          <w:tr w:rsidR="00505231" w:rsidRPr="00BC22EA" w14:paraId="0C9D6197" w14:textId="77777777" w:rsidTr="00400832">
            <w:trPr>
              <w:cantSplit/>
            </w:trPr>
            <w:tc>
              <w:tcPr>
                <w:tcW w:w="2610" w:type="dxa"/>
              </w:tcPr>
              <w:p w14:paraId="75077254" w14:textId="77777777" w:rsidR="00505231" w:rsidRPr="00BC22EA" w:rsidRDefault="00505231" w:rsidP="00B06F00">
                <w:r w:rsidRPr="00BC22EA">
                  <w:t>Copper, Total</w:t>
                </w:r>
              </w:p>
            </w:tc>
            <w:tc>
              <w:tcPr>
                <w:tcW w:w="1620" w:type="dxa"/>
              </w:tcPr>
              <w:p w14:paraId="39B9EA51" w14:textId="77777777" w:rsidR="00505231" w:rsidRPr="00BC22EA" w:rsidRDefault="00505231" w:rsidP="000453B8">
                <w:pPr>
                  <w:jc w:val="center"/>
                </w:pPr>
                <w:r w:rsidRPr="00BC22EA">
                  <w:t>2.0</w:t>
                </w:r>
              </w:p>
            </w:tc>
            <w:tc>
              <w:tcPr>
                <w:tcW w:w="1260" w:type="dxa"/>
              </w:tcPr>
              <w:p w14:paraId="2C5EEB30" w14:textId="77777777" w:rsidR="00505231" w:rsidRPr="00BC22EA" w:rsidRDefault="00505231" w:rsidP="000453B8">
                <w:pPr>
                  <w:jc w:val="center"/>
                </w:pPr>
                <w:r w:rsidRPr="00BC22EA">
                  <w:t>Grab</w:t>
                </w:r>
              </w:p>
            </w:tc>
            <w:tc>
              <w:tcPr>
                <w:tcW w:w="1530" w:type="dxa"/>
              </w:tcPr>
              <w:p w14:paraId="50714809" w14:textId="4E10BB5D" w:rsidR="00505231" w:rsidRPr="00BC22EA" w:rsidRDefault="00505231" w:rsidP="000453B8">
                <w:pPr>
                  <w:jc w:val="center"/>
                </w:pPr>
                <w:r w:rsidRPr="00BC22EA">
                  <w:t>1/year</w:t>
                </w:r>
              </w:p>
            </w:tc>
            <w:tc>
              <w:tcPr>
                <w:tcW w:w="1530" w:type="dxa"/>
              </w:tcPr>
              <w:p w14:paraId="24E55292" w14:textId="77777777" w:rsidR="00505231" w:rsidRPr="00BC22EA" w:rsidRDefault="00522F0F" w:rsidP="000453B8">
                <w:pPr>
                  <w:jc w:val="center"/>
                </w:pPr>
                <w:r w:rsidRPr="00BC22EA">
                  <w:t>0.002</w:t>
                </w:r>
              </w:p>
            </w:tc>
          </w:tr>
          <w:tr w:rsidR="00505231" w:rsidRPr="00BC22EA" w14:paraId="44E34978" w14:textId="77777777" w:rsidTr="00400832">
            <w:trPr>
              <w:cantSplit/>
            </w:trPr>
            <w:tc>
              <w:tcPr>
                <w:tcW w:w="2610" w:type="dxa"/>
              </w:tcPr>
              <w:p w14:paraId="0CB59A53" w14:textId="77777777" w:rsidR="00505231" w:rsidRPr="00BC22EA" w:rsidRDefault="00505231" w:rsidP="00B06F00">
                <w:r w:rsidRPr="00BC22EA">
                  <w:t>Lead, Total</w:t>
                </w:r>
              </w:p>
            </w:tc>
            <w:tc>
              <w:tcPr>
                <w:tcW w:w="1620" w:type="dxa"/>
              </w:tcPr>
              <w:p w14:paraId="2DEE2C08" w14:textId="77777777" w:rsidR="00505231" w:rsidRPr="00BC22EA" w:rsidRDefault="00505231" w:rsidP="000453B8">
                <w:pPr>
                  <w:jc w:val="center"/>
                </w:pPr>
                <w:r w:rsidRPr="00BC22EA">
                  <w:t>1.5</w:t>
                </w:r>
              </w:p>
            </w:tc>
            <w:tc>
              <w:tcPr>
                <w:tcW w:w="1260" w:type="dxa"/>
              </w:tcPr>
              <w:p w14:paraId="251C0C7E" w14:textId="77777777" w:rsidR="00505231" w:rsidRPr="00BC22EA" w:rsidRDefault="00505231" w:rsidP="000453B8">
                <w:pPr>
                  <w:jc w:val="center"/>
                </w:pPr>
                <w:r w:rsidRPr="00BC22EA">
                  <w:t>Grab</w:t>
                </w:r>
              </w:p>
            </w:tc>
            <w:tc>
              <w:tcPr>
                <w:tcW w:w="1530" w:type="dxa"/>
              </w:tcPr>
              <w:p w14:paraId="40181298" w14:textId="72F0B6D3" w:rsidR="00505231" w:rsidRPr="00BC22EA" w:rsidRDefault="00505231" w:rsidP="000453B8">
                <w:pPr>
                  <w:jc w:val="center"/>
                </w:pPr>
                <w:r w:rsidRPr="00BC22EA">
                  <w:t>1/year</w:t>
                </w:r>
              </w:p>
            </w:tc>
            <w:tc>
              <w:tcPr>
                <w:tcW w:w="1530" w:type="dxa"/>
              </w:tcPr>
              <w:p w14:paraId="768E1C5E" w14:textId="77777777" w:rsidR="00505231" w:rsidRPr="00BC22EA" w:rsidRDefault="00522F0F" w:rsidP="000453B8">
                <w:pPr>
                  <w:jc w:val="center"/>
                </w:pPr>
                <w:r w:rsidRPr="00BC22EA">
                  <w:t>0.0005</w:t>
                </w:r>
              </w:p>
            </w:tc>
          </w:tr>
          <w:tr w:rsidR="00505231" w:rsidRPr="00BC22EA" w14:paraId="7A2F7785" w14:textId="77777777" w:rsidTr="00400832">
            <w:trPr>
              <w:cantSplit/>
            </w:trPr>
            <w:tc>
              <w:tcPr>
                <w:tcW w:w="2610" w:type="dxa"/>
              </w:tcPr>
              <w:p w14:paraId="5E865C3B" w14:textId="77777777" w:rsidR="00505231" w:rsidRPr="00BC22EA" w:rsidRDefault="00505231" w:rsidP="00B06F00">
                <w:r w:rsidRPr="00BC22EA">
                  <w:t>Manganese, Total</w:t>
                </w:r>
              </w:p>
            </w:tc>
            <w:tc>
              <w:tcPr>
                <w:tcW w:w="1620" w:type="dxa"/>
              </w:tcPr>
              <w:p w14:paraId="638D22E4" w14:textId="77777777" w:rsidR="00505231" w:rsidRPr="00BC22EA" w:rsidRDefault="00505231" w:rsidP="000453B8">
                <w:pPr>
                  <w:jc w:val="center"/>
                </w:pPr>
                <w:r w:rsidRPr="00BC22EA">
                  <w:t>3.0</w:t>
                </w:r>
              </w:p>
            </w:tc>
            <w:tc>
              <w:tcPr>
                <w:tcW w:w="1260" w:type="dxa"/>
              </w:tcPr>
              <w:p w14:paraId="38806E67" w14:textId="77777777" w:rsidR="00505231" w:rsidRPr="00BC22EA" w:rsidRDefault="00505231" w:rsidP="000453B8">
                <w:pPr>
                  <w:jc w:val="center"/>
                </w:pPr>
                <w:r w:rsidRPr="00BC22EA">
                  <w:t>Grab</w:t>
                </w:r>
              </w:p>
            </w:tc>
            <w:tc>
              <w:tcPr>
                <w:tcW w:w="1530" w:type="dxa"/>
              </w:tcPr>
              <w:p w14:paraId="32183CA3" w14:textId="17A2BDE8" w:rsidR="00505231" w:rsidRPr="00BC22EA" w:rsidRDefault="00505231" w:rsidP="000453B8">
                <w:pPr>
                  <w:jc w:val="center"/>
                </w:pPr>
                <w:r w:rsidRPr="00BC22EA">
                  <w:t>1/year</w:t>
                </w:r>
              </w:p>
            </w:tc>
            <w:tc>
              <w:tcPr>
                <w:tcW w:w="1530" w:type="dxa"/>
              </w:tcPr>
              <w:p w14:paraId="66DAFD2C" w14:textId="77777777" w:rsidR="00505231" w:rsidRPr="00BC22EA" w:rsidRDefault="00522F0F" w:rsidP="000453B8">
                <w:pPr>
                  <w:jc w:val="center"/>
                </w:pPr>
                <w:r w:rsidRPr="00BC22EA">
                  <w:t>0.0005</w:t>
                </w:r>
              </w:p>
            </w:tc>
          </w:tr>
          <w:tr w:rsidR="00505231" w:rsidRPr="00BC22EA" w14:paraId="1289A961" w14:textId="77777777" w:rsidTr="00400832">
            <w:trPr>
              <w:cantSplit/>
            </w:trPr>
            <w:tc>
              <w:tcPr>
                <w:tcW w:w="2610" w:type="dxa"/>
              </w:tcPr>
              <w:p w14:paraId="0A0910CC" w14:textId="77777777" w:rsidR="00505231" w:rsidRPr="00BC22EA" w:rsidRDefault="00505231" w:rsidP="00B06F00">
                <w:r w:rsidRPr="00BC22EA">
                  <w:t>Mercury, Total</w:t>
                </w:r>
              </w:p>
            </w:tc>
            <w:tc>
              <w:tcPr>
                <w:tcW w:w="1620" w:type="dxa"/>
              </w:tcPr>
              <w:p w14:paraId="18D60FBE" w14:textId="77777777" w:rsidR="00505231" w:rsidRPr="00BC22EA" w:rsidRDefault="00505231" w:rsidP="000453B8">
                <w:pPr>
                  <w:jc w:val="center"/>
                </w:pPr>
                <w:r w:rsidRPr="00BC22EA">
                  <w:t>0.01</w:t>
                </w:r>
              </w:p>
            </w:tc>
            <w:tc>
              <w:tcPr>
                <w:tcW w:w="1260" w:type="dxa"/>
              </w:tcPr>
              <w:p w14:paraId="6726B740" w14:textId="77777777" w:rsidR="00505231" w:rsidRPr="00BC22EA" w:rsidRDefault="00505231" w:rsidP="000453B8">
                <w:pPr>
                  <w:jc w:val="center"/>
                </w:pPr>
                <w:r w:rsidRPr="00BC22EA">
                  <w:t>Grab</w:t>
                </w:r>
              </w:p>
            </w:tc>
            <w:tc>
              <w:tcPr>
                <w:tcW w:w="1530" w:type="dxa"/>
              </w:tcPr>
              <w:p w14:paraId="5350FA2D" w14:textId="595C2D7E" w:rsidR="00505231" w:rsidRPr="00BC22EA" w:rsidRDefault="00505231" w:rsidP="000453B8">
                <w:pPr>
                  <w:jc w:val="center"/>
                </w:pPr>
                <w:r w:rsidRPr="00BC22EA">
                  <w:t>1/year</w:t>
                </w:r>
              </w:p>
            </w:tc>
            <w:tc>
              <w:tcPr>
                <w:tcW w:w="1530" w:type="dxa"/>
              </w:tcPr>
              <w:p w14:paraId="649A67B6" w14:textId="77777777" w:rsidR="00505231" w:rsidRPr="00BC22EA" w:rsidRDefault="00100F57" w:rsidP="000453B8">
                <w:pPr>
                  <w:jc w:val="center"/>
                </w:pPr>
                <w:r w:rsidRPr="00BC22EA">
                  <w:t>0.000005</w:t>
                </w:r>
              </w:p>
            </w:tc>
          </w:tr>
          <w:tr w:rsidR="00505231" w:rsidRPr="00BC22EA" w14:paraId="5C5A68E1" w14:textId="77777777" w:rsidTr="00400832">
            <w:trPr>
              <w:cantSplit/>
            </w:trPr>
            <w:tc>
              <w:tcPr>
                <w:tcW w:w="2610" w:type="dxa"/>
              </w:tcPr>
              <w:p w14:paraId="4633B62B" w14:textId="77777777" w:rsidR="00505231" w:rsidRPr="00BC22EA" w:rsidRDefault="00505231" w:rsidP="00B06F00">
                <w:r w:rsidRPr="00BC22EA">
                  <w:t>Nickel, Total</w:t>
                </w:r>
              </w:p>
            </w:tc>
            <w:tc>
              <w:tcPr>
                <w:tcW w:w="1620" w:type="dxa"/>
              </w:tcPr>
              <w:p w14:paraId="48E077D9" w14:textId="77777777" w:rsidR="00505231" w:rsidRPr="00BC22EA" w:rsidRDefault="00505231" w:rsidP="000453B8">
                <w:pPr>
                  <w:jc w:val="center"/>
                </w:pPr>
                <w:r w:rsidRPr="00BC22EA">
                  <w:t>3.0</w:t>
                </w:r>
              </w:p>
            </w:tc>
            <w:tc>
              <w:tcPr>
                <w:tcW w:w="1260" w:type="dxa"/>
              </w:tcPr>
              <w:p w14:paraId="66628CB5" w14:textId="77777777" w:rsidR="00505231" w:rsidRPr="00BC22EA" w:rsidRDefault="00505231" w:rsidP="000453B8">
                <w:pPr>
                  <w:jc w:val="center"/>
                </w:pPr>
                <w:r w:rsidRPr="00BC22EA">
                  <w:t>Grab</w:t>
                </w:r>
              </w:p>
            </w:tc>
            <w:tc>
              <w:tcPr>
                <w:tcW w:w="1530" w:type="dxa"/>
              </w:tcPr>
              <w:p w14:paraId="6DBCE387" w14:textId="404A2E2A" w:rsidR="00505231" w:rsidRPr="00BC22EA" w:rsidRDefault="00505231" w:rsidP="000453B8">
                <w:pPr>
                  <w:jc w:val="center"/>
                </w:pPr>
                <w:r w:rsidRPr="00BC22EA">
                  <w:t>1/year</w:t>
                </w:r>
              </w:p>
            </w:tc>
            <w:tc>
              <w:tcPr>
                <w:tcW w:w="1530" w:type="dxa"/>
              </w:tcPr>
              <w:p w14:paraId="0271A1D7" w14:textId="77777777" w:rsidR="00505231" w:rsidRPr="00BC22EA" w:rsidRDefault="00522F0F" w:rsidP="000453B8">
                <w:pPr>
                  <w:jc w:val="center"/>
                </w:pPr>
                <w:r w:rsidRPr="00BC22EA">
                  <w:t>0.002</w:t>
                </w:r>
              </w:p>
            </w:tc>
          </w:tr>
          <w:tr w:rsidR="00505231" w:rsidRPr="00BC22EA" w14:paraId="163E95B3" w14:textId="77777777" w:rsidTr="00400832">
            <w:trPr>
              <w:cantSplit/>
            </w:trPr>
            <w:tc>
              <w:tcPr>
                <w:tcW w:w="2610" w:type="dxa"/>
              </w:tcPr>
              <w:p w14:paraId="13766D4A" w14:textId="77777777" w:rsidR="00505231" w:rsidRPr="00BC22EA" w:rsidRDefault="00505231" w:rsidP="00B06F00">
                <w:r w:rsidRPr="00BC22EA">
                  <w:lastRenderedPageBreak/>
                  <w:t>Selenium, Total (inland waters)</w:t>
                </w:r>
              </w:p>
            </w:tc>
            <w:tc>
              <w:tcPr>
                <w:tcW w:w="1620" w:type="dxa"/>
              </w:tcPr>
              <w:p w14:paraId="414B696E" w14:textId="77777777" w:rsidR="00505231" w:rsidRPr="00BC22EA" w:rsidRDefault="00505231" w:rsidP="000453B8">
                <w:pPr>
                  <w:jc w:val="center"/>
                </w:pPr>
                <w:r w:rsidRPr="00BC22EA">
                  <w:t>0.2</w:t>
                </w:r>
              </w:p>
            </w:tc>
            <w:tc>
              <w:tcPr>
                <w:tcW w:w="1260" w:type="dxa"/>
              </w:tcPr>
              <w:p w14:paraId="0518679F" w14:textId="77777777" w:rsidR="00505231" w:rsidRPr="00BC22EA" w:rsidRDefault="00505231" w:rsidP="000453B8">
                <w:pPr>
                  <w:jc w:val="center"/>
                </w:pPr>
                <w:r w:rsidRPr="00BC22EA">
                  <w:t>Grab</w:t>
                </w:r>
              </w:p>
            </w:tc>
            <w:tc>
              <w:tcPr>
                <w:tcW w:w="1530" w:type="dxa"/>
              </w:tcPr>
              <w:p w14:paraId="144BFD41" w14:textId="78D9D09B" w:rsidR="00505231" w:rsidRPr="00BC22EA" w:rsidRDefault="00505231" w:rsidP="000453B8">
                <w:pPr>
                  <w:jc w:val="center"/>
                </w:pPr>
                <w:r w:rsidRPr="00BC22EA">
                  <w:t>1/year</w:t>
                </w:r>
              </w:p>
            </w:tc>
            <w:tc>
              <w:tcPr>
                <w:tcW w:w="1530" w:type="dxa"/>
              </w:tcPr>
              <w:p w14:paraId="423F6CD2" w14:textId="77777777" w:rsidR="00505231" w:rsidRPr="00BC22EA" w:rsidRDefault="00522F0F" w:rsidP="000453B8">
                <w:pPr>
                  <w:jc w:val="center"/>
                </w:pPr>
                <w:r w:rsidRPr="00BC22EA">
                  <w:t>0.005</w:t>
                </w:r>
              </w:p>
            </w:tc>
          </w:tr>
          <w:tr w:rsidR="00505231" w:rsidRPr="00BC22EA" w14:paraId="6457298C" w14:textId="77777777" w:rsidTr="00400832">
            <w:trPr>
              <w:cantSplit/>
            </w:trPr>
            <w:tc>
              <w:tcPr>
                <w:tcW w:w="2610" w:type="dxa"/>
              </w:tcPr>
              <w:p w14:paraId="7A01AC98" w14:textId="77777777" w:rsidR="00505231" w:rsidRPr="00BC22EA" w:rsidRDefault="00505231" w:rsidP="00B06F00">
                <w:r w:rsidRPr="00BC22EA">
                  <w:t>Selenium, Total (tidal waters)</w:t>
                </w:r>
              </w:p>
            </w:tc>
            <w:tc>
              <w:tcPr>
                <w:tcW w:w="1620" w:type="dxa"/>
              </w:tcPr>
              <w:p w14:paraId="2D4748BE" w14:textId="77777777" w:rsidR="00505231" w:rsidRPr="00BC22EA" w:rsidRDefault="00505231" w:rsidP="000453B8">
                <w:pPr>
                  <w:jc w:val="center"/>
                </w:pPr>
                <w:r w:rsidRPr="00BC22EA">
                  <w:t>0.3</w:t>
                </w:r>
              </w:p>
            </w:tc>
            <w:tc>
              <w:tcPr>
                <w:tcW w:w="1260" w:type="dxa"/>
              </w:tcPr>
              <w:p w14:paraId="22BE6EE0" w14:textId="77777777" w:rsidR="00505231" w:rsidRPr="00BC22EA" w:rsidRDefault="00505231" w:rsidP="000453B8">
                <w:pPr>
                  <w:jc w:val="center"/>
                </w:pPr>
                <w:r w:rsidRPr="00BC22EA">
                  <w:t>Grab</w:t>
                </w:r>
              </w:p>
            </w:tc>
            <w:tc>
              <w:tcPr>
                <w:tcW w:w="1530" w:type="dxa"/>
              </w:tcPr>
              <w:p w14:paraId="7EB056A5" w14:textId="5724B1DC" w:rsidR="00505231" w:rsidRPr="00BC22EA" w:rsidRDefault="00505231" w:rsidP="000453B8">
                <w:pPr>
                  <w:jc w:val="center"/>
                </w:pPr>
                <w:r w:rsidRPr="00BC22EA">
                  <w:t>1/year</w:t>
                </w:r>
              </w:p>
            </w:tc>
            <w:tc>
              <w:tcPr>
                <w:tcW w:w="1530" w:type="dxa"/>
              </w:tcPr>
              <w:p w14:paraId="4DF8FEE3" w14:textId="77777777" w:rsidR="00505231" w:rsidRPr="00BC22EA" w:rsidRDefault="00522F0F" w:rsidP="000453B8">
                <w:pPr>
                  <w:jc w:val="center"/>
                </w:pPr>
                <w:r w:rsidRPr="00BC22EA">
                  <w:t>0.005</w:t>
                </w:r>
              </w:p>
            </w:tc>
          </w:tr>
          <w:tr w:rsidR="00505231" w:rsidRPr="00BC22EA" w14:paraId="7553CEF3" w14:textId="77777777" w:rsidTr="00400832">
            <w:trPr>
              <w:cantSplit/>
            </w:trPr>
            <w:tc>
              <w:tcPr>
                <w:tcW w:w="2610" w:type="dxa"/>
              </w:tcPr>
              <w:p w14:paraId="7EE1CCF4" w14:textId="77777777" w:rsidR="00505231" w:rsidRPr="00BC22EA" w:rsidRDefault="00505231" w:rsidP="00B06F00">
                <w:pPr>
                  <w:rPr>
                    <w:rFonts w:eastAsia="Times New Roman"/>
                    <w:b/>
                    <w:bCs/>
                    <w:sz w:val="26"/>
                    <w:szCs w:val="26"/>
                  </w:rPr>
                </w:pPr>
                <w:r w:rsidRPr="00BC22EA">
                  <w:t>Silver, Total</w:t>
                </w:r>
              </w:p>
            </w:tc>
            <w:tc>
              <w:tcPr>
                <w:tcW w:w="1620" w:type="dxa"/>
              </w:tcPr>
              <w:p w14:paraId="37809877" w14:textId="77777777" w:rsidR="00505231" w:rsidRPr="00BC22EA" w:rsidRDefault="00505231" w:rsidP="000453B8">
                <w:pPr>
                  <w:jc w:val="center"/>
                  <w:rPr>
                    <w:rFonts w:eastAsia="Times New Roman"/>
                    <w:b/>
                    <w:bCs/>
                    <w:sz w:val="26"/>
                    <w:szCs w:val="26"/>
                  </w:rPr>
                </w:pPr>
                <w:r w:rsidRPr="00BC22EA">
                  <w:t>0.2</w:t>
                </w:r>
              </w:p>
            </w:tc>
            <w:tc>
              <w:tcPr>
                <w:tcW w:w="1260" w:type="dxa"/>
              </w:tcPr>
              <w:p w14:paraId="5B65CF64" w14:textId="77777777" w:rsidR="00505231" w:rsidRPr="00BC22EA" w:rsidRDefault="00505231" w:rsidP="000453B8">
                <w:pPr>
                  <w:jc w:val="center"/>
                  <w:rPr>
                    <w:rFonts w:eastAsia="Times New Roman"/>
                    <w:b/>
                    <w:bCs/>
                    <w:sz w:val="26"/>
                    <w:szCs w:val="26"/>
                  </w:rPr>
                </w:pPr>
                <w:r w:rsidRPr="00BC22EA">
                  <w:t>Grab</w:t>
                </w:r>
              </w:p>
            </w:tc>
            <w:tc>
              <w:tcPr>
                <w:tcW w:w="1530" w:type="dxa"/>
              </w:tcPr>
              <w:p w14:paraId="6BD21813" w14:textId="35C81FF6" w:rsidR="00505231" w:rsidRPr="00BC22EA" w:rsidRDefault="00505231" w:rsidP="000453B8">
                <w:pPr>
                  <w:jc w:val="center"/>
                  <w:rPr>
                    <w:rFonts w:eastAsia="Times New Roman"/>
                    <w:b/>
                    <w:bCs/>
                    <w:sz w:val="26"/>
                    <w:szCs w:val="26"/>
                  </w:rPr>
                </w:pPr>
                <w:r w:rsidRPr="00BC22EA">
                  <w:t>1/year</w:t>
                </w:r>
              </w:p>
            </w:tc>
            <w:tc>
              <w:tcPr>
                <w:tcW w:w="1530" w:type="dxa"/>
              </w:tcPr>
              <w:p w14:paraId="75F28E8E" w14:textId="77777777" w:rsidR="00505231" w:rsidRPr="00BC22EA" w:rsidRDefault="00522F0F" w:rsidP="000453B8">
                <w:pPr>
                  <w:jc w:val="center"/>
                </w:pPr>
                <w:r w:rsidRPr="00BC22EA">
                  <w:t>0.0005</w:t>
                </w:r>
              </w:p>
            </w:tc>
          </w:tr>
          <w:tr w:rsidR="00505231" w:rsidRPr="00BC22EA" w14:paraId="15DC18E2" w14:textId="77777777" w:rsidTr="00400832">
            <w:trPr>
              <w:cantSplit/>
            </w:trPr>
            <w:tc>
              <w:tcPr>
                <w:tcW w:w="2610" w:type="dxa"/>
              </w:tcPr>
              <w:p w14:paraId="2B3739BD" w14:textId="77777777" w:rsidR="00505231" w:rsidRPr="00BC22EA" w:rsidRDefault="00505231" w:rsidP="00B06F00">
                <w:pPr>
                  <w:rPr>
                    <w:rFonts w:eastAsia="Times New Roman"/>
                    <w:b/>
                    <w:bCs/>
                    <w:sz w:val="26"/>
                    <w:szCs w:val="26"/>
                  </w:rPr>
                </w:pPr>
                <w:r w:rsidRPr="00BC22EA">
                  <w:t>Zinc, Total</w:t>
                </w:r>
              </w:p>
            </w:tc>
            <w:tc>
              <w:tcPr>
                <w:tcW w:w="1620" w:type="dxa"/>
              </w:tcPr>
              <w:p w14:paraId="00AECC13" w14:textId="77777777" w:rsidR="00505231" w:rsidRPr="00BC22EA" w:rsidRDefault="00505231" w:rsidP="000453B8">
                <w:pPr>
                  <w:jc w:val="center"/>
                  <w:rPr>
                    <w:rFonts w:eastAsia="Times New Roman"/>
                    <w:b/>
                    <w:bCs/>
                    <w:sz w:val="26"/>
                    <w:szCs w:val="26"/>
                  </w:rPr>
                </w:pPr>
                <w:r w:rsidRPr="00BC22EA">
                  <w:t>6.0</w:t>
                </w:r>
              </w:p>
            </w:tc>
            <w:tc>
              <w:tcPr>
                <w:tcW w:w="1260" w:type="dxa"/>
              </w:tcPr>
              <w:p w14:paraId="4CD7A229" w14:textId="77777777" w:rsidR="00505231" w:rsidRPr="00BC22EA" w:rsidRDefault="00505231" w:rsidP="000453B8">
                <w:pPr>
                  <w:jc w:val="center"/>
                  <w:rPr>
                    <w:rFonts w:eastAsia="Times New Roman"/>
                    <w:b/>
                    <w:bCs/>
                    <w:sz w:val="26"/>
                    <w:szCs w:val="26"/>
                  </w:rPr>
                </w:pPr>
                <w:r w:rsidRPr="00BC22EA">
                  <w:t>Grab</w:t>
                </w:r>
              </w:p>
            </w:tc>
            <w:tc>
              <w:tcPr>
                <w:tcW w:w="1530" w:type="dxa"/>
              </w:tcPr>
              <w:p w14:paraId="0774CDA6" w14:textId="597EEE71" w:rsidR="00505231" w:rsidRPr="00BC22EA" w:rsidRDefault="00505231" w:rsidP="000453B8">
                <w:pPr>
                  <w:jc w:val="center"/>
                  <w:rPr>
                    <w:rFonts w:eastAsia="Times New Roman"/>
                    <w:b/>
                    <w:bCs/>
                    <w:sz w:val="26"/>
                    <w:szCs w:val="26"/>
                  </w:rPr>
                </w:pPr>
                <w:r w:rsidRPr="00BC22EA">
                  <w:t>1/year</w:t>
                </w:r>
              </w:p>
            </w:tc>
            <w:tc>
              <w:tcPr>
                <w:tcW w:w="1530" w:type="dxa"/>
              </w:tcPr>
              <w:p w14:paraId="27021493" w14:textId="77777777" w:rsidR="00505231" w:rsidRPr="00BC22EA" w:rsidRDefault="00663008" w:rsidP="000453B8">
                <w:pPr>
                  <w:jc w:val="center"/>
                </w:pPr>
                <w:r w:rsidRPr="00BC22EA">
                  <w:t>0.005</w:t>
                </w:r>
              </w:p>
            </w:tc>
          </w:tr>
        </w:tbl>
        <w:p w14:paraId="37B34289" w14:textId="4ECAE0BE" w:rsidR="00844024" w:rsidRDefault="00C94430" w:rsidP="00400832">
          <w:pPr>
            <w:ind w:left="540" w:hanging="180"/>
          </w:pPr>
          <w:r w:rsidRPr="00941500">
            <w:rPr>
              <w:b/>
              <w:bCs/>
              <w:vertAlign w:val="superscript"/>
            </w:rPr>
            <w:t>1</w:t>
          </w:r>
          <w:r>
            <w:rPr>
              <w:b/>
              <w:bCs/>
              <w:vertAlign w:val="superscript"/>
            </w:rPr>
            <w:tab/>
          </w:r>
          <w:r w:rsidR="003F76E6" w:rsidRPr="00BC22EA">
            <w:t>If there is a discharge from the facility</w:t>
          </w:r>
          <w:r w:rsidR="00012F0A" w:rsidRPr="00BC22EA">
            <w:t xml:space="preserve"> during the year,</w:t>
          </w:r>
          <w:r w:rsidR="003F76E6" w:rsidRPr="00BC22EA">
            <w:t xml:space="preserve"> a minimum of one sample of the discharge must be taken.</w:t>
          </w:r>
        </w:p>
        <w:p w14:paraId="730C5097" w14:textId="581CC585" w:rsidR="009C1D7E" w:rsidRPr="00BC22EA" w:rsidRDefault="00C94430" w:rsidP="00400832">
          <w:pPr>
            <w:spacing w:after="240"/>
            <w:ind w:left="540" w:hanging="180"/>
          </w:pPr>
          <w:r>
            <w:rPr>
              <w:b/>
              <w:bCs/>
              <w:vertAlign w:val="superscript"/>
            </w:rPr>
            <w:t>2</w:t>
          </w:r>
          <w:r>
            <w:rPr>
              <w:b/>
              <w:bCs/>
              <w:vertAlign w:val="superscript"/>
            </w:rPr>
            <w:tab/>
          </w:r>
          <w:r w:rsidR="00782E68" w:rsidRPr="00782E68">
            <w:t>By establishing MALs, TCEQ is not requiring use of an analytical test method that detects at or below this MAL, nor is TCEQ requiring analytical results to be submitted where an analytical test method was used to achieve this MAL. For permitting and compliance purposes, MALs are used to allow the permittee to submit analytical results as non-detect. Non-detect analytical results are assumed to represent a concentration of zero (0) mg/L (or µg/L as appropriate).</w:t>
          </w:r>
        </w:p>
        <w:p w14:paraId="3A7CB45B" w14:textId="77777777" w:rsidR="00562ADF" w:rsidRPr="00BC22EA" w:rsidRDefault="00970A95" w:rsidP="00400832">
          <w:pPr>
            <w:pStyle w:val="ListNumber2"/>
            <w:numPr>
              <w:ilvl w:val="0"/>
              <w:numId w:val="77"/>
            </w:numPr>
          </w:pPr>
          <w:r w:rsidRPr="00BC22EA">
            <w:t xml:space="preserve">Samples must be collected at a </w:t>
          </w:r>
          <w:r w:rsidR="003B7399" w:rsidRPr="00BC22EA">
            <w:t xml:space="preserve">clearly defined accessible </w:t>
          </w:r>
          <w:r w:rsidRPr="00BC22EA">
            <w:t xml:space="preserve">point immediately following </w:t>
          </w:r>
          <w:r w:rsidR="003B7399" w:rsidRPr="00BC22EA">
            <w:t>the final treatment unit and prior to discharge into receiving waters</w:t>
          </w:r>
          <w:r w:rsidR="00C20D91" w:rsidRPr="00BC22EA">
            <w:t xml:space="preserve"> or leaving the property</w:t>
          </w:r>
          <w:r w:rsidR="003B7399" w:rsidRPr="00BC22EA">
            <w:t>.</w:t>
          </w:r>
        </w:p>
        <w:p w14:paraId="5D1FD881" w14:textId="77777777" w:rsidR="00970A95" w:rsidRPr="00BC22EA" w:rsidRDefault="00970A95" w:rsidP="00400832">
          <w:pPr>
            <w:pStyle w:val="ListNumber2"/>
          </w:pPr>
          <w:r w:rsidRPr="00BC22EA">
            <w:t xml:space="preserve">A minimum of one grab sample </w:t>
          </w:r>
          <w:r w:rsidR="00C1466D" w:rsidRPr="00BC22EA">
            <w:t>must</w:t>
          </w:r>
          <w:r w:rsidRPr="00BC22EA">
            <w:t xml:space="preserve"> be taken w</w:t>
          </w:r>
          <w:r w:rsidR="00A64D43" w:rsidRPr="00BC22EA">
            <w:t xml:space="preserve">ithin 30 minutes of discharge. </w:t>
          </w:r>
          <w:r w:rsidRPr="00BC22EA">
            <w:t>If it is not practicable to take the sample, or to complete the sampling, within the first 30 minutes, sampling must be completed withi</w:t>
          </w:r>
          <w:r w:rsidR="00A64D43" w:rsidRPr="00BC22EA">
            <w:t xml:space="preserve">n the first hour of discharge. </w:t>
          </w:r>
          <w:r w:rsidRPr="00BC22EA">
            <w:t>If sampling is not completed within the first 30 minutes of discharge, the reason must be documented and attached to all required reports and records of the sampling activity.</w:t>
          </w:r>
        </w:p>
        <w:p w14:paraId="29C1B7B6" w14:textId="4CEEB8DF" w:rsidR="00970A95" w:rsidRPr="00C33A30" w:rsidRDefault="00970A95" w:rsidP="00400832">
          <w:pPr>
            <w:pStyle w:val="ListNumber2"/>
          </w:pPr>
          <w:r w:rsidRPr="00C33A30">
            <w:t xml:space="preserve">Sampling for hazardous metals is required to be performed on an annual basis and </w:t>
          </w:r>
          <w:r w:rsidR="00C1466D" w:rsidRPr="00C33A30">
            <w:t>must</w:t>
          </w:r>
          <w:r w:rsidRPr="00C33A30">
            <w:t xml:space="preserve"> be conducted before December 31st</w:t>
          </w:r>
          <w:r w:rsidRPr="008960AB">
            <w:t xml:space="preserve"> of each year.</w:t>
          </w:r>
          <w:r w:rsidR="00F43EFF" w:rsidRPr="008960AB">
            <w:t xml:space="preserve"> </w:t>
          </w:r>
        </w:p>
        <w:p w14:paraId="07B19BB6" w14:textId="6E9C30A7" w:rsidR="0062370B" w:rsidRPr="00BC22EA" w:rsidRDefault="0062370B" w:rsidP="00400832">
          <w:pPr>
            <w:pStyle w:val="ListNumber2"/>
          </w:pPr>
          <w:r w:rsidRPr="00BC22EA">
            <w:t xml:space="preserve">Permittees </w:t>
          </w:r>
          <w:r w:rsidR="00E04C4A" w:rsidRPr="00BC22EA">
            <w:t xml:space="preserve">may </w:t>
          </w:r>
          <w:r w:rsidRPr="00BC22EA">
            <w:t>qualify for a waiver from monitoring requirements for one or more hazardous metal</w:t>
          </w:r>
          <w:r w:rsidR="00E04C4A" w:rsidRPr="00BC22EA">
            <w:t>s</w:t>
          </w:r>
          <w:r w:rsidR="000274B3" w:rsidRPr="00BC22EA">
            <w:t xml:space="preserve">. The permittee must certify that </w:t>
          </w:r>
          <w:r w:rsidRPr="00BC22EA">
            <w:t xml:space="preserve">one of the following </w:t>
          </w:r>
          <w:r w:rsidR="000274B3" w:rsidRPr="00BC22EA">
            <w:t xml:space="preserve">conditions </w:t>
          </w:r>
          <w:r w:rsidR="007D2DF0" w:rsidRPr="00BC22EA">
            <w:t>is</w:t>
          </w:r>
          <w:r w:rsidRPr="00BC22EA">
            <w:t xml:space="preserve"> met. </w:t>
          </w:r>
          <w:r w:rsidR="00207789" w:rsidRPr="00207789">
            <w:t>The criteria under which the waiver is claimed, must also be identified in the SWP3</w:t>
          </w:r>
          <w:r w:rsidR="00207789">
            <w:t xml:space="preserve">. </w:t>
          </w:r>
          <w:r w:rsidRPr="00DE1EB4">
            <w:t>This certification must be completed on a form provided by the executive director.</w:t>
          </w:r>
          <w:r w:rsidR="007C4A0B" w:rsidRPr="00DE1EB4">
            <w:t xml:space="preserve"> </w:t>
          </w:r>
          <w:r w:rsidRPr="00DE1EB4">
            <w:t xml:space="preserve">A new form must be completed during each permit term, </w:t>
          </w:r>
          <w:r w:rsidR="00E04C4A" w:rsidRPr="00DE1EB4">
            <w:t>and</w:t>
          </w:r>
          <w:r w:rsidRPr="00DE1EB4">
            <w:t xml:space="preserve"> prior to the first sampling event that the </w:t>
          </w:r>
          <w:r w:rsidR="00A165CF" w:rsidRPr="00DE1EB4">
            <w:t xml:space="preserve">permittee is seeking to waive. </w:t>
          </w:r>
          <w:r w:rsidRPr="00DE1EB4">
            <w:t xml:space="preserve">The form must be maintained onsite </w:t>
          </w:r>
          <w:r w:rsidR="001D76BB" w:rsidRPr="00DE1EB4">
            <w:t>and be</w:t>
          </w:r>
          <w:r w:rsidRPr="00DE1EB4">
            <w:t xml:space="preserve"> made readily available for review by authorized TCEQ personnel upon request. Waivers may be obtained on a metal by metal basis, or on an outfall by outfall basis</w:t>
          </w:r>
          <w:r w:rsidR="000274B3" w:rsidRPr="00DE1EB4">
            <w:t>.</w:t>
          </w:r>
          <w:r w:rsidR="000274B3" w:rsidRPr="00BC22EA">
            <w:t xml:space="preserve"> Hazardous metals monitoring waivers are effective beginning on the date that the waiver certification is made following submittal of a NOI, and lasting for the duration of the term of this general permit. The permittee will be required to comply with any requirements of a reissued general permit with respect to sampling and waivers, including obtaining a new hazardous metals monitoring </w:t>
          </w:r>
          <w:r w:rsidR="004F1D54">
            <w:t>waiver</w:t>
          </w:r>
          <w:r w:rsidR="000274B3" w:rsidRPr="00BC22EA">
            <w:t>.</w:t>
          </w:r>
          <w:r w:rsidR="00E27305" w:rsidRPr="00BC22EA">
            <w:t xml:space="preserve"> </w:t>
          </w:r>
        </w:p>
        <w:p w14:paraId="43AF3962" w14:textId="77777777" w:rsidR="0062370B" w:rsidRPr="00BC22EA" w:rsidRDefault="0062370B" w:rsidP="00400832">
          <w:pPr>
            <w:pStyle w:val="ListNumber3"/>
            <w:numPr>
              <w:ilvl w:val="0"/>
              <w:numId w:val="78"/>
            </w:numPr>
          </w:pPr>
          <w:r w:rsidRPr="00BC22EA">
            <w:lastRenderedPageBreak/>
            <w:t xml:space="preserve">The permittee certifies that the regulated facility does not use a raw material, produce an intermediate product, or produce a final product that contains one or more of the hazardous metals listed at </w:t>
          </w:r>
          <w:r w:rsidR="00E04C4A" w:rsidRPr="00BC22EA">
            <w:t>Part III.</w:t>
          </w:r>
          <w:r w:rsidRPr="00BC22EA">
            <w:t>B.2 of this permit; or</w:t>
          </w:r>
        </w:p>
        <w:p w14:paraId="34393B25" w14:textId="77777777" w:rsidR="0062370B" w:rsidRPr="00BC22EA" w:rsidRDefault="00F27F03" w:rsidP="00400832">
          <w:pPr>
            <w:pStyle w:val="ListNumber3"/>
          </w:pPr>
          <w:r w:rsidRPr="00BC22EA">
            <w:t>T</w:t>
          </w:r>
          <w:r w:rsidR="0062370B" w:rsidRPr="00BC22EA">
            <w:t>he permittee certifies that any raw materials, intermediate products, or final products that contain one or more hazardous metal</w:t>
          </w:r>
          <w:r w:rsidR="003D1442" w:rsidRPr="00BC22EA">
            <w:t>s</w:t>
          </w:r>
          <w:r w:rsidR="0062370B" w:rsidRPr="00BC22EA">
            <w:t xml:space="preserve"> are never exposed to </w:t>
          </w:r>
          <w:r w:rsidR="006E6F08" w:rsidRPr="00BC22EA">
            <w:t>stormwater</w:t>
          </w:r>
          <w:r w:rsidR="0062370B" w:rsidRPr="00BC22EA">
            <w:t xml:space="preserve"> or runoff</w:t>
          </w:r>
          <w:r w:rsidR="00E04C4A" w:rsidRPr="00BC22EA">
            <w:t>.</w:t>
          </w:r>
          <w:r w:rsidR="0062370B" w:rsidRPr="00BC22EA">
            <w:t xml:space="preserve"> (</w:t>
          </w:r>
          <w:r w:rsidR="00E04C4A" w:rsidRPr="00BC22EA">
            <w:t>F</w:t>
          </w:r>
          <w:r w:rsidR="0062370B" w:rsidRPr="00BC22EA">
            <w:t xml:space="preserve">inal products are not considered to expose hazardous metals to </w:t>
          </w:r>
          <w:r w:rsidR="006E6F08" w:rsidRPr="00BC22EA">
            <w:t>stormwater</w:t>
          </w:r>
          <w:r w:rsidR="0062370B" w:rsidRPr="00BC22EA">
            <w:t xml:space="preserve"> or runoff if the final product is designed for outdoor use, unless it is a product that could be transported by </w:t>
          </w:r>
          <w:r w:rsidR="006E6F08" w:rsidRPr="00BC22EA">
            <w:t>stormwater</w:t>
          </w:r>
          <w:r w:rsidR="0062370B" w:rsidRPr="00BC22EA">
            <w:t xml:space="preserve"> runoff or the final product will be used as a material or intermediate product</w:t>
          </w:r>
          <w:r w:rsidR="00E04C4A" w:rsidRPr="00BC22EA">
            <w:t>.</w:t>
          </w:r>
          <w:r w:rsidR="0062370B" w:rsidRPr="00BC22EA">
            <w:t>); or</w:t>
          </w:r>
        </w:p>
        <w:p w14:paraId="129ECC6B" w14:textId="77777777" w:rsidR="00BC22EA" w:rsidRDefault="00F27F03" w:rsidP="00400832">
          <w:pPr>
            <w:pStyle w:val="ListNumber3"/>
          </w:pPr>
          <w:r w:rsidRPr="00BC22EA">
            <w:t>T</w:t>
          </w:r>
          <w:r w:rsidR="000767FE" w:rsidRPr="00BC22EA">
            <w:t xml:space="preserve">he permittee collects a sample from the first available discharge from the facility occurring during </w:t>
          </w:r>
          <w:r w:rsidR="00E04C4A" w:rsidRPr="00BC22EA">
            <w:t xml:space="preserve">the </w:t>
          </w:r>
          <w:r w:rsidR="000767FE" w:rsidRPr="00BC22EA">
            <w:t xml:space="preserve">first sampling period of this permit, analyzes the sample for one or more of the listed hazardous metals, and the results indicate that the metal(s) is/are not present in detectable levels. Test methods used must be sensitive enough to detect the parameters at the MAL specified </w:t>
          </w:r>
          <w:r w:rsidR="000A222B" w:rsidRPr="00BC22EA">
            <w:t xml:space="preserve">in </w:t>
          </w:r>
          <w:r w:rsidR="00E04C4A" w:rsidRPr="00BC22EA">
            <w:t>the table above.</w:t>
          </w:r>
          <w:r w:rsidR="00A165CF" w:rsidRPr="00BC22EA">
            <w:t xml:space="preserve"> </w:t>
          </w:r>
          <w:r w:rsidR="0062370B" w:rsidRPr="00BC22EA">
            <w:t>When an analysis of a discharge sample for any of the parameters indicate no detectable levels above the MAL, and the test method detection level is as sensitive as the specified MAL, a value of zero (0) may be used for that measurement, and a waiver may be obtained for the duration of the permit term following the sample collection, for any hazardous metal that measures zero (0).</w:t>
          </w:r>
          <w:r w:rsidR="00E04C4A" w:rsidRPr="00BC22EA">
            <w:t xml:space="preserve"> Results of sampling must be retained on site and available for review by TCEQ personnel.</w:t>
          </w:r>
        </w:p>
        <w:p w14:paraId="7114CD68" w14:textId="77777777" w:rsidR="00925AA6" w:rsidRPr="00BC22EA" w:rsidRDefault="00925AA6" w:rsidP="00400832">
          <w:pPr>
            <w:pStyle w:val="ListNumber"/>
          </w:pPr>
          <w:r w:rsidRPr="00BC22EA">
            <w:t>Quarterly Visual Monitoring</w:t>
          </w:r>
        </w:p>
        <w:p w14:paraId="4618F2E3" w14:textId="790356CC" w:rsidR="009E6CF7" w:rsidRPr="00BC22EA" w:rsidRDefault="006E6F08" w:rsidP="00400832">
          <w:pPr>
            <w:pStyle w:val="ListContinue"/>
          </w:pPr>
          <w:r w:rsidRPr="00BC22EA">
            <w:t>Stormwater</w:t>
          </w:r>
          <w:r w:rsidR="00925AA6" w:rsidRPr="00BC22EA">
            <w:t xml:space="preserve"> discharges from each outfall authorized by this general permit must be visually examined on a quarterly basis. Monitoring must be conducted during the normal hours of operation for the facility and samples must be collected in a clean, clear, glass or plastic container and examined in a well</w:t>
          </w:r>
          <w:r w:rsidR="00C35842">
            <w:t>-</w:t>
          </w:r>
          <w:r w:rsidR="00925AA6" w:rsidRPr="00BC22EA">
            <w:t>lit area.</w:t>
          </w:r>
        </w:p>
        <w:p w14:paraId="462ABBB7" w14:textId="77777777" w:rsidR="00925AA6" w:rsidRPr="00BC22EA" w:rsidRDefault="00925AA6" w:rsidP="00400832">
          <w:pPr>
            <w:pStyle w:val="ListNumber2"/>
            <w:numPr>
              <w:ilvl w:val="0"/>
              <w:numId w:val="79"/>
            </w:numPr>
          </w:pPr>
          <w:r w:rsidRPr="00BC22EA">
            <w:t>Findings must document observation of the following:</w:t>
          </w:r>
        </w:p>
        <w:p w14:paraId="70703FBB" w14:textId="77777777" w:rsidR="00925AA6" w:rsidRPr="00BC22EA" w:rsidRDefault="00925AA6" w:rsidP="00400832">
          <w:pPr>
            <w:pStyle w:val="ListNumber3"/>
            <w:numPr>
              <w:ilvl w:val="0"/>
              <w:numId w:val="80"/>
            </w:numPr>
          </w:pPr>
          <w:r w:rsidRPr="00BC22EA">
            <w:t>Color;</w:t>
          </w:r>
        </w:p>
        <w:p w14:paraId="1D49EA7D" w14:textId="77777777" w:rsidR="00925AA6" w:rsidRPr="00BC22EA" w:rsidRDefault="00925AA6" w:rsidP="00400832">
          <w:pPr>
            <w:pStyle w:val="ListNumber3"/>
          </w:pPr>
          <w:r w:rsidRPr="00BC22EA">
            <w:t>Clarity</w:t>
          </w:r>
          <w:r w:rsidR="007A4D56" w:rsidRPr="00BC22EA">
            <w:t>;</w:t>
          </w:r>
        </w:p>
        <w:p w14:paraId="37B57322" w14:textId="77777777" w:rsidR="00925AA6" w:rsidRPr="00BC22EA" w:rsidRDefault="00925AA6" w:rsidP="00400832">
          <w:pPr>
            <w:pStyle w:val="ListNumber3"/>
          </w:pPr>
          <w:r w:rsidRPr="00BC22EA">
            <w:t>Floating solids;</w:t>
          </w:r>
        </w:p>
        <w:p w14:paraId="470EC242" w14:textId="77777777" w:rsidR="00925AA6" w:rsidRPr="00BC22EA" w:rsidRDefault="00925AA6" w:rsidP="00400832">
          <w:pPr>
            <w:pStyle w:val="ListNumber3"/>
          </w:pPr>
          <w:r w:rsidRPr="00BC22EA">
            <w:t>Settled solids</w:t>
          </w:r>
          <w:r w:rsidR="007A4D56" w:rsidRPr="00BC22EA">
            <w:t>;</w:t>
          </w:r>
        </w:p>
        <w:p w14:paraId="1C3F2ED4" w14:textId="77777777" w:rsidR="00925AA6" w:rsidRPr="00BC22EA" w:rsidRDefault="00925AA6" w:rsidP="00400832">
          <w:pPr>
            <w:pStyle w:val="ListNumber3"/>
          </w:pPr>
          <w:r w:rsidRPr="00BC22EA">
            <w:t xml:space="preserve">Suspended solids; </w:t>
          </w:r>
        </w:p>
        <w:p w14:paraId="3EF42E1E" w14:textId="77777777" w:rsidR="00925AA6" w:rsidRPr="00BC22EA" w:rsidRDefault="00925AA6" w:rsidP="00400832">
          <w:pPr>
            <w:pStyle w:val="ListNumber3"/>
          </w:pPr>
          <w:r w:rsidRPr="00BC22EA">
            <w:t>Foam;</w:t>
          </w:r>
        </w:p>
        <w:p w14:paraId="389A0A18" w14:textId="77777777" w:rsidR="00925AA6" w:rsidRPr="00BC22EA" w:rsidRDefault="00925AA6" w:rsidP="00400832">
          <w:pPr>
            <w:pStyle w:val="ListNumber3"/>
          </w:pPr>
          <w:r w:rsidRPr="00BC22EA">
            <w:t>Oil sheen;</w:t>
          </w:r>
        </w:p>
        <w:p w14:paraId="0882025B" w14:textId="77777777" w:rsidR="00925AA6" w:rsidRPr="00BC22EA" w:rsidRDefault="00925AA6" w:rsidP="00400832">
          <w:pPr>
            <w:pStyle w:val="ListNumber3"/>
          </w:pPr>
          <w:r w:rsidRPr="00BC22EA">
            <w:t xml:space="preserve">Other obvious indicators of </w:t>
          </w:r>
          <w:r w:rsidR="006E6F08" w:rsidRPr="00BC22EA">
            <w:t>stormwater</w:t>
          </w:r>
          <w:r w:rsidRPr="00BC22EA">
            <w:t xml:space="preserve"> pollution; and</w:t>
          </w:r>
        </w:p>
        <w:p w14:paraId="7EA1030B" w14:textId="77777777" w:rsidR="00925AA6" w:rsidRPr="00BC22EA" w:rsidRDefault="00925AA6" w:rsidP="00400832">
          <w:pPr>
            <w:pStyle w:val="ListNumber3"/>
            <w:rPr>
              <w:szCs w:val="22"/>
            </w:rPr>
          </w:pPr>
          <w:r w:rsidRPr="00BC22EA">
            <w:t>Noticeable odors.</w:t>
          </w:r>
        </w:p>
        <w:p w14:paraId="01FEC0B9" w14:textId="77777777" w:rsidR="00925AA6" w:rsidRPr="00BC22EA" w:rsidRDefault="00925AA6" w:rsidP="00400832">
          <w:pPr>
            <w:pStyle w:val="ListContinue2"/>
          </w:pPr>
          <w:r w:rsidRPr="00BC22EA">
            <w:t>Some examinations, such as an examination for odor and foam, may be conducted immediately following collection of the sample.</w:t>
          </w:r>
        </w:p>
        <w:p w14:paraId="25343946" w14:textId="335AC5B2" w:rsidR="00F27F03" w:rsidRPr="00BC22EA" w:rsidRDefault="00925AA6" w:rsidP="00400832">
          <w:pPr>
            <w:pStyle w:val="ListNumber2"/>
          </w:pPr>
          <w:r w:rsidRPr="00BC22EA">
            <w:t>All examinations must be performed in a manner that ensures the sample is representative of the discharge.</w:t>
          </w:r>
          <w:r w:rsidR="002479E4">
            <w:t xml:space="preserve"> </w:t>
          </w:r>
          <w:r w:rsidR="002479E4" w:rsidRPr="002479E4">
            <w:t>If this is not possible, then the report must include the reason.</w:t>
          </w:r>
        </w:p>
        <w:p w14:paraId="5F85F185" w14:textId="00C29569" w:rsidR="00925AA6" w:rsidRPr="00BC22EA" w:rsidRDefault="00F27F03" w:rsidP="00400832">
          <w:pPr>
            <w:pStyle w:val="ListNumber2"/>
            <w:keepNext/>
          </w:pPr>
          <w:r w:rsidRPr="00BC22EA">
            <w:lastRenderedPageBreak/>
            <w:t xml:space="preserve">Records of quarterly visual monitoring must </w:t>
          </w:r>
          <w:r w:rsidR="00C35842">
            <w:t xml:space="preserve">be </w:t>
          </w:r>
          <w:r w:rsidR="00E27305" w:rsidRPr="00BC22EA">
            <w:t xml:space="preserve">kept in the SWP3 and </w:t>
          </w:r>
          <w:r w:rsidRPr="00BC22EA">
            <w:t>include the following information:</w:t>
          </w:r>
        </w:p>
        <w:p w14:paraId="308F69E9" w14:textId="77777777" w:rsidR="00F27F03" w:rsidRPr="00BC22EA" w:rsidRDefault="00F27F03" w:rsidP="00400832">
          <w:pPr>
            <w:pStyle w:val="ListNumber3"/>
            <w:numPr>
              <w:ilvl w:val="0"/>
              <w:numId w:val="81"/>
            </w:numPr>
          </w:pPr>
          <w:r w:rsidRPr="00BC22EA">
            <w:t>Sample location;</w:t>
          </w:r>
        </w:p>
        <w:p w14:paraId="08DEED62" w14:textId="77777777" w:rsidR="00F27F03" w:rsidRPr="00BC22EA" w:rsidRDefault="00F27F03" w:rsidP="00400832">
          <w:pPr>
            <w:pStyle w:val="ListNumber3"/>
          </w:pPr>
          <w:r w:rsidRPr="00BC22EA">
            <w:t>Date and time samples were collected and examined;</w:t>
          </w:r>
        </w:p>
        <w:p w14:paraId="6B4584FE" w14:textId="77777777" w:rsidR="00F27F03" w:rsidRPr="00BC22EA" w:rsidRDefault="00F27F03" w:rsidP="00400832">
          <w:pPr>
            <w:pStyle w:val="ListNumber3"/>
          </w:pPr>
          <w:r w:rsidRPr="00BC22EA">
            <w:t>Names of personnel who collected and examined the samples;</w:t>
          </w:r>
        </w:p>
        <w:p w14:paraId="650BED8C" w14:textId="77777777" w:rsidR="00F27F03" w:rsidRPr="00BC22EA" w:rsidRDefault="00F27F03" w:rsidP="00400832">
          <w:pPr>
            <w:pStyle w:val="ListNumber3"/>
          </w:pPr>
          <w:r w:rsidRPr="00BC22EA">
            <w:t>Nature of the discharge (e.g., runoff, snow melt);</w:t>
          </w:r>
        </w:p>
        <w:p w14:paraId="15A4F5A5" w14:textId="77777777" w:rsidR="00F27F03" w:rsidRPr="00BC22EA" w:rsidRDefault="00F27F03" w:rsidP="00400832">
          <w:pPr>
            <w:pStyle w:val="ListNumber3"/>
          </w:pPr>
          <w:r w:rsidRPr="00BC22EA">
            <w:t>Result of the observations;</w:t>
          </w:r>
        </w:p>
        <w:p w14:paraId="74706FFD" w14:textId="77777777" w:rsidR="00F27F03" w:rsidRPr="00BC22EA" w:rsidRDefault="00F27F03" w:rsidP="00400832">
          <w:pPr>
            <w:pStyle w:val="ListNumber3"/>
          </w:pPr>
          <w:r w:rsidRPr="00BC22EA">
            <w:t>Probable sources of any observed contamination;</w:t>
          </w:r>
        </w:p>
        <w:p w14:paraId="18852DD4" w14:textId="77777777" w:rsidR="00F27F03" w:rsidRPr="00BC22EA" w:rsidRDefault="00F27F03" w:rsidP="00400832">
          <w:pPr>
            <w:pStyle w:val="ListNumber3"/>
          </w:pPr>
          <w:r w:rsidRPr="00BC22EA">
            <w:t xml:space="preserve">Visual quality of the </w:t>
          </w:r>
          <w:r w:rsidR="006E6F08" w:rsidRPr="00BC22EA">
            <w:t>stormwater</w:t>
          </w:r>
          <w:r w:rsidRPr="00BC22EA">
            <w:t xml:space="preserve"> discharge; and</w:t>
          </w:r>
        </w:p>
        <w:p w14:paraId="483BEDAA" w14:textId="77777777" w:rsidR="00F27F03" w:rsidRPr="00BC22EA" w:rsidRDefault="00F27F03" w:rsidP="00400832">
          <w:pPr>
            <w:pStyle w:val="ListNumber3"/>
          </w:pPr>
          <w:r w:rsidRPr="00BC22EA">
            <w:t>The reason why any samples were not collected within the first 30 minutes of discharge.</w:t>
          </w:r>
        </w:p>
        <w:p w14:paraId="3E196FD2" w14:textId="77777777" w:rsidR="00697A44" w:rsidRPr="00BC22EA" w:rsidRDefault="00697A44" w:rsidP="00400832">
          <w:pPr>
            <w:pStyle w:val="ListNumber2"/>
          </w:pPr>
          <w:r w:rsidRPr="00BC22EA">
            <w:t xml:space="preserve">Results of the examination must be reviewed by the </w:t>
          </w:r>
          <w:r w:rsidR="006E6F08" w:rsidRPr="00BC22EA">
            <w:t>stormwater</w:t>
          </w:r>
          <w:r w:rsidRPr="00BC22EA">
            <w:t xml:space="preserve"> pollution prevention team. The team must investigate and identify probable sources of any observed </w:t>
          </w:r>
          <w:r w:rsidR="006E6F08" w:rsidRPr="00BC22EA">
            <w:t>stormwater</w:t>
          </w:r>
          <w:r w:rsidRPr="00BC22EA">
            <w:t xml:space="preserve"> contamination. The SWP3 must be modified as necessary to address the conclusions of the team</w:t>
          </w:r>
          <w:r w:rsidR="007A4D56" w:rsidRPr="00BC22EA">
            <w:t>.</w:t>
          </w:r>
        </w:p>
        <w:p w14:paraId="70E395B1" w14:textId="77777777" w:rsidR="00BA2BC8" w:rsidRPr="00BC22EA" w:rsidRDefault="00697A44" w:rsidP="00400832">
          <w:pPr>
            <w:pStyle w:val="ListNumber"/>
          </w:pPr>
          <w:r w:rsidRPr="00BC22EA">
            <w:t xml:space="preserve">Monitoring Requirements for </w:t>
          </w:r>
          <w:r w:rsidR="006E6F08" w:rsidRPr="00BC22EA">
            <w:t>Stormwater</w:t>
          </w:r>
          <w:r w:rsidRPr="00BC22EA">
            <w:t xml:space="preserve"> Asso</w:t>
          </w:r>
          <w:r w:rsidR="007A4D56" w:rsidRPr="00BC22EA">
            <w:t>ciated with Industrial Activity</w:t>
          </w:r>
        </w:p>
        <w:p w14:paraId="65F28F4D" w14:textId="77777777" w:rsidR="00BA2BC8" w:rsidRPr="00BC22EA" w:rsidRDefault="00BA2BC8" w:rsidP="00400832">
          <w:pPr>
            <w:pStyle w:val="ListContinue"/>
          </w:pPr>
          <w:r w:rsidRPr="00BC22EA">
            <w:t>For purposes of this general permit</w:t>
          </w:r>
          <w:r w:rsidR="00555C59" w:rsidRPr="00BC22EA">
            <w:t>, a qualifying storm event i</w:t>
          </w:r>
          <w:r w:rsidRPr="00BC22EA">
            <w:t>s an event that results in a discharge from the permitted facility.</w:t>
          </w:r>
          <w:r w:rsidR="007C4A0B" w:rsidRPr="00BC22EA">
            <w:t xml:space="preserve"> </w:t>
          </w:r>
          <w:r w:rsidRPr="00BC22EA">
            <w:t>For qualifying storm events, the following requirements apply:</w:t>
          </w:r>
        </w:p>
        <w:p w14:paraId="25705B4F" w14:textId="18D9255D" w:rsidR="00B7385D" w:rsidRPr="00BC22EA" w:rsidRDefault="00390BD9" w:rsidP="00400832">
          <w:pPr>
            <w:pStyle w:val="ListNumber2"/>
            <w:numPr>
              <w:ilvl w:val="0"/>
              <w:numId w:val="82"/>
            </w:numPr>
          </w:pPr>
          <w:r w:rsidRPr="00BC22EA">
            <w:t>Discharge m</w:t>
          </w:r>
          <w:r w:rsidR="00663008" w:rsidRPr="00BC22EA">
            <w:t xml:space="preserve">onitoring, sampling, examinations and inspections </w:t>
          </w:r>
          <w:r w:rsidR="002479E4">
            <w:t xml:space="preserve">of stormwater discharges that are </w:t>
          </w:r>
          <w:r w:rsidR="00663008" w:rsidRPr="00BC22EA">
            <w:t xml:space="preserve">required </w:t>
          </w:r>
          <w:r w:rsidRPr="00BC22EA">
            <w:t>by</w:t>
          </w:r>
          <w:r w:rsidR="00663008" w:rsidRPr="00BC22EA">
            <w:t xml:space="preserve"> this general permit must be cond</w:t>
          </w:r>
          <w:r w:rsidR="00630E55" w:rsidRPr="00BC22EA">
            <w:t>ucted on discharges of a measur</w:t>
          </w:r>
          <w:r w:rsidR="00663008" w:rsidRPr="00BC22EA">
            <w:t xml:space="preserve">able </w:t>
          </w:r>
          <w:r w:rsidR="00B7385D" w:rsidRPr="00BC22EA">
            <w:t>storm event that results in an actual discharge from the site, and that follows the preceding measurable storm event by at least 72 ho</w:t>
          </w:r>
          <w:r w:rsidR="00240F8C" w:rsidRPr="00BC22EA">
            <w:t xml:space="preserve">urs (3 days). </w:t>
          </w:r>
          <w:r w:rsidR="00B7385D" w:rsidRPr="00BC22EA">
            <w:t xml:space="preserve">The 72-hour storm interval does not apply if the permittee is able to document </w:t>
          </w:r>
          <w:r w:rsidR="007826BF">
            <w:t xml:space="preserve">in the SWP3 </w:t>
          </w:r>
          <w:r w:rsidR="00B7385D" w:rsidRPr="00BC22EA">
            <w:t>that less than a 72-hour (3-day) interval is representative for local qualifying storm eve</w:t>
          </w:r>
          <w:r w:rsidR="00240F8C" w:rsidRPr="00BC22EA">
            <w:t>nt</w:t>
          </w:r>
          <w:r w:rsidR="0075404A" w:rsidRPr="00BC22EA">
            <w:t>s</w:t>
          </w:r>
          <w:r w:rsidR="00240F8C" w:rsidRPr="00BC22EA">
            <w:t xml:space="preserve"> during the sampling period. </w:t>
          </w:r>
          <w:r w:rsidR="00B7385D" w:rsidRPr="00BC22EA">
            <w:t>In the case of snowmelt, the monitoring must be performed at a time when a measurable discharge occurs at the site.</w:t>
          </w:r>
        </w:p>
        <w:p w14:paraId="7B95886A" w14:textId="77777777" w:rsidR="007826BF" w:rsidRDefault="007826BF">
          <w:pPr>
            <w:pStyle w:val="ListNumber2"/>
          </w:pPr>
          <w:r>
            <w:t>Adverse Conditions.</w:t>
          </w:r>
        </w:p>
        <w:p w14:paraId="626BB379" w14:textId="7A85D6FC" w:rsidR="00B7385D" w:rsidRDefault="00B7385D" w:rsidP="00400832">
          <w:pPr>
            <w:pStyle w:val="ListNumber3"/>
            <w:numPr>
              <w:ilvl w:val="0"/>
              <w:numId w:val="111"/>
            </w:numPr>
          </w:pPr>
          <w:r w:rsidRPr="00BC22EA">
            <w:t xml:space="preserve">Requirements to sample, inspect, examine or otherwise monitor </w:t>
          </w:r>
          <w:r w:rsidR="006E6F08" w:rsidRPr="00BC22EA">
            <w:t>stormwater</w:t>
          </w:r>
          <w:r w:rsidRPr="00BC22EA">
            <w:t xml:space="preserve"> discharges within a prescribed monitoring period may be temporarily suspended for adverse weather conditions. Adverse weather conditions are conditions that are either dangerous to personnel (e</w:t>
          </w:r>
          <w:r w:rsidR="000D7A88">
            <w:t>.g., high wind, excessive light</w:t>
          </w:r>
          <w:r w:rsidRPr="00BC22EA">
            <w:t xml:space="preserve">ning) or weather conditions that prohibit access to a discharge (e.g., flooding, freezing conditions, extended periods of drought). Adverse conditions that result in the temporary suspension of a permit requirement to sample, inspect, examine, or otherwise monitor </w:t>
          </w:r>
          <w:r w:rsidR="006E6F08" w:rsidRPr="00BC22EA">
            <w:t>stormwater</w:t>
          </w:r>
          <w:r w:rsidRPr="00BC22EA">
            <w:t xml:space="preserve"> discharges must be documented and included as part of the SWP3. Documentation shall include the date, time, names of personnel that witnessed the adverse condition, and the nature of the adverse condition.</w:t>
          </w:r>
        </w:p>
        <w:p w14:paraId="1E97C88A" w14:textId="77777777" w:rsidR="00F73BBF" w:rsidRDefault="00F73BBF">
          <w:pPr>
            <w:pStyle w:val="ListNumber3"/>
          </w:pPr>
          <w:r>
            <w:t xml:space="preserve">Monitoring Waivers. When monitoring is temporarily suspended due to adverse conditions, that monitoring must be conducted at the next representative rain event or in the next monitoring period, whichever comes </w:t>
          </w:r>
          <w:r>
            <w:lastRenderedPageBreak/>
            <w:t>first, in addition to any monitoring required for that period. If the temporarily suspended monitoring requirement cannot be fulfilled during the next monitoring period due to continued adverse conditions, then it is permanently waived for both monitoring periods.</w:t>
          </w:r>
        </w:p>
        <w:p w14:paraId="33953707" w14:textId="4A861131" w:rsidR="00F73BBF" w:rsidRPr="00BC22EA" w:rsidRDefault="00F73BBF" w:rsidP="00400832">
          <w:pPr>
            <w:pStyle w:val="ListNumber3"/>
          </w:pPr>
          <w:r>
            <w:t xml:space="preserve">The SWP3 must include records of </w:t>
          </w:r>
          <w:r w:rsidR="00D62E31">
            <w:t xml:space="preserve">the reasons </w:t>
          </w:r>
          <w:r>
            <w:t>why monitoring was temporarily suspended due to adverse conditions</w:t>
          </w:r>
          <w:r w:rsidR="001729AD">
            <w:t>.</w:t>
          </w:r>
        </w:p>
        <w:p w14:paraId="58D117A0" w14:textId="0026F156" w:rsidR="00B65278" w:rsidRPr="00BC22EA" w:rsidRDefault="008D4433" w:rsidP="00400832">
          <w:pPr>
            <w:pStyle w:val="ListNumber2"/>
          </w:pPr>
          <w:r w:rsidRPr="00BC22EA">
            <w:t xml:space="preserve">The permittee </w:t>
          </w:r>
          <w:r w:rsidR="00A41340" w:rsidRPr="00BC22EA">
            <w:t>shall</w:t>
          </w:r>
          <w:r w:rsidRPr="00BC22EA">
            <w:t xml:space="preserve"> maintain a rain gauge onsite or use a rain gauge located in the immediate vicinity of the site in order to determine when a </w:t>
          </w:r>
          <w:r w:rsidR="0075404A" w:rsidRPr="00BC22EA">
            <w:t xml:space="preserve">qualifying </w:t>
          </w:r>
          <w:r w:rsidRPr="00BC22EA">
            <w:t>storm event occurs. The rain gauge must be monitored a minimum of once per week</w:t>
          </w:r>
          <w:r w:rsidR="006873AB">
            <w:t>, and once per day during storm events</w:t>
          </w:r>
          <w:r w:rsidRPr="00BC22EA">
            <w:t xml:space="preserve">. Records of the date and rainfall total must be retained onsite </w:t>
          </w:r>
          <w:r w:rsidR="0092080D" w:rsidRPr="00BC22EA">
            <w:t xml:space="preserve">and </w:t>
          </w:r>
          <w:r w:rsidRPr="00BC22EA">
            <w:t>made readily available for review</w:t>
          </w:r>
          <w:r w:rsidR="00E64667" w:rsidRPr="00BC22EA">
            <w:t xml:space="preserve"> for a minimum of </w:t>
          </w:r>
          <w:r w:rsidR="003D1442" w:rsidRPr="00BC22EA">
            <w:t xml:space="preserve">five </w:t>
          </w:r>
          <w:r w:rsidR="00E64667" w:rsidRPr="00BC22EA">
            <w:t>years</w:t>
          </w:r>
          <w:r w:rsidRPr="00BC22EA">
            <w:t xml:space="preserve">. </w:t>
          </w:r>
          <w:r w:rsidR="0092080D" w:rsidRPr="00BC22EA">
            <w:t xml:space="preserve">If there is no rain during a given week, the permittee shall record a zero rainfall total or no rain for the week. </w:t>
          </w:r>
          <w:r w:rsidR="006873AB">
            <w:t>M</w:t>
          </w:r>
          <w:r w:rsidRPr="00BC22EA">
            <w:t xml:space="preserve">onitoring and recordkeeping </w:t>
          </w:r>
          <w:r w:rsidR="006873AB">
            <w:t xml:space="preserve">of the onsite rain </w:t>
          </w:r>
          <w:r w:rsidR="002F5317">
            <w:t>gauge</w:t>
          </w:r>
          <w:r w:rsidR="006873AB">
            <w:t xml:space="preserve">, representative weather station, or the </w:t>
          </w:r>
          <w:r w:rsidR="002F5317">
            <w:t>alternative</w:t>
          </w:r>
          <w:r w:rsidR="006873AB">
            <w:t xml:space="preserve"> means of compliance</w:t>
          </w:r>
          <w:r w:rsidR="002F5317">
            <w:t xml:space="preserve"> </w:t>
          </w:r>
          <w:r w:rsidRPr="00BC22EA">
            <w:t xml:space="preserve">may be temporarily suspended during a given monitoring period if a </w:t>
          </w:r>
          <w:r w:rsidR="0075404A" w:rsidRPr="00BC22EA">
            <w:t xml:space="preserve">qualifying </w:t>
          </w:r>
          <w:r w:rsidRPr="00BC22EA">
            <w:t xml:space="preserve">storm event has occurred and the required sampling </w:t>
          </w:r>
          <w:r w:rsidR="002F5317">
            <w:t xml:space="preserve">and </w:t>
          </w:r>
          <w:r w:rsidRPr="00BC22EA">
            <w:t xml:space="preserve">analyses </w:t>
          </w:r>
          <w:r w:rsidR="002F5317">
            <w:t xml:space="preserve">or visual </w:t>
          </w:r>
          <w:r w:rsidR="00EC19FE">
            <w:t>observations</w:t>
          </w:r>
          <w:r w:rsidR="002F5317">
            <w:t xml:space="preserve"> </w:t>
          </w:r>
          <w:r w:rsidRPr="00BC22EA">
            <w:t>ha</w:t>
          </w:r>
          <w:r w:rsidR="00CB3E4B" w:rsidRPr="00BC22EA">
            <w:t>ve</w:t>
          </w:r>
          <w:r w:rsidRPr="00BC22EA">
            <w:t xml:space="preserve"> been performed</w:t>
          </w:r>
          <w:r w:rsidR="00CB3E4B" w:rsidRPr="00BC22EA">
            <w:t>.</w:t>
          </w:r>
        </w:p>
        <w:p w14:paraId="688439D4" w14:textId="77777777" w:rsidR="00F6372F" w:rsidRPr="00BC22EA" w:rsidRDefault="00F6372F" w:rsidP="00400832">
          <w:pPr>
            <w:pStyle w:val="ListNumber"/>
          </w:pPr>
          <w:r w:rsidRPr="00BC22EA">
            <w:t>Monitoring at Substantially Similar Stormwater Outfalls</w:t>
          </w:r>
        </w:p>
        <w:p w14:paraId="26823829" w14:textId="77777777" w:rsidR="00333FCB" w:rsidRDefault="00F6372F">
          <w:pPr>
            <w:pStyle w:val="ListNumber2"/>
            <w:numPr>
              <w:ilvl w:val="0"/>
              <w:numId w:val="83"/>
            </w:numPr>
          </w:pPr>
          <w:r w:rsidRPr="00BC22EA">
            <w:t>Monitoring requirements apply to all outfalls authorized by this permit unless the permittee establishes substantially simi</w:t>
          </w:r>
          <w:r w:rsidR="00581CC5" w:rsidRPr="00BC22EA">
            <w:t xml:space="preserve">lar outfalls. </w:t>
          </w:r>
          <w:r w:rsidRPr="00BC22EA">
            <w:t xml:space="preserve">If discharges of stormwater through two or more outfalls are substantially the same, then sampling and monitoring may be conducted at only one of those outfalls and the results may be reported as representative of the discharge from the substantially similar outfall. </w:t>
          </w:r>
        </w:p>
        <w:p w14:paraId="33AB58A7" w14:textId="0136986D" w:rsidR="00F6372F" w:rsidRPr="00BC22EA" w:rsidRDefault="00F6372F" w:rsidP="00400832">
          <w:pPr>
            <w:pStyle w:val="ListContinue2"/>
          </w:pPr>
          <w:r w:rsidRPr="00BC22EA">
            <w:t>Before results may be submitted as representative of discharges from substantially similar stormwater outfalls, the SWP3 must include a description of outfall locations and provide a detailed justification of why the discharge qualities from the outfalls are substantially similar. To determine if outfalls are substantially similar, the following characteristics of each outfall must be compared:</w:t>
          </w:r>
        </w:p>
        <w:p w14:paraId="4F74C1F4" w14:textId="77777777" w:rsidR="00F6372F" w:rsidRPr="00BC22EA" w:rsidRDefault="00F6372F" w:rsidP="00400832">
          <w:pPr>
            <w:pStyle w:val="ListNumber3"/>
            <w:numPr>
              <w:ilvl w:val="0"/>
              <w:numId w:val="84"/>
            </w:numPr>
          </w:pPr>
          <w:r w:rsidRPr="00BC22EA">
            <w:t xml:space="preserve">the industrial activities that occur in the drainage area </w:t>
          </w:r>
          <w:r w:rsidR="007A4D56" w:rsidRPr="00BC22EA">
            <w:t>of</w:t>
          </w:r>
          <w:r w:rsidRPr="00BC22EA">
            <w:t xml:space="preserve"> each outfall;</w:t>
          </w:r>
        </w:p>
        <w:p w14:paraId="4D418BD3" w14:textId="77777777" w:rsidR="00F6372F" w:rsidRPr="00BC22EA" w:rsidRDefault="00F6372F" w:rsidP="00400832">
          <w:pPr>
            <w:pStyle w:val="ListNumber3"/>
          </w:pPr>
          <w:r w:rsidRPr="00BC22EA">
            <w:t xml:space="preserve">significant materials stored or handled within the drainage area </w:t>
          </w:r>
          <w:r w:rsidR="007A4D56" w:rsidRPr="00BC22EA">
            <w:t>of</w:t>
          </w:r>
          <w:r w:rsidRPr="00BC22EA">
            <w:t xml:space="preserve"> each outfall; and</w:t>
          </w:r>
        </w:p>
        <w:p w14:paraId="669E03DA" w14:textId="77777777" w:rsidR="00F6372F" w:rsidRPr="00BC22EA" w:rsidRDefault="00F6372F" w:rsidP="00400832">
          <w:pPr>
            <w:pStyle w:val="ListNumber3"/>
          </w:pPr>
          <w:r w:rsidRPr="00BC22EA">
            <w:t>the management practices and pollution control structures that occur within the drainage area of each outfall.</w:t>
          </w:r>
        </w:p>
        <w:p w14:paraId="5706B91B" w14:textId="1025D21D" w:rsidR="00F6372F" w:rsidRPr="00BC22EA" w:rsidRDefault="00F6372F" w:rsidP="00400832">
          <w:pPr>
            <w:pStyle w:val="ListNumber2"/>
          </w:pPr>
          <w:r w:rsidRPr="00BC22EA">
            <w:t xml:space="preserve">Monitoring at substantially similar outfalls must be performed at each substantially similar outfall on a rotating basis throughout the period of </w:t>
          </w:r>
          <w:r w:rsidR="00D0452E">
            <w:t>authorization</w:t>
          </w:r>
          <w:r w:rsidRPr="00BC22EA">
            <w:t xml:space="preserve"> under this general permit.</w:t>
          </w:r>
        </w:p>
        <w:p w14:paraId="37F824C4" w14:textId="3F49E4EE" w:rsidR="00F6372F" w:rsidRDefault="00F6372F" w:rsidP="00400832">
          <w:pPr>
            <w:pStyle w:val="ListNumber2"/>
          </w:pPr>
          <w:r w:rsidRPr="00BC22EA">
            <w:t>Substantially similar outfalls may not be established for any outfalls that include non-stormwater discharges.</w:t>
          </w:r>
        </w:p>
        <w:p w14:paraId="45A73284" w14:textId="77777777" w:rsidR="00E27305" w:rsidRPr="00BC22EA" w:rsidRDefault="00E27305" w:rsidP="00953E09">
          <w:pPr>
            <w:pStyle w:val="ListNumber"/>
            <w:keepNext/>
          </w:pPr>
          <w:r w:rsidRPr="00BC22EA">
            <w:t>Inactive Status</w:t>
          </w:r>
        </w:p>
        <w:p w14:paraId="3A49DE73" w14:textId="4D90167B" w:rsidR="00E647CD" w:rsidRPr="00BC22EA" w:rsidRDefault="00E647CD" w:rsidP="00400832">
          <w:pPr>
            <w:pStyle w:val="ListNumber2"/>
            <w:numPr>
              <w:ilvl w:val="0"/>
              <w:numId w:val="85"/>
            </w:numPr>
          </w:pPr>
          <w:r w:rsidRPr="00BC22EA">
            <w:t xml:space="preserve">A permittee with an inactive </w:t>
          </w:r>
          <w:r w:rsidR="00E736A8" w:rsidRPr="00BC22EA">
            <w:t xml:space="preserve">industrial </w:t>
          </w:r>
          <w:r w:rsidRPr="00BC22EA">
            <w:t xml:space="preserve">facility </w:t>
          </w:r>
          <w:r w:rsidR="001F6345" w:rsidRPr="00BC22EA">
            <w:t>may seek inactive status</w:t>
          </w:r>
          <w:r w:rsidR="000417A9" w:rsidRPr="00BC22EA">
            <w:t xml:space="preserve">. To qualify for inactive status, </w:t>
          </w:r>
          <w:r w:rsidR="00E736A8" w:rsidRPr="00BC22EA">
            <w:t>all industrial activities</w:t>
          </w:r>
          <w:r w:rsidR="000417A9" w:rsidRPr="00BC22EA">
            <w:t xml:space="preserve"> </w:t>
          </w:r>
          <w:r w:rsidR="00E736A8" w:rsidRPr="00BC22EA">
            <w:t>at the facility must be suspend</w:t>
          </w:r>
          <w:r w:rsidR="00C81B41" w:rsidRPr="00BC22EA">
            <w:t>ed</w:t>
          </w:r>
          <w:r w:rsidR="00E736A8" w:rsidRPr="00BC22EA">
            <w:t xml:space="preserve"> </w:t>
          </w:r>
          <w:r w:rsidR="000417A9" w:rsidRPr="00BC22EA">
            <w:t>with no industrial materials or activities exposed to stormwater</w:t>
          </w:r>
          <w:r w:rsidR="00E736A8" w:rsidRPr="00BC22EA">
            <w:t>. T</w:t>
          </w:r>
          <w:r w:rsidR="0070685F" w:rsidRPr="00BC22EA">
            <w:t>he permittee must</w:t>
          </w:r>
          <w:r w:rsidR="001F6345" w:rsidRPr="00BC22EA">
            <w:t xml:space="preserve"> </w:t>
          </w:r>
          <w:r w:rsidR="0009072D">
            <w:t>submit a NOC in accordance with Part II.C.6 and certify</w:t>
          </w:r>
          <w:r w:rsidR="00E736A8" w:rsidRPr="00BC22EA">
            <w:t xml:space="preserve"> that all industrial </w:t>
          </w:r>
          <w:r w:rsidR="00E736A8" w:rsidRPr="00BC22EA">
            <w:lastRenderedPageBreak/>
            <w:t>activities at the facility are suspended.</w:t>
          </w:r>
          <w:r w:rsidR="007C4A0B" w:rsidRPr="00BC22EA">
            <w:t xml:space="preserve"> </w:t>
          </w:r>
          <w:r w:rsidR="0009072D">
            <w:t xml:space="preserve">Upon receipt of the NOC by the executive director, </w:t>
          </w:r>
          <w:r w:rsidRPr="00BC22EA">
            <w:t xml:space="preserve">permit requirements to sample, inspect, examine, or otherwise monitor stormwater discharges are waived during the period that a facility is </w:t>
          </w:r>
          <w:r w:rsidR="00E736A8" w:rsidRPr="00BC22EA">
            <w:t xml:space="preserve">in </w:t>
          </w:r>
          <w:r w:rsidRPr="00BC22EA">
            <w:t>inactive</w:t>
          </w:r>
          <w:r w:rsidR="00E736A8" w:rsidRPr="00BC22EA">
            <w:t xml:space="preserve"> status</w:t>
          </w:r>
          <w:r w:rsidRPr="00BC22EA">
            <w:t>.</w:t>
          </w:r>
          <w:r w:rsidR="007C4A0B" w:rsidRPr="00BC22EA">
            <w:t xml:space="preserve"> </w:t>
          </w:r>
        </w:p>
        <w:p w14:paraId="3EE7BC37" w14:textId="57DF7A9F" w:rsidR="0070685F" w:rsidRPr="00BC22EA" w:rsidRDefault="00E647CD" w:rsidP="00400832">
          <w:pPr>
            <w:pStyle w:val="ListNumber2"/>
          </w:pPr>
          <w:r w:rsidRPr="00BC22EA">
            <w:t xml:space="preserve">A permittee with </w:t>
          </w:r>
          <w:r w:rsidR="001F6345" w:rsidRPr="00BC22EA">
            <w:t xml:space="preserve">a </w:t>
          </w:r>
          <w:r w:rsidRPr="00BC22EA">
            <w:t>facility</w:t>
          </w:r>
          <w:r w:rsidR="001F6345" w:rsidRPr="00BC22EA">
            <w:t xml:space="preserve"> in inactive status</w:t>
          </w:r>
          <w:r w:rsidRPr="00BC22EA">
            <w:t xml:space="preserve"> shall </w:t>
          </w:r>
          <w:r w:rsidR="0009072D">
            <w:t>submit a NOC in accordance with Part II.C.6</w:t>
          </w:r>
          <w:r w:rsidRPr="00BC22EA">
            <w:t xml:space="preserve"> at least 30 days before commencing industrial activities and transferring to active status. </w:t>
          </w:r>
        </w:p>
        <w:p w14:paraId="56AF031B" w14:textId="77777777" w:rsidR="008D73A2" w:rsidRDefault="008D73A2" w:rsidP="00400832">
          <w:pPr>
            <w:pStyle w:val="ListNumber"/>
          </w:pPr>
          <w:r w:rsidRPr="006F04D3">
            <w:t>Lack of Qualifying Storm Event</w:t>
          </w:r>
        </w:p>
        <w:p w14:paraId="13170A96" w14:textId="13277BFF" w:rsidR="008D73A2" w:rsidRPr="006F04D3" w:rsidRDefault="008D73A2" w:rsidP="00400832">
          <w:pPr>
            <w:pStyle w:val="ListContinue"/>
          </w:pPr>
          <w:r w:rsidRPr="006F04D3">
            <w:t xml:space="preserve">When monitoring </w:t>
          </w:r>
          <w:r w:rsidR="00754A59">
            <w:t>is</w:t>
          </w:r>
          <w:r w:rsidRPr="006F04D3">
            <w:t xml:space="preserve"> not possible due to a lack of a qualifying storm event as documented in the rain gauge recording, representative weather station, or subject to TCEQ’s approval, the alternative means of compliance,</w:t>
          </w:r>
          <w:r>
            <w:t xml:space="preserve"> </w:t>
          </w:r>
          <w:r w:rsidRPr="006F04D3">
            <w:t>monitoring is temporarily suspended.</w:t>
          </w:r>
        </w:p>
        <w:p w14:paraId="5B2C6D09" w14:textId="0F99F0C4" w:rsidR="00B65278" w:rsidRPr="00BC22EA" w:rsidRDefault="006E6F08" w:rsidP="00400832">
          <w:pPr>
            <w:pStyle w:val="ListNumber"/>
          </w:pPr>
          <w:r w:rsidRPr="00BC22EA">
            <w:t>Stormwater</w:t>
          </w:r>
          <w:r w:rsidR="000A650B" w:rsidRPr="00BC22EA">
            <w:t xml:space="preserve"> Pollution Prevention Plan (SWP3)</w:t>
          </w:r>
        </w:p>
        <w:p w14:paraId="525FD10E" w14:textId="77777777" w:rsidR="00B65278" w:rsidRPr="00BC22EA" w:rsidRDefault="000018C8" w:rsidP="00400832">
          <w:pPr>
            <w:pStyle w:val="ListNumber2"/>
            <w:numPr>
              <w:ilvl w:val="0"/>
              <w:numId w:val="86"/>
            </w:numPr>
          </w:pPr>
          <w:r w:rsidRPr="00BC22EA">
            <w:t>General Requirements</w:t>
          </w:r>
        </w:p>
        <w:p w14:paraId="40E3D74F" w14:textId="77777777" w:rsidR="00BC22EA" w:rsidRDefault="007B1EC2" w:rsidP="00400832">
          <w:pPr>
            <w:pStyle w:val="ListNumber3"/>
            <w:numPr>
              <w:ilvl w:val="0"/>
              <w:numId w:val="87"/>
            </w:numPr>
          </w:pPr>
          <w:r w:rsidRPr="00BC22EA">
            <w:t xml:space="preserve">Contents - </w:t>
          </w:r>
          <w:r w:rsidR="000018C8" w:rsidRPr="00BC22EA">
            <w:t>A</w:t>
          </w:r>
          <w:r w:rsidR="00522F0F" w:rsidRPr="00BC22EA">
            <w:t>n</w:t>
          </w:r>
          <w:r w:rsidR="000018C8" w:rsidRPr="00BC22EA">
            <w:t xml:space="preserve"> SWP3 must be prepared and implemented for each facility that discharges </w:t>
          </w:r>
          <w:r w:rsidR="006E6F08" w:rsidRPr="00BC22EA">
            <w:t>stormwater</w:t>
          </w:r>
          <w:r w:rsidR="000018C8" w:rsidRPr="00BC22EA">
            <w:t xml:space="preserve"> associated with industrial activities. The SWP3 must address, at a minimum, the elements as described in </w:t>
          </w:r>
          <w:r w:rsidR="001F7804" w:rsidRPr="00BC22EA">
            <w:t>Part III.B.7</w:t>
          </w:r>
          <w:r w:rsidR="00904177" w:rsidRPr="00BC22EA">
            <w:t>.b</w:t>
          </w:r>
          <w:r w:rsidR="000018C8" w:rsidRPr="00BC22EA">
            <w:t>. Facilities must implement the provisions of the SWP3 as a condition of this general permit.</w:t>
          </w:r>
        </w:p>
        <w:p w14:paraId="7FC7C7A3" w14:textId="22B59DEF" w:rsidR="00B65278" w:rsidRDefault="000018C8">
          <w:pPr>
            <w:pStyle w:val="ListNumber3"/>
          </w:pPr>
          <w:r w:rsidRPr="00BC22EA">
            <w:t xml:space="preserve">Signature - The SWP3 must be signed </w:t>
          </w:r>
          <w:r w:rsidR="00CB7729">
            <w:t>and certified</w:t>
          </w:r>
          <w:r w:rsidR="00CB7729" w:rsidRPr="00BC22EA">
            <w:t xml:space="preserve"> </w:t>
          </w:r>
          <w:r w:rsidRPr="00BC22EA">
            <w:t xml:space="preserve">according to 30 TAC </w:t>
          </w:r>
          <w:r w:rsidR="00B3383F" w:rsidRPr="00BC22EA">
            <w:t>§</w:t>
          </w:r>
          <w:r w:rsidRPr="00BC22EA">
            <w:t>305.128</w:t>
          </w:r>
          <w:r w:rsidR="00E64667" w:rsidRPr="00BC22EA">
            <w:t xml:space="preserve">, </w:t>
          </w:r>
          <w:r w:rsidR="00E64667" w:rsidRPr="00BC22EA">
            <w:rPr>
              <w:i/>
            </w:rPr>
            <w:t>Signator</w:t>
          </w:r>
          <w:r w:rsidR="00697A44" w:rsidRPr="00BC22EA">
            <w:rPr>
              <w:i/>
            </w:rPr>
            <w:t>ies</w:t>
          </w:r>
          <w:r w:rsidR="00E64667" w:rsidRPr="00BC22EA">
            <w:rPr>
              <w:i/>
            </w:rPr>
            <w:t xml:space="preserve"> to Reports</w:t>
          </w:r>
          <w:r w:rsidR="00E64667" w:rsidRPr="00BC22EA">
            <w:t>.</w:t>
          </w:r>
          <w:r w:rsidRPr="00BC22EA">
            <w:t xml:space="preserve"> </w:t>
          </w:r>
        </w:p>
        <w:p w14:paraId="34ABDD88" w14:textId="77777777" w:rsidR="005F34BE" w:rsidRPr="00461D4B" w:rsidRDefault="005F34BE" w:rsidP="005F34BE">
          <w:pPr>
            <w:pStyle w:val="ListNumber3"/>
          </w:pPr>
          <w:r>
            <w:t xml:space="preserve">The SWP3 </w:t>
          </w:r>
          <w:r w:rsidRPr="00461D4B">
            <w:t>must be maintained onsite and made readily available for review upon request by authorized TCEQ personnel as well as any local pollution control agency with jurisdiction.</w:t>
          </w:r>
        </w:p>
        <w:p w14:paraId="2E42C588" w14:textId="77777777" w:rsidR="00B65278" w:rsidRPr="00BC22EA" w:rsidRDefault="000018C8" w:rsidP="00400832">
          <w:pPr>
            <w:pStyle w:val="ListNumber3"/>
          </w:pPr>
          <w:r w:rsidRPr="00BC22EA">
            <w:t>Notice of Non-Compliance - The executive director may notify the permittee at any time that the SWP3 does not meet one or more of the minimum requirements of this general permit. Within 30 days of receiving notification and identification of the provisions of the general permit that are not being met by the SWP3, the permittee shall make the required changes to the SWP3 and shall submit a written certification that the changes have been made</w:t>
          </w:r>
          <w:r w:rsidR="003026D2" w:rsidRPr="00BC22EA">
            <w:t xml:space="preserve"> to the executive director</w:t>
          </w:r>
          <w:r w:rsidRPr="00BC22EA">
            <w:t>.</w:t>
          </w:r>
        </w:p>
        <w:p w14:paraId="52A0BC0F" w14:textId="083C3819" w:rsidR="009E6CF7" w:rsidRPr="00BC22EA" w:rsidRDefault="000018C8" w:rsidP="00400832">
          <w:pPr>
            <w:pStyle w:val="ListNumber3"/>
          </w:pPr>
          <w:r w:rsidRPr="00BC22EA">
            <w:t>Revisions of the SWP3 - The permittee shall revise the SWP3 whenever</w:t>
          </w:r>
          <w:r w:rsidR="00CF3AA8" w:rsidRPr="00CF3AA8">
            <w:t xml:space="preserve"> necessary to address changing conditions at the site such as when</w:t>
          </w:r>
          <w:r w:rsidRPr="00BC22EA">
            <w:t xml:space="preserve"> there is a change in design, construction, operation, or maintenance that has a significant effect on the potential for the discharge of pollutants or if the SWP3 proves to be ineffective in eliminating or significantly minimizing pollutants in the </w:t>
          </w:r>
          <w:r w:rsidR="00F90367" w:rsidRPr="00BC22EA">
            <w:t xml:space="preserve">stormwater </w:t>
          </w:r>
          <w:r w:rsidRPr="00BC22EA">
            <w:t>discharge.</w:t>
          </w:r>
        </w:p>
        <w:p w14:paraId="7B5B7A7D" w14:textId="77777777" w:rsidR="00B65278" w:rsidRPr="00BC22EA" w:rsidRDefault="000018C8" w:rsidP="00953E09">
          <w:pPr>
            <w:pStyle w:val="ListNumber2"/>
            <w:keepNext/>
            <w:numPr>
              <w:ilvl w:val="0"/>
              <w:numId w:val="88"/>
            </w:numPr>
          </w:pPr>
          <w:r w:rsidRPr="00BC22EA">
            <w:t>Minimum SWP3 Requirements</w:t>
          </w:r>
        </w:p>
        <w:p w14:paraId="7F7714F4" w14:textId="77777777" w:rsidR="00B65278" w:rsidRPr="00BC22EA" w:rsidRDefault="000018C8" w:rsidP="00400832">
          <w:pPr>
            <w:pStyle w:val="ListNumber3"/>
            <w:numPr>
              <w:ilvl w:val="0"/>
              <w:numId w:val="92"/>
            </w:numPr>
          </w:pPr>
          <w:r w:rsidRPr="00BC22EA">
            <w:t xml:space="preserve">Pollution Prevention Team - The SWP3 must identify a specific individual or individuals within the organization as members of a </w:t>
          </w:r>
          <w:r w:rsidR="006E6F08" w:rsidRPr="00BC22EA">
            <w:t>stormwater</w:t>
          </w:r>
          <w:r w:rsidR="00F93BFF" w:rsidRPr="00BC22EA">
            <w:t xml:space="preserve"> pollution prevention team </w:t>
          </w:r>
          <w:r w:rsidRPr="00BC22EA">
            <w:t xml:space="preserve">responsible for </w:t>
          </w:r>
          <w:r w:rsidR="00697A44" w:rsidRPr="00BC22EA">
            <w:t xml:space="preserve">developing the </w:t>
          </w:r>
          <w:r w:rsidR="000E53B7" w:rsidRPr="00BC22EA">
            <w:t xml:space="preserve">SWP3 </w:t>
          </w:r>
          <w:r w:rsidR="00697A44" w:rsidRPr="00BC22EA">
            <w:t xml:space="preserve">and for the </w:t>
          </w:r>
          <w:r w:rsidRPr="00BC22EA">
            <w:t xml:space="preserve">implementation, maintenance, and revision of the SWP3. </w:t>
          </w:r>
        </w:p>
        <w:p w14:paraId="166BC51C" w14:textId="77777777" w:rsidR="00B65278" w:rsidRPr="00BC22EA" w:rsidRDefault="000018C8" w:rsidP="00400832">
          <w:pPr>
            <w:pStyle w:val="ListNumber3"/>
          </w:pPr>
          <w:r w:rsidRPr="00BC22EA">
            <w:lastRenderedPageBreak/>
            <w:t xml:space="preserve">Description of Potential Pollutant Sources - The SWP3 must </w:t>
          </w:r>
          <w:r w:rsidR="001F7804" w:rsidRPr="00BC22EA">
            <w:t xml:space="preserve">identify and </w:t>
          </w:r>
          <w:r w:rsidRPr="00BC22EA">
            <w:t xml:space="preserve">provide a description of </w:t>
          </w:r>
          <w:r w:rsidR="001F7804" w:rsidRPr="00BC22EA">
            <w:t xml:space="preserve">actual and </w:t>
          </w:r>
          <w:r w:rsidRPr="00BC22EA">
            <w:t xml:space="preserve">potential sources </w:t>
          </w:r>
          <w:r w:rsidR="001F7804" w:rsidRPr="00BC22EA">
            <w:t xml:space="preserve">of pollution </w:t>
          </w:r>
          <w:r w:rsidRPr="00BC22EA">
            <w:t xml:space="preserve">(activities and materials) that may reasonably be expected to affect the quality of </w:t>
          </w:r>
          <w:r w:rsidR="006E6F08" w:rsidRPr="00BC22EA">
            <w:t>stormwater</w:t>
          </w:r>
          <w:r w:rsidRPr="00BC22EA">
            <w:t xml:space="preserve"> discharges, or that may result in a dry-weather discharge. The following must be developed, at a minimum, in support of developing this description:</w:t>
          </w:r>
        </w:p>
        <w:p w14:paraId="3F758F60" w14:textId="77777777" w:rsidR="00B65278" w:rsidRPr="00BC22EA" w:rsidRDefault="008D4433" w:rsidP="00400832">
          <w:pPr>
            <w:pStyle w:val="ListNumber4"/>
          </w:pPr>
          <w:r w:rsidRPr="00BC22EA">
            <w:t>Dr</w:t>
          </w:r>
          <w:r w:rsidR="000018C8" w:rsidRPr="00BC22EA">
            <w:t>ainage</w:t>
          </w:r>
          <w:r w:rsidR="00697A44" w:rsidRPr="00BC22EA">
            <w:t xml:space="preserve"> Area Site Map</w:t>
          </w:r>
          <w:r w:rsidR="000018C8" w:rsidRPr="00BC22EA">
            <w:t xml:space="preserve"> - A site map indicating the </w:t>
          </w:r>
          <w:r w:rsidR="00697A44" w:rsidRPr="00BC22EA">
            <w:t>following:</w:t>
          </w:r>
        </w:p>
        <w:p w14:paraId="1C0A254D" w14:textId="3E5665EE" w:rsidR="00B65278" w:rsidRPr="00BC22EA" w:rsidRDefault="000018C8" w:rsidP="00400832">
          <w:pPr>
            <w:pStyle w:val="ListNumber5"/>
          </w:pPr>
          <w:r w:rsidRPr="00BC22EA">
            <w:t>each point of discharge (outfall</w:t>
          </w:r>
          <w:r w:rsidR="00CF3AA8">
            <w:t>, including latitude and longitude</w:t>
          </w:r>
          <w:r w:rsidRPr="00BC22EA">
            <w:t xml:space="preserve">) for discharges of </w:t>
          </w:r>
          <w:r w:rsidR="006E6F08" w:rsidRPr="00BC22EA">
            <w:t>stormwater</w:t>
          </w:r>
          <w:r w:rsidRPr="00BC22EA">
            <w:t xml:space="preserve"> associated with industrial activities</w:t>
          </w:r>
          <w:r w:rsidR="003026D2" w:rsidRPr="00BC22EA">
            <w:t xml:space="preserve"> and </w:t>
          </w:r>
          <w:r w:rsidR="00DF40F3" w:rsidRPr="00BC22EA">
            <w:t xml:space="preserve">discharges of </w:t>
          </w:r>
          <w:r w:rsidR="006E6F08" w:rsidRPr="00BC22EA">
            <w:t>stormwater</w:t>
          </w:r>
          <w:r w:rsidR="003026D2" w:rsidRPr="00BC22EA">
            <w:t xml:space="preserve"> </w:t>
          </w:r>
          <w:r w:rsidR="00DF40F3" w:rsidRPr="00BC22EA">
            <w:t xml:space="preserve">commingled </w:t>
          </w:r>
          <w:r w:rsidR="003026D2" w:rsidRPr="00BC22EA">
            <w:t>with facility wastewater</w:t>
          </w:r>
          <w:r w:rsidRPr="00BC22EA">
            <w:t xml:space="preserve">; </w:t>
          </w:r>
        </w:p>
        <w:p w14:paraId="4C45C321" w14:textId="77777777" w:rsidR="00B65278" w:rsidRPr="00BC22EA" w:rsidRDefault="000018C8" w:rsidP="00400832">
          <w:pPr>
            <w:pStyle w:val="ListNumber5"/>
          </w:pPr>
          <w:r w:rsidRPr="00BC22EA">
            <w:t>a depiction of the drainage area</w:t>
          </w:r>
          <w:r w:rsidR="00BB6D6B" w:rsidRPr="00BC22EA">
            <w:t>,</w:t>
          </w:r>
          <w:r w:rsidRPr="00BC22EA">
            <w:t xml:space="preserve"> the direction of flow to the outfalls</w:t>
          </w:r>
          <w:r w:rsidR="00C1466D" w:rsidRPr="00BC22EA">
            <w:t>,</w:t>
          </w:r>
          <w:r w:rsidR="00BB6D6B" w:rsidRPr="00BC22EA">
            <w:t xml:space="preserve"> and an identification of the types of pollutants that are likely to be present in the </w:t>
          </w:r>
          <w:r w:rsidR="006E6F08" w:rsidRPr="00BC22EA">
            <w:t>stormwater</w:t>
          </w:r>
          <w:r w:rsidR="00BB6D6B" w:rsidRPr="00BC22EA">
            <w:t xml:space="preserve"> discharges for each area of the facility that generates </w:t>
          </w:r>
          <w:r w:rsidR="006E6F08" w:rsidRPr="00BC22EA">
            <w:t>stormwater</w:t>
          </w:r>
          <w:r w:rsidR="00BB6D6B" w:rsidRPr="00BC22EA">
            <w:t xml:space="preserve"> discharges with a reasonable potential for containing significant amounts of pollutants, including sediments (e.g., toxicity of the chemical, and the quantity of chemicals used, produced, or discharged)</w:t>
          </w:r>
          <w:r w:rsidRPr="00BC22EA">
            <w:t>;</w:t>
          </w:r>
        </w:p>
        <w:p w14:paraId="2B5B9FC2" w14:textId="77777777" w:rsidR="00B65278" w:rsidRPr="00BC22EA" w:rsidRDefault="008D4433" w:rsidP="00400832">
          <w:pPr>
            <w:pStyle w:val="ListNumber5"/>
          </w:pPr>
          <w:r w:rsidRPr="00BC22EA">
            <w:t>structural controls (</w:t>
          </w:r>
          <w:r w:rsidR="00977722" w:rsidRPr="00BC22EA">
            <w:t>e.g.,</w:t>
          </w:r>
          <w:r w:rsidRPr="00BC22EA">
            <w:t xml:space="preserve"> ponds, vegetated buffers, and constructed </w:t>
          </w:r>
          <w:r w:rsidR="006E6F08" w:rsidRPr="00BC22EA">
            <w:t>stormwater</w:t>
          </w:r>
          <w:r w:rsidRPr="00BC22EA">
            <w:t xml:space="preserve"> pollution controls) within the drainage areas;</w:t>
          </w:r>
        </w:p>
        <w:p w14:paraId="750C95FD" w14:textId="77777777" w:rsidR="00B65278" w:rsidRPr="00BC22EA" w:rsidRDefault="005065A4" w:rsidP="00400832">
          <w:pPr>
            <w:pStyle w:val="ListNumber5"/>
          </w:pPr>
          <w:r w:rsidRPr="00BC22EA">
            <w:t>areas</w:t>
          </w:r>
          <w:r w:rsidR="008D4433" w:rsidRPr="00BC22EA">
            <w:t xml:space="preserve"> that are exposed to precipitation: vehicle and equipment maintenance activities (including fueling, repair, and storage areas for vehicles and equipment scheduled for maintenance); areas used for the treatment, storage, or disposal of wastes; liquid storage tanks; material processing and storage areas; and loading and unloading areas;</w:t>
          </w:r>
          <w:r w:rsidR="00EF4605" w:rsidRPr="00BC22EA">
            <w:t xml:space="preserve"> and</w:t>
          </w:r>
        </w:p>
        <w:p w14:paraId="7EE2F3CE" w14:textId="77777777" w:rsidR="00B65278" w:rsidRPr="00BC22EA" w:rsidRDefault="008D4433" w:rsidP="00400832">
          <w:pPr>
            <w:pStyle w:val="ListNumber5"/>
          </w:pPr>
          <w:r w:rsidRPr="00BC22EA">
            <w:t>any bag house</w:t>
          </w:r>
          <w:r w:rsidR="008C5745" w:rsidRPr="00BC22EA">
            <w:t xml:space="preserve"> or other dust control devices</w:t>
          </w:r>
          <w:r w:rsidRPr="00BC22EA">
            <w:t>; recycle</w:t>
          </w:r>
          <w:r w:rsidR="00977722" w:rsidRPr="00BC22EA">
            <w:t xml:space="preserve"> or </w:t>
          </w:r>
          <w:r w:rsidRPr="00BC22EA">
            <w:t>sedimentation pond</w:t>
          </w:r>
          <w:r w:rsidR="008C5745" w:rsidRPr="00BC22EA">
            <w:t>s</w:t>
          </w:r>
          <w:r w:rsidRPr="00BC22EA">
            <w:t>, clarifier</w:t>
          </w:r>
          <w:r w:rsidR="008C5745" w:rsidRPr="00BC22EA">
            <w:t>s</w:t>
          </w:r>
          <w:r w:rsidRPr="00BC22EA">
            <w:t xml:space="preserve"> or other device</w:t>
          </w:r>
          <w:r w:rsidR="008C5745" w:rsidRPr="00BC22EA">
            <w:t>s</w:t>
          </w:r>
          <w:r w:rsidRPr="00BC22EA">
            <w:t xml:space="preserve"> used for the treatment of facility wastewater (including the areas that drain to the treatment device); areas with significant materials; and areas where major spills or leaks have occurred</w:t>
          </w:r>
          <w:r w:rsidR="000C2DE7" w:rsidRPr="00BC22EA">
            <w:t>.</w:t>
          </w:r>
        </w:p>
        <w:p w14:paraId="63B0316D" w14:textId="77777777" w:rsidR="00B65278" w:rsidRPr="00BC22EA" w:rsidRDefault="000018C8" w:rsidP="00400832">
          <w:pPr>
            <w:pStyle w:val="ListNumber4"/>
          </w:pPr>
          <w:r w:rsidRPr="00BC22EA">
            <w:t xml:space="preserve">Inventory of Exposed Materials - An inventory must be developed listing materials handled at the site that may be exposed to </w:t>
          </w:r>
          <w:r w:rsidR="006E6F08" w:rsidRPr="00BC22EA">
            <w:t>stormwater</w:t>
          </w:r>
          <w:r w:rsidRPr="00BC22EA">
            <w:t xml:space="preserve"> and that have a potential to affect the quality of </w:t>
          </w:r>
          <w:r w:rsidR="006E6F08" w:rsidRPr="00BC22EA">
            <w:t>stormwater</w:t>
          </w:r>
          <w:r w:rsidRPr="00BC22EA">
            <w:t xml:space="preserve"> discharges authorized under this general permit.</w:t>
          </w:r>
        </w:p>
        <w:p w14:paraId="79650BB8" w14:textId="77777777" w:rsidR="00B65278" w:rsidRPr="00BC22EA" w:rsidRDefault="005A5B11" w:rsidP="00400832">
          <w:pPr>
            <w:pStyle w:val="ListNumber4"/>
          </w:pPr>
          <w:r w:rsidRPr="00BC22EA">
            <w:t xml:space="preserve">Spills and Leaks - A list of significant spills and leaks of toxic or hazardous pollutants that occurred in areas exposed to </w:t>
          </w:r>
          <w:r w:rsidR="006E6F08" w:rsidRPr="00BC22EA">
            <w:t>stormwater</w:t>
          </w:r>
          <w:r w:rsidRPr="00BC22EA">
            <w:t xml:space="preserve"> and that drain</w:t>
          </w:r>
          <w:r w:rsidR="00697F73" w:rsidRPr="00BC22EA">
            <w:t>ed</w:t>
          </w:r>
          <w:r w:rsidRPr="00BC22EA">
            <w:t xml:space="preserve"> to </w:t>
          </w:r>
          <w:r w:rsidR="006E6F08" w:rsidRPr="00BC22EA">
            <w:t>stormwater</w:t>
          </w:r>
          <w:r w:rsidRPr="00BC22EA">
            <w:t xml:space="preserve"> outfalls authorized under this general permit must be developed, maintained, and updated.</w:t>
          </w:r>
        </w:p>
        <w:p w14:paraId="347F8BFA" w14:textId="64DC50AC" w:rsidR="00B65278" w:rsidRPr="00BC22EA" w:rsidRDefault="005A5B11" w:rsidP="00400832">
          <w:pPr>
            <w:pStyle w:val="ListNumber4"/>
          </w:pPr>
          <w:r w:rsidRPr="00BC22EA">
            <w:t xml:space="preserve">Sampling Data - A summary of existing </w:t>
          </w:r>
          <w:r w:rsidR="006E6F08" w:rsidRPr="00BC22EA">
            <w:t>stormwater</w:t>
          </w:r>
          <w:r w:rsidRPr="00BC22EA">
            <w:t xml:space="preserve"> discharge sampling data must be maintained as a part of the SWP3</w:t>
          </w:r>
          <w:r w:rsidR="00CF3AA8">
            <w:t xml:space="preserve"> and </w:t>
          </w:r>
          <w:r w:rsidR="00257CF2">
            <w:t>updated annually</w:t>
          </w:r>
          <w:r w:rsidRPr="00BC22EA">
            <w:t>.</w:t>
          </w:r>
        </w:p>
        <w:p w14:paraId="1C29D2A9" w14:textId="57F3F649" w:rsidR="00B65278" w:rsidRPr="00BC22EA" w:rsidRDefault="00697A44" w:rsidP="00400832">
          <w:pPr>
            <w:pStyle w:val="ListNumber3"/>
          </w:pPr>
          <w:r w:rsidRPr="00BC22EA">
            <w:t xml:space="preserve">Pollution Prevention </w:t>
          </w:r>
          <w:r w:rsidR="000018C8" w:rsidRPr="00BC22EA">
            <w:t xml:space="preserve">Measures and Controls - </w:t>
          </w:r>
          <w:r w:rsidR="00D54B49" w:rsidRPr="00BC22EA">
            <w:t xml:space="preserve">The SWP3 must describe and ensure the implementation of </w:t>
          </w:r>
          <w:r w:rsidR="00BA682F" w:rsidRPr="00BC22EA">
            <w:t xml:space="preserve">pollution prevention measures, </w:t>
          </w:r>
          <w:r w:rsidR="00257CF2">
            <w:t>BMPs</w:t>
          </w:r>
          <w:r w:rsidR="00BA682F" w:rsidRPr="00BC22EA">
            <w:t>,</w:t>
          </w:r>
          <w:r w:rsidR="00D54B49" w:rsidRPr="00BC22EA">
            <w:t xml:space="preserve"> and management controls that are to be used to prevent or effectively reduce pollutants in the discharge to assure compliance with the terms and conditions of this general permit, including the protection of water quality. The SWP3 must include </w:t>
          </w:r>
          <w:r w:rsidR="000018C8" w:rsidRPr="00BC22EA">
            <w:t xml:space="preserve">a schedule for implementation of the </w:t>
          </w:r>
          <w:r w:rsidR="00BA682F" w:rsidRPr="00BC22EA">
            <w:t xml:space="preserve">prevention </w:t>
          </w:r>
          <w:r w:rsidR="00BA682F" w:rsidRPr="00BC22EA">
            <w:lastRenderedPageBreak/>
            <w:t xml:space="preserve">measures, </w:t>
          </w:r>
          <w:r w:rsidR="00D54B49" w:rsidRPr="00BC22EA">
            <w:t>best management practices</w:t>
          </w:r>
          <w:r w:rsidR="00BA682F" w:rsidRPr="00BC22EA">
            <w:t>,</w:t>
          </w:r>
          <w:r w:rsidR="00D54B49" w:rsidRPr="00BC22EA">
            <w:t xml:space="preserve"> and management controls</w:t>
          </w:r>
          <w:r w:rsidR="000018C8" w:rsidRPr="00BC22EA">
            <w:t>. This must include at a minimum:</w:t>
          </w:r>
        </w:p>
        <w:p w14:paraId="0B8352E6" w14:textId="77777777" w:rsidR="00B65278" w:rsidRPr="00BC22EA" w:rsidRDefault="000018C8" w:rsidP="00400832">
          <w:pPr>
            <w:pStyle w:val="ListNumber4"/>
            <w:numPr>
              <w:ilvl w:val="0"/>
              <w:numId w:val="93"/>
            </w:numPr>
          </w:pPr>
          <w:r w:rsidRPr="00BC22EA">
            <w:t>Good Housekeeping</w:t>
          </w:r>
          <w:r w:rsidR="005B1911" w:rsidRPr="00BC22EA">
            <w:t xml:space="preserve"> Measures</w:t>
          </w:r>
          <w:r w:rsidRPr="00BC22EA">
            <w:t xml:space="preserve"> - Good housekeeping measures must be developed and implemented to maintain vehicle maintenance related activities in a clean, orderly manner.</w:t>
          </w:r>
        </w:p>
        <w:p w14:paraId="480FE931" w14:textId="77777777" w:rsidR="00B65278" w:rsidRPr="00BC22EA" w:rsidRDefault="00F93BFF" w:rsidP="00400832">
          <w:pPr>
            <w:pStyle w:val="ListNumber5"/>
            <w:numPr>
              <w:ilvl w:val="0"/>
              <w:numId w:val="94"/>
            </w:numPr>
          </w:pPr>
          <w:r w:rsidRPr="00BC22EA">
            <w:t xml:space="preserve">Permittees </w:t>
          </w:r>
          <w:r w:rsidR="00A41340" w:rsidRPr="00BC22EA">
            <w:t>shall</w:t>
          </w:r>
          <w:r w:rsidR="000018C8" w:rsidRPr="00BC22EA">
            <w:t xml:space="preserve"> prevent or minimize the discharge of spilled cement, aggregate (including sand or gravel), dust</w:t>
          </w:r>
          <w:r w:rsidR="00697A44" w:rsidRPr="00BC22EA">
            <w:t xml:space="preserve"> (including kiln dust or fly ash)</w:t>
          </w:r>
          <w:r w:rsidR="000018C8" w:rsidRPr="00BC22EA">
            <w:t xml:space="preserve">, or other significant materials from paved portions of the site that are exposed to </w:t>
          </w:r>
          <w:r w:rsidR="006E6F08" w:rsidRPr="00BC22EA">
            <w:t>stormwater</w:t>
          </w:r>
          <w:r w:rsidR="000018C8" w:rsidRPr="00BC22EA">
            <w:t>. Measures used to minimize the presence of these materials may include regular sweeping or other equivalent measures. The SWP3 must indicate the frequency of sweeping or other measures. The frequency must be determined based upon consideration of the amount of industrial activity occurring in the area and frequency of precipitation, but must not be less than once per week when cement</w:t>
          </w:r>
          <w:r w:rsidR="00697A44" w:rsidRPr="00BC22EA">
            <w:t xml:space="preserve">, </w:t>
          </w:r>
          <w:r w:rsidR="000018C8" w:rsidRPr="00BC22EA">
            <w:t>aggregate</w:t>
          </w:r>
          <w:r w:rsidR="00697A44" w:rsidRPr="00BC22EA">
            <w:t>, kiln dust, fly ash, or settled dust</w:t>
          </w:r>
          <w:r w:rsidR="000018C8" w:rsidRPr="00BC22EA">
            <w:t xml:space="preserve"> is being handled or otherwise processed in the area.</w:t>
          </w:r>
        </w:p>
        <w:p w14:paraId="2571DA03" w14:textId="77777777" w:rsidR="00B65278" w:rsidRPr="00BC22EA" w:rsidRDefault="00F93BFF" w:rsidP="00400832">
          <w:pPr>
            <w:pStyle w:val="ListNumber5"/>
          </w:pPr>
          <w:r w:rsidRPr="00BC22EA">
            <w:t xml:space="preserve">Permittees </w:t>
          </w:r>
          <w:r w:rsidR="00A41340" w:rsidRPr="00BC22EA">
            <w:t>shall</w:t>
          </w:r>
          <w:r w:rsidR="005A5B11" w:rsidRPr="00BC22EA">
            <w:t xml:space="preserve"> prevent the exposure of fine granular solids, such as cement</w:t>
          </w:r>
          <w:r w:rsidR="00697A44" w:rsidRPr="00BC22EA">
            <w:t xml:space="preserve">, fly ash, and kiln </w:t>
          </w:r>
          <w:r w:rsidR="007D2DF0" w:rsidRPr="00BC22EA">
            <w:t>dust,</w:t>
          </w:r>
          <w:r w:rsidR="005A5B11" w:rsidRPr="00BC22EA">
            <w:t xml:space="preserve"> to </w:t>
          </w:r>
          <w:r w:rsidR="006E6F08" w:rsidRPr="00BC22EA">
            <w:t>stormwater</w:t>
          </w:r>
          <w:r w:rsidR="005A5B11" w:rsidRPr="00BC22EA">
            <w:t>. Where practicable, these materials must be stored in enclosed silos, hoppers</w:t>
          </w:r>
          <w:r w:rsidR="009453CD" w:rsidRPr="00BC22EA">
            <w:t>,</w:t>
          </w:r>
          <w:r w:rsidR="005A5B11" w:rsidRPr="00BC22EA">
            <w:t xml:space="preserve"> buildings, or </w:t>
          </w:r>
          <w:r w:rsidR="00697A44" w:rsidRPr="00BC22EA">
            <w:t>other structures to prevent exposure to precipitation or runoff.</w:t>
          </w:r>
        </w:p>
        <w:p w14:paraId="1BC57D6F" w14:textId="77777777" w:rsidR="00B65278" w:rsidRPr="00BC22EA" w:rsidRDefault="000018C8" w:rsidP="00400832">
          <w:pPr>
            <w:pStyle w:val="ListNumber4"/>
          </w:pPr>
          <w:r w:rsidRPr="00BC22EA">
            <w:t>Preventive Measures - A preventive maintenance program must in</w:t>
          </w:r>
          <w:r w:rsidR="005B1911" w:rsidRPr="00BC22EA">
            <w:t>clud</w:t>
          </w:r>
          <w:r w:rsidRPr="00BC22EA">
            <w:t xml:space="preserve">e routine inspection and maintenance of </w:t>
          </w:r>
          <w:r w:rsidR="006E6F08" w:rsidRPr="00BC22EA">
            <w:t>stormwater</w:t>
          </w:r>
          <w:r w:rsidRPr="00BC22EA">
            <w:t xml:space="preserve"> management controls (including oil/water separators, catch basins, drip pans, berms, dikes, and other similar controls), as well as inspecting and testing facility equipment and systems to discover conditions that could cause breakdowns or failures resulting in discharges of pollutants to surface waters, and </w:t>
          </w:r>
          <w:r w:rsidR="005B1911" w:rsidRPr="00BC22EA">
            <w:t xml:space="preserve">measures to </w:t>
          </w:r>
          <w:r w:rsidRPr="00BC22EA">
            <w:t>ensur</w:t>
          </w:r>
          <w:r w:rsidR="005B1911" w:rsidRPr="00BC22EA">
            <w:t>e</w:t>
          </w:r>
          <w:r w:rsidRPr="00BC22EA">
            <w:t xml:space="preserve"> appropriate maintenance and performance of facility equipment and systems.</w:t>
          </w:r>
        </w:p>
        <w:p w14:paraId="0269C4B9" w14:textId="77777777" w:rsidR="00B65278" w:rsidRPr="00BC22EA" w:rsidRDefault="005A5B11" w:rsidP="00400832">
          <w:pPr>
            <w:pStyle w:val="ListNumber4"/>
          </w:pPr>
          <w:r w:rsidRPr="00BC22EA">
            <w:t xml:space="preserve">Spill Prevention and Response Procedures - Areas where potential spills that can contribute pollutants to </w:t>
          </w:r>
          <w:r w:rsidR="006E6F08" w:rsidRPr="00BC22EA">
            <w:t>stormwater</w:t>
          </w:r>
          <w:r w:rsidRPr="00BC22EA">
            <w:t xml:space="preserve"> runoff and the drainage areas from these locations must be identified in the SWP3. Where appropriate, the SWP3 must specify material handling procedures, storage requirements, and use of equipment. Procedures for </w:t>
          </w:r>
          <w:r w:rsidR="00855582" w:rsidRPr="00BC22EA">
            <w:t>spill prevention and clean up</w:t>
          </w:r>
          <w:r w:rsidRPr="00BC22EA">
            <w:t xml:space="preserve"> must be identified in the SWP3 and made available to the appropriate personnel.</w:t>
          </w:r>
          <w:r w:rsidR="007C4A0B" w:rsidRPr="00BC22EA">
            <w:t xml:space="preserve"> </w:t>
          </w:r>
        </w:p>
        <w:p w14:paraId="2EACA5EE" w14:textId="77777777" w:rsidR="00B77819" w:rsidRPr="00BC22EA" w:rsidRDefault="005A5B11" w:rsidP="00400832">
          <w:pPr>
            <w:pStyle w:val="ListNumber4"/>
          </w:pPr>
          <w:r w:rsidRPr="00BC22EA">
            <w:t>Inspections</w:t>
          </w:r>
        </w:p>
        <w:p w14:paraId="30666232" w14:textId="77777777" w:rsidR="00F90367" w:rsidRPr="00BC22EA" w:rsidRDefault="00A41340" w:rsidP="00400832">
          <w:pPr>
            <w:pStyle w:val="ListNumber5"/>
            <w:numPr>
              <w:ilvl w:val="0"/>
              <w:numId w:val="97"/>
            </w:numPr>
          </w:pPr>
          <w:r w:rsidRPr="00BC22EA">
            <w:t>The permittee shall identify q</w:t>
          </w:r>
          <w:r w:rsidR="005A5B11" w:rsidRPr="00BC22EA">
            <w:t>ualified personnel to inspect designated equipment and areas of the facility specified in the SWP3</w:t>
          </w:r>
          <w:r w:rsidR="00B77819" w:rsidRPr="00BC22EA">
            <w:t xml:space="preserve"> to determine the effectiveness of the Pollution Prevention Measures and Controls.</w:t>
          </w:r>
          <w:r w:rsidR="007C4A0B" w:rsidRPr="00BC22EA">
            <w:t xml:space="preserve"> </w:t>
          </w:r>
        </w:p>
        <w:p w14:paraId="62D1F4A0" w14:textId="77777777" w:rsidR="00B77819" w:rsidRPr="00BC22EA" w:rsidRDefault="005A5B11" w:rsidP="00400832">
          <w:pPr>
            <w:pStyle w:val="ListNumber5"/>
          </w:pPr>
          <w:r w:rsidRPr="00BC22EA">
            <w:t xml:space="preserve">The inspection frequency must be specified in the SWP3 based upon a consideration of the level of industrial activity at the facility, but must be </w:t>
          </w:r>
          <w:r w:rsidR="009453CD" w:rsidRPr="00BC22EA">
            <w:t xml:space="preserve">at least </w:t>
          </w:r>
          <w:r w:rsidRPr="00BC22EA">
            <w:t>once per month while the facility is in operation.</w:t>
          </w:r>
          <w:r w:rsidR="00F90367" w:rsidRPr="00BC22EA">
            <w:t xml:space="preserve"> If feasible, at least one of the routine inspections each calendar year must be conducted during a period when a stormwater discharge is occurring.</w:t>
          </w:r>
        </w:p>
        <w:p w14:paraId="2BA27D83" w14:textId="77777777" w:rsidR="00B77819" w:rsidRPr="00BC22EA" w:rsidRDefault="005A5B11" w:rsidP="00400832">
          <w:pPr>
            <w:pStyle w:val="ListNumber5"/>
          </w:pPr>
          <w:r w:rsidRPr="00BC22EA">
            <w:lastRenderedPageBreak/>
            <w:t xml:space="preserve">The inspection must, at a minimum, include all areas that are exposed to </w:t>
          </w:r>
          <w:r w:rsidR="006E6F08" w:rsidRPr="00BC22EA">
            <w:t>stormwater</w:t>
          </w:r>
          <w:r w:rsidRPr="00BC22EA">
            <w:t xml:space="preserve"> at the site, including</w:t>
          </w:r>
          <w:r w:rsidR="00522F0F" w:rsidRPr="00BC22EA">
            <w:t xml:space="preserve"> material handling areas, above-</w:t>
          </w:r>
          <w:r w:rsidRPr="00BC22EA">
            <w:t>ground storage tanks, hoppers</w:t>
          </w:r>
          <w:r w:rsidR="00F93BFF" w:rsidRPr="00BC22EA">
            <w:t>,</w:t>
          </w:r>
          <w:r w:rsidRPr="00BC22EA">
            <w:t xml:space="preserve"> silos, dust collection</w:t>
          </w:r>
          <w:r w:rsidR="00977722" w:rsidRPr="00BC22EA">
            <w:t xml:space="preserve"> and </w:t>
          </w:r>
          <w:r w:rsidRPr="00BC22EA">
            <w:t>containment systems, truck wash down</w:t>
          </w:r>
          <w:r w:rsidR="00F93BFF" w:rsidRPr="00BC22EA">
            <w:t>,</w:t>
          </w:r>
          <w:r w:rsidRPr="00BC22EA">
            <w:t xml:space="preserve"> and equipment cleaning areas.</w:t>
          </w:r>
          <w:r w:rsidR="007C4A0B" w:rsidRPr="00BC22EA">
            <w:t xml:space="preserve"> </w:t>
          </w:r>
        </w:p>
        <w:p w14:paraId="13B5C6D6" w14:textId="77777777" w:rsidR="00B77819" w:rsidRPr="00BC22EA" w:rsidRDefault="00B77819" w:rsidP="00400832">
          <w:pPr>
            <w:pStyle w:val="ListNumber5"/>
          </w:pPr>
          <w:r w:rsidRPr="00BC22EA">
            <w:t>At a minimum, the documentation of each routine inspection must include:</w:t>
          </w:r>
        </w:p>
        <w:p w14:paraId="3F99B4B8" w14:textId="77777777" w:rsidR="00B77819" w:rsidRPr="00BC22EA" w:rsidRDefault="003B77CC" w:rsidP="00400832">
          <w:pPr>
            <w:pStyle w:val="ListNumber6"/>
          </w:pPr>
          <w:r w:rsidRPr="00BC22EA">
            <w:t>t</w:t>
          </w:r>
          <w:r w:rsidR="00B77819" w:rsidRPr="00BC22EA">
            <w:t>he inspection date and time;</w:t>
          </w:r>
        </w:p>
        <w:p w14:paraId="06B6BA6F" w14:textId="77777777" w:rsidR="00B77819" w:rsidRPr="00BC22EA" w:rsidRDefault="003B77CC" w:rsidP="00400832">
          <w:pPr>
            <w:pStyle w:val="ListNumber6"/>
          </w:pPr>
          <w:r w:rsidRPr="00BC22EA">
            <w:t>t</w:t>
          </w:r>
          <w:r w:rsidR="00B77819" w:rsidRPr="00BC22EA">
            <w:t>he name(s) of the inspector;</w:t>
          </w:r>
        </w:p>
        <w:p w14:paraId="2B1AE1A8" w14:textId="77777777" w:rsidR="00B77819" w:rsidRPr="00BC22EA" w:rsidRDefault="003B77CC" w:rsidP="00400832">
          <w:pPr>
            <w:pStyle w:val="ListNumber6"/>
          </w:pPr>
          <w:r w:rsidRPr="00BC22EA">
            <w:t>w</w:t>
          </w:r>
          <w:r w:rsidR="00B77819" w:rsidRPr="00BC22EA">
            <w:t>eather information and a description of any discharges occurring at the time of the inspection;</w:t>
          </w:r>
        </w:p>
        <w:p w14:paraId="414FBFC0" w14:textId="77777777" w:rsidR="00B77819" w:rsidRPr="00BC22EA" w:rsidRDefault="003B77CC" w:rsidP="00400832">
          <w:pPr>
            <w:pStyle w:val="ListNumber6"/>
          </w:pPr>
          <w:r w:rsidRPr="00BC22EA">
            <w:t>a</w:t>
          </w:r>
          <w:r w:rsidR="00B77819" w:rsidRPr="00BC22EA">
            <w:t>ny previously unidentified discharges of pollutants at the site and any control measures needing maintenance or repairs;</w:t>
          </w:r>
        </w:p>
        <w:p w14:paraId="2B7BFACC" w14:textId="77777777" w:rsidR="00B77819" w:rsidRPr="00BC22EA" w:rsidRDefault="003B77CC" w:rsidP="00400832">
          <w:pPr>
            <w:pStyle w:val="ListNumber6"/>
          </w:pPr>
          <w:r w:rsidRPr="00BC22EA">
            <w:t>a</w:t>
          </w:r>
          <w:r w:rsidR="00B77819" w:rsidRPr="00BC22EA">
            <w:t>ny failed control measure that needs replacement;</w:t>
          </w:r>
        </w:p>
        <w:p w14:paraId="4E5139FA" w14:textId="77777777" w:rsidR="00B77819" w:rsidRPr="00BC22EA" w:rsidRDefault="003B77CC" w:rsidP="00400832">
          <w:pPr>
            <w:pStyle w:val="ListNumber6"/>
          </w:pPr>
          <w:r w:rsidRPr="00BC22EA">
            <w:t>a</w:t>
          </w:r>
          <w:r w:rsidR="00B77819" w:rsidRPr="00BC22EA">
            <w:t>ny incidents of non</w:t>
          </w:r>
          <w:r w:rsidR="00F90367" w:rsidRPr="00BC22EA">
            <w:t>-</w:t>
          </w:r>
          <w:r w:rsidR="00B77819" w:rsidRPr="00BC22EA">
            <w:t>compliance that are observed;</w:t>
          </w:r>
        </w:p>
        <w:p w14:paraId="1D2A0BCE" w14:textId="77777777" w:rsidR="00B77819" w:rsidRPr="00BC22EA" w:rsidRDefault="003B77CC" w:rsidP="00400832">
          <w:pPr>
            <w:pStyle w:val="ListNumber6"/>
          </w:pPr>
          <w:r w:rsidRPr="00BC22EA">
            <w:t>a</w:t>
          </w:r>
          <w:r w:rsidR="00B77819" w:rsidRPr="00BC22EA">
            <w:t xml:space="preserve">ny additional control measures needed to comply with the permit requirements; and </w:t>
          </w:r>
        </w:p>
        <w:p w14:paraId="7113AB75" w14:textId="77777777" w:rsidR="00B77819" w:rsidRPr="00BC22EA" w:rsidRDefault="003B77CC" w:rsidP="00400832">
          <w:pPr>
            <w:pStyle w:val="ListNumber6"/>
          </w:pPr>
          <w:r w:rsidRPr="00BC22EA">
            <w:t>i</w:t>
          </w:r>
          <w:r w:rsidR="00B77819" w:rsidRPr="00BC22EA">
            <w:t>dentification of any existing BMPs that are not being properly or completely implemented.</w:t>
          </w:r>
        </w:p>
        <w:p w14:paraId="1AA5AE9A" w14:textId="77777777" w:rsidR="009E6CF7" w:rsidRPr="00BC22EA" w:rsidRDefault="009B7ED7" w:rsidP="00400832">
          <w:pPr>
            <w:pStyle w:val="ListNumber5"/>
          </w:pPr>
          <w:r w:rsidRPr="00BC22EA">
            <w:t>When revisions or additions to the SWP3 are recommended as a result of inspections, a summary description of these proposed changes must be atta</w:t>
          </w:r>
          <w:r w:rsidR="00522F0F" w:rsidRPr="00BC22EA">
            <w:t xml:space="preserve">ched to the inspection report. </w:t>
          </w:r>
          <w:r w:rsidRPr="00BC22EA">
            <w:t>The summary must identify any necessary time frames required to implement the proposed changes</w:t>
          </w:r>
          <w:r w:rsidR="00D72690" w:rsidRPr="00BC22EA">
            <w:t xml:space="preserve"> and the completion dates of the changes</w:t>
          </w:r>
          <w:r w:rsidRPr="00BC22EA">
            <w:t>.</w:t>
          </w:r>
          <w:r w:rsidR="00D72690" w:rsidRPr="00BC22EA">
            <w:t xml:space="preserve"> If </w:t>
          </w:r>
          <w:r w:rsidR="00555C59" w:rsidRPr="00BC22EA">
            <w:t xml:space="preserve">the permittee does not change the SWP3, the permittee must provide </w:t>
          </w:r>
          <w:r w:rsidR="00D72690" w:rsidRPr="00BC22EA">
            <w:t>a written explanation.</w:t>
          </w:r>
          <w:r w:rsidR="007C4A0B" w:rsidRPr="00BC22EA">
            <w:t xml:space="preserve"> </w:t>
          </w:r>
        </w:p>
        <w:p w14:paraId="6128109A" w14:textId="77777777" w:rsidR="00B65278" w:rsidRPr="00BC22EA" w:rsidRDefault="005A5B11" w:rsidP="00400832">
          <w:pPr>
            <w:pStyle w:val="ListNumber5"/>
          </w:pPr>
          <w:r w:rsidRPr="00BC22EA">
            <w:t>Records of inspections must be maintained</w:t>
          </w:r>
          <w:r w:rsidR="009B7ED7" w:rsidRPr="00BC22EA">
            <w:t xml:space="preserve">, </w:t>
          </w:r>
          <w:r w:rsidRPr="00BC22EA">
            <w:t>be made readily available for inspection upon request</w:t>
          </w:r>
          <w:r w:rsidR="009B7ED7" w:rsidRPr="00BC22EA">
            <w:t xml:space="preserve">, and certified according </w:t>
          </w:r>
          <w:r w:rsidR="00522F0F" w:rsidRPr="00BC22EA">
            <w:t xml:space="preserve">to 30 TAC </w:t>
          </w:r>
          <w:r w:rsidR="00B3383F" w:rsidRPr="00BC22EA">
            <w:t>§</w:t>
          </w:r>
          <w:r w:rsidR="009B7ED7" w:rsidRPr="00BC22EA">
            <w:t xml:space="preserve">305.128, </w:t>
          </w:r>
          <w:r w:rsidR="009B7ED7" w:rsidRPr="00BC22EA">
            <w:rPr>
              <w:i/>
            </w:rPr>
            <w:t>Signatories to Reports</w:t>
          </w:r>
          <w:r w:rsidRPr="00BC22EA">
            <w:t>.</w:t>
          </w:r>
        </w:p>
        <w:p w14:paraId="512D6D68" w14:textId="77777777" w:rsidR="00463580" w:rsidRDefault="005A5B11">
          <w:pPr>
            <w:pStyle w:val="ListNumber4"/>
          </w:pPr>
          <w:r w:rsidRPr="00BC22EA">
            <w:t>Employee Training</w:t>
          </w:r>
        </w:p>
        <w:p w14:paraId="5911C8CC" w14:textId="453C3E63" w:rsidR="00B65278" w:rsidRDefault="005A5B11" w:rsidP="00400832">
          <w:pPr>
            <w:pStyle w:val="ListNumber5"/>
            <w:numPr>
              <w:ilvl w:val="0"/>
              <w:numId w:val="113"/>
            </w:numPr>
          </w:pPr>
          <w:r w:rsidRPr="00BC22EA">
            <w:t xml:space="preserve">An employee training program must be developed to educate personnel responsible for implementing any component of the SWP3 or otherwise responsible for </w:t>
          </w:r>
          <w:r w:rsidR="006E6F08" w:rsidRPr="00BC22EA">
            <w:t>stormwater</w:t>
          </w:r>
          <w:r w:rsidRPr="00BC22EA">
            <w:t xml:space="preserve"> pollution prevention. The </w:t>
          </w:r>
          <w:r w:rsidR="00F22001" w:rsidRPr="00BC22EA">
            <w:t>SWP3</w:t>
          </w:r>
          <w:r w:rsidRPr="00BC22EA">
            <w:t xml:space="preserve"> must identify how often employee training will occur</w:t>
          </w:r>
          <w:r w:rsidR="00A44694" w:rsidRPr="00BC22EA">
            <w:t>, which must be a minimum of once per year.</w:t>
          </w:r>
          <w:r w:rsidR="00D72690" w:rsidRPr="00BC22EA">
            <w:t xml:space="preserve"> </w:t>
          </w:r>
          <w:r w:rsidR="00555C59" w:rsidRPr="00BC22EA">
            <w:t>The permittee must maintain r</w:t>
          </w:r>
          <w:r w:rsidR="00D72690" w:rsidRPr="00BC22EA">
            <w:t>ecords of employee training onsite.</w:t>
          </w:r>
        </w:p>
        <w:p w14:paraId="74A0D33A" w14:textId="55372C3F" w:rsidR="00E21407" w:rsidRPr="00BC22EA" w:rsidRDefault="00E21407" w:rsidP="00400832">
          <w:pPr>
            <w:pStyle w:val="ListNumber5"/>
          </w:pPr>
          <w:r w:rsidRPr="00E21407">
            <w:t>Education must be provided to personnel at the facility who are not directly responsible for implementing or maintaining activities identified in the SWP3, and who do not participate in the employee training program. At a minimum, these employees must be informed of the basic goal of the SWP3 and how to contact the stormwater pollution prevention team regarding stormwater issues.</w:t>
          </w:r>
        </w:p>
        <w:p w14:paraId="1A5126AF" w14:textId="77777777" w:rsidR="00B65278" w:rsidRPr="00BC22EA" w:rsidRDefault="000D7A88" w:rsidP="00400832">
          <w:pPr>
            <w:pStyle w:val="ListNumber4"/>
          </w:pPr>
          <w:r>
            <w:t>Record-k</w:t>
          </w:r>
          <w:r w:rsidR="005A5B11" w:rsidRPr="00BC22EA">
            <w:t xml:space="preserve">eeping and Internal Reporting Procedures - A description of incidents (such as spills or other discharges), along with other information that is obtained regarding the quality and quantity of </w:t>
          </w:r>
          <w:r w:rsidR="006E6F08" w:rsidRPr="00BC22EA">
            <w:t>stormwater</w:t>
          </w:r>
          <w:r w:rsidR="005A5B11" w:rsidRPr="00BC22EA">
            <w:t xml:space="preserve"> </w:t>
          </w:r>
          <w:r w:rsidR="005A5B11" w:rsidRPr="00BC22EA">
            <w:lastRenderedPageBreak/>
            <w:t>discharges, must be included in the SWP3. Inspection</w:t>
          </w:r>
          <w:r w:rsidR="00E64667" w:rsidRPr="00BC22EA">
            <w:t>, training,</w:t>
          </w:r>
          <w:r w:rsidR="005A5B11" w:rsidRPr="00BC22EA">
            <w:t xml:space="preserve"> and maintenance activities must be documented and records of those inspection</w:t>
          </w:r>
          <w:r w:rsidR="005B1911" w:rsidRPr="00BC22EA">
            <w:t>, training</w:t>
          </w:r>
          <w:r w:rsidR="005A5B11" w:rsidRPr="00BC22EA">
            <w:t xml:space="preserve"> and maintenance activities must be incorporated in the SWP3.</w:t>
          </w:r>
        </w:p>
        <w:p w14:paraId="3645C29E" w14:textId="4ED139C0" w:rsidR="002D6C36" w:rsidRPr="00BC22EA" w:rsidRDefault="005A5B11" w:rsidP="00400832">
          <w:pPr>
            <w:pStyle w:val="ListNumber4"/>
          </w:pPr>
          <w:r w:rsidRPr="00BC22EA">
            <w:t xml:space="preserve">Sediment and Erosion Control - The SWP3 </w:t>
          </w:r>
          <w:r w:rsidR="005B1911" w:rsidRPr="00BC22EA">
            <w:t>shall</w:t>
          </w:r>
          <w:r w:rsidRPr="00BC22EA">
            <w:t xml:space="preserve"> identify areas that have a high potential for soil erosion </w:t>
          </w:r>
          <w:r w:rsidR="0085251E">
            <w:t xml:space="preserve">and sedimentation, </w:t>
          </w:r>
          <w:r w:rsidRPr="00BC22EA">
            <w:t xml:space="preserve">and identify structural or vegetative control measures or </w:t>
          </w:r>
          <w:r w:rsidR="005B1911" w:rsidRPr="00BC22EA">
            <w:t>BMP</w:t>
          </w:r>
          <w:r w:rsidR="00F22001" w:rsidRPr="00BC22EA">
            <w:t>s</w:t>
          </w:r>
          <w:r w:rsidRPr="00BC22EA">
            <w:t xml:space="preserve"> to reduce or limit erosion</w:t>
          </w:r>
          <w:r w:rsidR="0085251E">
            <w:t xml:space="preserve"> and sedimentation</w:t>
          </w:r>
          <w:r w:rsidRPr="00BC22EA">
            <w:t>.</w:t>
          </w:r>
        </w:p>
        <w:p w14:paraId="2D480656" w14:textId="77777777" w:rsidR="00B65278" w:rsidRPr="00BC22EA" w:rsidRDefault="005A5B11" w:rsidP="00400832">
          <w:pPr>
            <w:pStyle w:val="ListNumber4"/>
          </w:pPr>
          <w:r w:rsidRPr="00BC22EA">
            <w:t xml:space="preserve">Management of Runoff </w:t>
          </w:r>
          <w:r w:rsidR="009B7ED7" w:rsidRPr="00BC22EA">
            <w:t>Volume</w:t>
          </w:r>
          <w:r w:rsidR="003B77CC" w:rsidRPr="00BC22EA">
            <w:t xml:space="preserve"> </w:t>
          </w:r>
          <w:r w:rsidRPr="00BC22EA">
            <w:t xml:space="preserve">- The SWP3 </w:t>
          </w:r>
          <w:r w:rsidR="00A41340" w:rsidRPr="00BC22EA">
            <w:t>must</w:t>
          </w:r>
          <w:r w:rsidRPr="00BC22EA">
            <w:t xml:space="preserve"> contain a narrative </w:t>
          </w:r>
          <w:r w:rsidR="00E64667" w:rsidRPr="00BC22EA">
            <w:t>description of the plan</w:t>
          </w:r>
          <w:r w:rsidRPr="00BC22EA">
            <w:t xml:space="preserve"> for reducing the volume of runoff by diverting runoff, using infiltration, using detention ponds, using retention ponds, reusing runoff, </w:t>
          </w:r>
          <w:r w:rsidR="009B7ED7" w:rsidRPr="00BC22EA">
            <w:t xml:space="preserve">limiting impervious cover, </w:t>
          </w:r>
          <w:r w:rsidRPr="00BC22EA">
            <w:t>or otherwise managing runoff</w:t>
          </w:r>
          <w:r w:rsidR="00FF56FC" w:rsidRPr="00BC22EA">
            <w:t>.</w:t>
          </w:r>
        </w:p>
        <w:p w14:paraId="3F27CA0A" w14:textId="77777777" w:rsidR="00B65278" w:rsidRPr="00BC22EA" w:rsidRDefault="009B7ED7" w:rsidP="00400832">
          <w:pPr>
            <w:pStyle w:val="ListNumber3"/>
          </w:pPr>
          <w:r w:rsidRPr="00BC22EA">
            <w:t xml:space="preserve">Annual </w:t>
          </w:r>
          <w:r w:rsidR="000018C8" w:rsidRPr="00BC22EA">
            <w:t xml:space="preserve">Comprehensive Site Compliance </w:t>
          </w:r>
          <w:r w:rsidRPr="00BC22EA">
            <w:t>Inspection</w:t>
          </w:r>
          <w:r w:rsidR="000018C8" w:rsidRPr="00BC22EA">
            <w:t xml:space="preserve"> - Qualified individuals shall conduct a site compliance inspection</w:t>
          </w:r>
          <w:r w:rsidR="009453CD" w:rsidRPr="00BC22EA">
            <w:t xml:space="preserve"> and </w:t>
          </w:r>
          <w:r w:rsidR="000018C8" w:rsidRPr="00BC22EA">
            <w:t xml:space="preserve">evaluation at an interval defined in the SWP3 but </w:t>
          </w:r>
          <w:r w:rsidR="009453CD" w:rsidRPr="00BC22EA">
            <w:t>at least annually</w:t>
          </w:r>
          <w:r w:rsidR="000018C8" w:rsidRPr="00BC22EA">
            <w:t xml:space="preserve">. </w:t>
          </w:r>
        </w:p>
        <w:p w14:paraId="747EAF55" w14:textId="5634FE0F" w:rsidR="00F22001" w:rsidRPr="00BC22EA" w:rsidRDefault="00F22001" w:rsidP="00400832">
          <w:pPr>
            <w:pStyle w:val="ListNumber4"/>
            <w:numPr>
              <w:ilvl w:val="0"/>
              <w:numId w:val="98"/>
            </w:numPr>
          </w:pPr>
          <w:r w:rsidRPr="00BC22EA">
            <w:t xml:space="preserve">The </w:t>
          </w:r>
          <w:r w:rsidR="0085251E">
            <w:t xml:space="preserve">inspection and </w:t>
          </w:r>
          <w:r w:rsidRPr="00BC22EA">
            <w:t xml:space="preserve">evaluation must include the following: </w:t>
          </w:r>
        </w:p>
        <w:p w14:paraId="3B193795" w14:textId="77777777" w:rsidR="00F22001" w:rsidRPr="00BC22EA" w:rsidRDefault="003B77CC" w:rsidP="00400832">
          <w:pPr>
            <w:pStyle w:val="ListNumber5"/>
            <w:numPr>
              <w:ilvl w:val="0"/>
              <w:numId w:val="99"/>
            </w:numPr>
          </w:pPr>
          <w:r w:rsidRPr="00BC22EA">
            <w:t>v</w:t>
          </w:r>
          <w:r w:rsidR="001A2CEF" w:rsidRPr="00BC22EA">
            <w:t>isual examination of a</w:t>
          </w:r>
          <w:r w:rsidR="000018C8" w:rsidRPr="00BC22EA">
            <w:t xml:space="preserve">reas draining </w:t>
          </w:r>
          <w:r w:rsidR="006E6F08" w:rsidRPr="00BC22EA">
            <w:t>stormwater</w:t>
          </w:r>
          <w:r w:rsidR="000018C8" w:rsidRPr="00BC22EA">
            <w:t xml:space="preserve"> associated with industrial activities, including but not limited to cleaning areas, material handling areas, above ground storage tanks, hopper</w:t>
          </w:r>
          <w:r w:rsidR="00327F77" w:rsidRPr="00BC22EA">
            <w:t>s,</w:t>
          </w:r>
          <w:r w:rsidR="000018C8" w:rsidRPr="00BC22EA">
            <w:t xml:space="preserve"> silos, dust collection</w:t>
          </w:r>
          <w:r w:rsidR="00327F77" w:rsidRPr="00BC22EA">
            <w:t xml:space="preserve"> and </w:t>
          </w:r>
          <w:r w:rsidR="000018C8" w:rsidRPr="00BC22EA">
            <w:t>containment systems, and truck wash down and equipment cleaning areas, for evidence of, or the potential for, pollutan</w:t>
          </w:r>
          <w:r w:rsidR="001A2CEF" w:rsidRPr="00BC22EA">
            <w:t>ts entering the drainage system;</w:t>
          </w:r>
          <w:r w:rsidR="000018C8" w:rsidRPr="00BC22EA">
            <w:t xml:space="preserve"> </w:t>
          </w:r>
        </w:p>
        <w:p w14:paraId="51761197" w14:textId="77777777" w:rsidR="001A2CEF" w:rsidRPr="00BC22EA" w:rsidRDefault="003B77CC" w:rsidP="00400832">
          <w:pPr>
            <w:pStyle w:val="ListNumber5"/>
          </w:pPr>
          <w:r w:rsidRPr="00BC22EA">
            <w:t>e</w:t>
          </w:r>
          <w:r w:rsidR="001A2CEF" w:rsidRPr="00BC22EA">
            <w:t>xamination of m</w:t>
          </w:r>
          <w:r w:rsidR="000018C8" w:rsidRPr="00BC22EA">
            <w:t xml:space="preserve">easures implemented to reduce pollutants in runoff (including structural controls and implementation of </w:t>
          </w:r>
          <w:r w:rsidR="00F22001" w:rsidRPr="00BC22EA">
            <w:t>BMPs</w:t>
          </w:r>
          <w:r w:rsidR="000018C8" w:rsidRPr="00BC22EA">
            <w:t xml:space="preserve">) to determine if they are effective and if they are implemented in accordance with the terms of this permit and with the </w:t>
          </w:r>
          <w:r w:rsidR="001A2CEF" w:rsidRPr="00BC22EA">
            <w:t>SWP3; and</w:t>
          </w:r>
          <w:r w:rsidR="000018C8" w:rsidRPr="00BC22EA">
            <w:t xml:space="preserve"> </w:t>
          </w:r>
        </w:p>
        <w:p w14:paraId="398DAC1E" w14:textId="77777777" w:rsidR="00B65278" w:rsidRPr="00BC22EA" w:rsidRDefault="003B77CC" w:rsidP="00400832">
          <w:pPr>
            <w:pStyle w:val="ListNumber5"/>
          </w:pPr>
          <w:r w:rsidRPr="00BC22EA">
            <w:t>v</w:t>
          </w:r>
          <w:r w:rsidR="000018C8" w:rsidRPr="00BC22EA">
            <w:t>isual inspection of equipment needed to implement the SWP3, such as spill response equipment</w:t>
          </w:r>
          <w:r w:rsidR="001A2CEF" w:rsidRPr="00BC22EA">
            <w:t>, to ensure that it is available and in working condition</w:t>
          </w:r>
          <w:r w:rsidR="000018C8" w:rsidRPr="00BC22EA">
            <w:t>.</w:t>
          </w:r>
        </w:p>
        <w:p w14:paraId="0B10C1B6" w14:textId="77777777" w:rsidR="00B65278" w:rsidRPr="00BC22EA" w:rsidRDefault="00A00A18" w:rsidP="00400832">
          <w:pPr>
            <w:pStyle w:val="ListNumber4"/>
          </w:pPr>
          <w:r w:rsidRPr="00BC22EA">
            <w:t xml:space="preserve">Based on the results of the evaluation, the </w:t>
          </w:r>
          <w:r w:rsidR="001A2CEF" w:rsidRPr="00BC22EA">
            <w:t>following sections of the SWP3</w:t>
          </w:r>
          <w:r w:rsidRPr="00BC22EA">
            <w:t xml:space="preserve"> must be revised as appropriate within two weeks </w:t>
          </w:r>
          <w:r w:rsidR="00327F77" w:rsidRPr="00BC22EA">
            <w:t xml:space="preserve">after </w:t>
          </w:r>
          <w:r w:rsidR="001A2CEF" w:rsidRPr="00BC22EA">
            <w:t>the evaluation:</w:t>
          </w:r>
          <w:r w:rsidRPr="00BC22EA">
            <w:t xml:space="preserve"> the description of potential pollutant sources and pollution prevention measures and controls</w:t>
          </w:r>
          <w:r w:rsidR="001519A5" w:rsidRPr="00BC22EA">
            <w:t>.</w:t>
          </w:r>
          <w:r w:rsidRPr="00BC22EA">
            <w:t xml:space="preserve"> The revisions may include a schedule for implementing the necessary changes.</w:t>
          </w:r>
        </w:p>
        <w:p w14:paraId="1CE4092F" w14:textId="7BB71A19" w:rsidR="009B7ED7" w:rsidRPr="00BC22EA" w:rsidRDefault="009B7ED7" w:rsidP="00400832">
          <w:pPr>
            <w:pStyle w:val="ListNumber4"/>
          </w:pPr>
          <w:r w:rsidRPr="00BC22EA">
            <w:t>Annual Comprehensive Site Compliance Inspection Report:</w:t>
          </w:r>
          <w:r w:rsidR="007C4A0B" w:rsidRPr="00BC22EA">
            <w:t xml:space="preserve"> </w:t>
          </w:r>
          <w:r w:rsidRPr="00BC22EA">
            <w:t xml:space="preserve">Within 30 days of performing the annual </w:t>
          </w:r>
          <w:r w:rsidR="004B46CD" w:rsidRPr="00BC22EA">
            <w:t xml:space="preserve">comprehensive </w:t>
          </w:r>
          <w:r w:rsidRPr="00BC22EA">
            <w:t xml:space="preserve">site compliance inspection, the permittee shall prepare a </w:t>
          </w:r>
          <w:r w:rsidR="00A00A18" w:rsidRPr="00BC22EA">
            <w:t xml:space="preserve">report </w:t>
          </w:r>
          <w:r w:rsidRPr="00BC22EA">
            <w:t>that includes a narrative discussion of compliance with the SWP3.</w:t>
          </w:r>
          <w:r w:rsidR="007C4A0B" w:rsidRPr="00BC22EA">
            <w:t xml:space="preserve"> </w:t>
          </w:r>
          <w:r w:rsidR="004B46CD" w:rsidRPr="00BC22EA">
            <w:t>This report must be maintained as a part of the SWP3 for at least five years from the date of the inspection</w:t>
          </w:r>
          <w:r w:rsidR="00724D5E" w:rsidRPr="00BC22EA">
            <w:t>. T</w:t>
          </w:r>
          <w:r w:rsidR="004B46CD" w:rsidRPr="00BC22EA">
            <w:t>he report must be signed</w:t>
          </w:r>
          <w:r w:rsidR="00656D9F">
            <w:t xml:space="preserve"> and certified</w:t>
          </w:r>
          <w:r w:rsidR="004B46CD" w:rsidRPr="00BC22EA">
            <w:t xml:space="preserve"> according to 30 TAC </w:t>
          </w:r>
          <w:r w:rsidR="00B3383F" w:rsidRPr="00BC22EA">
            <w:t>§</w:t>
          </w:r>
          <w:r w:rsidR="004B46CD" w:rsidRPr="00BC22EA">
            <w:t xml:space="preserve">305.128, </w:t>
          </w:r>
          <w:r w:rsidR="004B46CD" w:rsidRPr="00BC22EA">
            <w:rPr>
              <w:rStyle w:val="Emphasis"/>
            </w:rPr>
            <w:t>Signatories to Reports</w:t>
          </w:r>
          <w:r w:rsidR="004B46CD" w:rsidRPr="00BC22EA">
            <w:t xml:space="preserve">. </w:t>
          </w:r>
          <w:r w:rsidRPr="00BC22EA">
            <w:t>The report must document all of the following information:</w:t>
          </w:r>
        </w:p>
        <w:p w14:paraId="73410E0A" w14:textId="33323D13" w:rsidR="009B7ED7" w:rsidRPr="00BC22EA" w:rsidRDefault="003B77CC" w:rsidP="00400832">
          <w:pPr>
            <w:pStyle w:val="ListNumber5"/>
            <w:numPr>
              <w:ilvl w:val="0"/>
              <w:numId w:val="100"/>
            </w:numPr>
          </w:pPr>
          <w:r w:rsidRPr="00BC22EA">
            <w:t>n</w:t>
          </w:r>
          <w:r w:rsidR="009B7ED7" w:rsidRPr="00BC22EA">
            <w:t xml:space="preserve">ames and titles of the </w:t>
          </w:r>
          <w:r w:rsidR="00A00A18" w:rsidRPr="00BC22EA">
            <w:t xml:space="preserve">personnel </w:t>
          </w:r>
          <w:r w:rsidR="009B7ED7" w:rsidRPr="00BC22EA">
            <w:t xml:space="preserve">conducting </w:t>
          </w:r>
          <w:r w:rsidR="00A00A18" w:rsidRPr="00BC22EA">
            <w:t xml:space="preserve">the </w:t>
          </w:r>
          <w:r w:rsidR="00656D9F">
            <w:t>inspection</w:t>
          </w:r>
          <w:r w:rsidR="009B7ED7" w:rsidRPr="00BC22EA">
            <w:t>;</w:t>
          </w:r>
        </w:p>
        <w:p w14:paraId="21C477CB" w14:textId="77777777" w:rsidR="009B7ED7" w:rsidRPr="00BC22EA" w:rsidRDefault="003B77CC" w:rsidP="00400832">
          <w:pPr>
            <w:pStyle w:val="ListNumber5"/>
          </w:pPr>
          <w:r w:rsidRPr="00BC22EA">
            <w:t>t</w:t>
          </w:r>
          <w:r w:rsidR="00A00A18" w:rsidRPr="00BC22EA">
            <w:t xml:space="preserve">he date(s) of the </w:t>
          </w:r>
          <w:r w:rsidR="009B7ED7" w:rsidRPr="00BC22EA">
            <w:t>inspection;</w:t>
          </w:r>
        </w:p>
        <w:p w14:paraId="0934586D" w14:textId="77777777" w:rsidR="00426437" w:rsidRPr="00BC22EA" w:rsidRDefault="003B77CC" w:rsidP="00400832">
          <w:pPr>
            <w:pStyle w:val="ListNumber5"/>
          </w:pPr>
          <w:r w:rsidRPr="00BC22EA">
            <w:t>f</w:t>
          </w:r>
          <w:r w:rsidR="009B7ED7" w:rsidRPr="00BC22EA">
            <w:t xml:space="preserve">indings from the inspection areas of the </w:t>
          </w:r>
          <w:r w:rsidR="007D2DF0" w:rsidRPr="00BC22EA">
            <w:t>facilities</w:t>
          </w:r>
          <w:r w:rsidR="00426437" w:rsidRPr="00BC22EA">
            <w:t>;</w:t>
          </w:r>
        </w:p>
        <w:p w14:paraId="3831117C" w14:textId="77777777" w:rsidR="00426437" w:rsidRPr="00BC22EA" w:rsidRDefault="003B77CC" w:rsidP="00400832">
          <w:pPr>
            <w:pStyle w:val="ListNumber5"/>
          </w:pPr>
          <w:r w:rsidRPr="00BC22EA">
            <w:lastRenderedPageBreak/>
            <w:t>m</w:t>
          </w:r>
          <w:r w:rsidR="00426437" w:rsidRPr="00BC22EA">
            <w:t>a</w:t>
          </w:r>
          <w:r w:rsidR="00A00A18" w:rsidRPr="00BC22EA">
            <w:t>jor observations relating to the implementation of the SWP3</w:t>
          </w:r>
          <w:r w:rsidR="00426437" w:rsidRPr="00BC22EA">
            <w:t>;</w:t>
          </w:r>
        </w:p>
        <w:p w14:paraId="4D788B40" w14:textId="77777777" w:rsidR="00426437" w:rsidRPr="00BC22EA" w:rsidRDefault="003B77CC" w:rsidP="00400832">
          <w:pPr>
            <w:pStyle w:val="ListNumber5"/>
          </w:pPr>
          <w:r w:rsidRPr="00BC22EA">
            <w:t>r</w:t>
          </w:r>
          <w:r w:rsidR="00426437" w:rsidRPr="00BC22EA">
            <w:t>evisions made to the SWP3 as a result of the inspection; and</w:t>
          </w:r>
        </w:p>
        <w:p w14:paraId="0AD6B3E1" w14:textId="77777777" w:rsidR="00AD365F" w:rsidRDefault="00426437">
          <w:pPr>
            <w:pStyle w:val="ListNumber5"/>
          </w:pPr>
          <w:r w:rsidRPr="00BC22EA">
            <w:t>any incidents of non</w:t>
          </w:r>
          <w:r w:rsidR="004B46CD" w:rsidRPr="00BC22EA">
            <w:t>-</w:t>
          </w:r>
          <w:r w:rsidRPr="00BC22EA">
            <w:t>compliance</w:t>
          </w:r>
          <w:r w:rsidR="00AD365F">
            <w:t>:</w:t>
          </w:r>
        </w:p>
        <w:p w14:paraId="63F90309" w14:textId="77777777" w:rsidR="008515B6" w:rsidRDefault="008515B6" w:rsidP="00400832">
          <w:pPr>
            <w:pStyle w:val="ListNumber6"/>
            <w:numPr>
              <w:ilvl w:val="0"/>
              <w:numId w:val="114"/>
            </w:numPr>
          </w:pPr>
          <w:r w:rsidRPr="008515B6">
            <w:t>An incident of non-compliance is any instance where an element of the SWP3 is either not implemented, or where specific conditions of the permit are not met</w:t>
          </w:r>
          <w:r>
            <w:t>.</w:t>
          </w:r>
        </w:p>
        <w:p w14:paraId="3A8D1B70" w14:textId="295DC4F7" w:rsidR="008E2801" w:rsidRDefault="008515B6" w:rsidP="00AD365F">
          <w:pPr>
            <w:pStyle w:val="ListNumber6"/>
          </w:pPr>
          <w:r>
            <w:t>I</w:t>
          </w:r>
          <w:r w:rsidR="00426437" w:rsidRPr="00BC22EA">
            <w:t>f no incidences of non</w:t>
          </w:r>
          <w:r w:rsidR="00724D5E" w:rsidRPr="00BC22EA">
            <w:t>-</w:t>
          </w:r>
          <w:r w:rsidR="00426437" w:rsidRPr="00BC22EA">
            <w:t xml:space="preserve">compliance are discovered, a written certification by the permittee that the facility is in compliance with the SWP3. </w:t>
          </w:r>
        </w:p>
        <w:p w14:paraId="248301D9" w14:textId="22A6F6C0" w:rsidR="00B65278" w:rsidRPr="00BC22EA" w:rsidRDefault="008E2801" w:rsidP="00400832">
          <w:pPr>
            <w:pStyle w:val="ListNumber6"/>
          </w:pPr>
          <w:r w:rsidRPr="008E2801">
            <w:t>If an incident or incidents of non-compliance is identified, then the report must include all necessary actions to remedy the non-compliance. The identified actions must be completed as soon as practicable, but no later than 12 weeks following the completion of the report</w:t>
          </w:r>
          <w:r w:rsidR="001729AD">
            <w:t>.</w:t>
          </w:r>
        </w:p>
        <w:p w14:paraId="50EAB560" w14:textId="77777777" w:rsidR="00B65278" w:rsidRPr="00BC22EA" w:rsidRDefault="00A00A18" w:rsidP="00400832">
          <w:pPr>
            <w:pStyle w:val="ListNumber4"/>
          </w:pPr>
          <w:r w:rsidRPr="00BC22EA">
            <w:t xml:space="preserve">The </w:t>
          </w:r>
          <w:r w:rsidR="00426437" w:rsidRPr="00BC22EA">
            <w:t xml:space="preserve">Annual </w:t>
          </w:r>
          <w:r w:rsidRPr="00BC22EA">
            <w:t xml:space="preserve">Comprehensive Site Compliance </w:t>
          </w:r>
          <w:r w:rsidR="00426437" w:rsidRPr="00BC22EA">
            <w:t>Inspection</w:t>
          </w:r>
          <w:r w:rsidRPr="00BC22EA">
            <w:t xml:space="preserve"> may substitute for one of the required inspections </w:t>
          </w:r>
          <w:r w:rsidR="00724D5E" w:rsidRPr="00BC22EA">
            <w:t>required</w:t>
          </w:r>
          <w:r w:rsidRPr="00BC22EA">
            <w:t xml:space="preserve"> in </w:t>
          </w:r>
          <w:r w:rsidR="00724D5E" w:rsidRPr="00BC22EA">
            <w:t>Part III.B.7</w:t>
          </w:r>
          <w:r w:rsidR="001519A5" w:rsidRPr="00BC22EA">
            <w:t>.b.iii</w:t>
          </w:r>
          <w:r w:rsidR="00724D5E" w:rsidRPr="00BC22EA">
            <w:t>.</w:t>
          </w:r>
          <w:r w:rsidR="001519A5" w:rsidRPr="00BC22EA">
            <w:t>(D)</w:t>
          </w:r>
          <w:r w:rsidRPr="00BC22EA">
            <w:t>.</w:t>
          </w:r>
        </w:p>
        <w:p w14:paraId="573D1205" w14:textId="77777777" w:rsidR="000A650B" w:rsidRPr="00BC22EA" w:rsidRDefault="00581CC5" w:rsidP="00400832">
          <w:pPr>
            <w:pStyle w:val="ListNumber4"/>
          </w:pPr>
          <w:r w:rsidRPr="00BC22EA">
            <w:t xml:space="preserve">Revision of the SWP3. </w:t>
          </w:r>
          <w:r w:rsidR="00426437" w:rsidRPr="00BC22EA">
            <w:t xml:space="preserve">Within 12 weeks following the completion of the Annual </w:t>
          </w:r>
          <w:r w:rsidR="00724D5E" w:rsidRPr="00BC22EA">
            <w:t xml:space="preserve">Comprehensive </w:t>
          </w:r>
          <w:r w:rsidR="00426437" w:rsidRPr="00BC22EA">
            <w:t>Site Compliance Inspection Report, the permittee shall revise the SWP3 to include and address the findings of the report</w:t>
          </w:r>
          <w:r w:rsidR="00724D5E" w:rsidRPr="00BC22EA">
            <w:t xml:space="preserve"> and implement the revisions</w:t>
          </w:r>
          <w:r w:rsidR="00426437" w:rsidRPr="00BC22EA">
            <w:t>. Revisions must include all changes resulting from the report and all applicable updates to the following elements of the SWP3</w:t>
          </w:r>
          <w:r w:rsidR="00724D5E" w:rsidRPr="00BC22EA">
            <w:t>:</w:t>
          </w:r>
          <w:r w:rsidR="00426437" w:rsidRPr="00BC22EA">
            <w:t xml:space="preserve"> controls that should be added or modified; site map; inventory of exposed materials; description of the good housekeeping measures; description of structural and non-structural controls; and any other element of the SWP3 that was either found to be inaccurate or will be modified.</w:t>
          </w:r>
        </w:p>
        <w:p w14:paraId="5CE9241B" w14:textId="2AEBEF7E" w:rsidR="00090122" w:rsidRPr="00BC22EA" w:rsidRDefault="00090122" w:rsidP="00400832">
          <w:pPr>
            <w:pStyle w:val="ListNumber"/>
          </w:pPr>
          <w:r w:rsidRPr="00BC22EA">
            <w:t xml:space="preserve">Results from the </w:t>
          </w:r>
          <w:r w:rsidR="006E6F08" w:rsidRPr="00BC22EA">
            <w:t>benchmark</w:t>
          </w:r>
          <w:r w:rsidRPr="00BC22EA">
            <w:t xml:space="preserve"> and hazardous metals monitoring </w:t>
          </w:r>
          <w:r w:rsidR="00555C59" w:rsidRPr="00BC22EA">
            <w:t>and</w:t>
          </w:r>
          <w:r w:rsidR="00835DB7" w:rsidRPr="00BC22EA">
            <w:t xml:space="preserve"> the SWP3 </w:t>
          </w:r>
          <w:r w:rsidR="00066052" w:rsidRPr="00BC22EA">
            <w:t>must be retained onsite and made readily available for review by authorized TCEQ personnel upon request</w:t>
          </w:r>
          <w:r w:rsidR="003B77CC" w:rsidRPr="00BC22EA">
            <w:t xml:space="preserve">. </w:t>
          </w:r>
          <w:r w:rsidR="00DF4DFD" w:rsidRPr="00DF4DFD">
            <w:t>Analytical results that exceed the hazardous metal effluent limitations must be submitted by March 31 of the following year electronically using the online NetDMR reporting system available through the TCEQ website, unless the permittee requests and obtains an electronic reporting waiver. Permittees that are issued an electronic reporting waiver shall submit analytical results to the TCEQ Enforcement Division (MC-224) on an approved DMR form (EPA No. 3320-1), a duplicate of the form, or as otherwise provided by the executive director.</w:t>
          </w:r>
        </w:p>
        <w:p w14:paraId="771AF4ED" w14:textId="77777777" w:rsidR="000018C8" w:rsidRPr="00BC22EA" w:rsidRDefault="000018C8" w:rsidP="00B06F00">
          <w:pPr>
            <w:pStyle w:val="Heading2"/>
          </w:pPr>
          <w:bookmarkStart w:id="23" w:name="_Toc419104032"/>
          <w:bookmarkStart w:id="24" w:name="_Toc196219278"/>
          <w:r w:rsidRPr="00BC22EA">
            <w:t xml:space="preserve">Section </w:t>
          </w:r>
          <w:r w:rsidR="00A00A18" w:rsidRPr="00BC22EA">
            <w:t>C</w:t>
          </w:r>
          <w:r w:rsidRPr="00BC22EA">
            <w:t>.</w:t>
          </w:r>
          <w:r w:rsidR="007C4A0B" w:rsidRPr="00BC22EA">
            <w:t xml:space="preserve"> </w:t>
          </w:r>
          <w:bookmarkEnd w:id="23"/>
          <w:r w:rsidR="007B46CA" w:rsidRPr="00BC22EA">
            <w:t xml:space="preserve">Beneficial </w:t>
          </w:r>
          <w:r w:rsidR="00555C59" w:rsidRPr="00BC22EA">
            <w:t>Re-U</w:t>
          </w:r>
          <w:r w:rsidR="007B46CA" w:rsidRPr="00BC22EA">
            <w:t>se of Facility Wastewater and Stormwater</w:t>
          </w:r>
          <w:bookmarkEnd w:id="24"/>
        </w:p>
        <w:p w14:paraId="60330F1F" w14:textId="6062BEA0" w:rsidR="009E6CF7" w:rsidRPr="00BC22EA" w:rsidRDefault="0055449A" w:rsidP="00400832">
          <w:pPr>
            <w:pStyle w:val="BodyText"/>
          </w:pPr>
          <w:r w:rsidRPr="00BC22EA">
            <w:t>This section applies to any facility that uses</w:t>
          </w:r>
          <w:r w:rsidR="000018C8" w:rsidRPr="00BC22EA">
            <w:t xml:space="preserve"> facility wastewater </w:t>
          </w:r>
          <w:r w:rsidRPr="00BC22EA">
            <w:t xml:space="preserve">or </w:t>
          </w:r>
          <w:r w:rsidR="006E6F08" w:rsidRPr="00BC22EA">
            <w:t>stormwater</w:t>
          </w:r>
          <w:r w:rsidR="005065A4" w:rsidRPr="00BC22EA">
            <w:t xml:space="preserve"> </w:t>
          </w:r>
          <w:r w:rsidR="000018C8" w:rsidRPr="00BC22EA">
            <w:t xml:space="preserve">associated with industrial activities for onsite dust suppression, soil compaction, irrigation, </w:t>
          </w:r>
          <w:r w:rsidR="000453B8" w:rsidRPr="00BC22EA">
            <w:t>or</w:t>
          </w:r>
          <w:r w:rsidR="000018C8" w:rsidRPr="00BC22EA">
            <w:t xml:space="preserve"> fire protection. These requirements are in addition to all other requirements outlined in this general permit.</w:t>
          </w:r>
        </w:p>
        <w:p w14:paraId="21D80F2D" w14:textId="77777777" w:rsidR="00B65278" w:rsidRPr="00BC22EA" w:rsidRDefault="000018C8" w:rsidP="00400832">
          <w:pPr>
            <w:pStyle w:val="ListNumber"/>
            <w:numPr>
              <w:ilvl w:val="0"/>
              <w:numId w:val="101"/>
            </w:numPr>
          </w:pPr>
          <w:r w:rsidRPr="00BC22EA">
            <w:t xml:space="preserve">Dust suppression, soil compaction, and irrigation practices </w:t>
          </w:r>
          <w:r w:rsidR="005B1911" w:rsidRPr="00BC22EA">
            <w:t>shall</w:t>
          </w:r>
          <w:r w:rsidRPr="00BC22EA">
            <w:t xml:space="preserve"> be designed and managed to prevent runoff, ponding of effluent, contamination of ground and surface waters</w:t>
          </w:r>
          <w:r w:rsidR="00327F77" w:rsidRPr="00BC22EA">
            <w:t>,</w:t>
          </w:r>
          <w:r w:rsidRPr="00BC22EA">
            <w:t xml:space="preserve"> and occurrence of nuisance conditions in the area.</w:t>
          </w:r>
        </w:p>
        <w:p w14:paraId="78CAEEF0" w14:textId="77777777" w:rsidR="00B65278" w:rsidRPr="00BC22EA" w:rsidRDefault="002347E4" w:rsidP="00400832">
          <w:pPr>
            <w:pStyle w:val="ListNumber"/>
          </w:pPr>
          <w:r w:rsidRPr="00BC22EA">
            <w:lastRenderedPageBreak/>
            <w:t>F</w:t>
          </w:r>
          <w:r w:rsidR="000018C8" w:rsidRPr="00BC22EA">
            <w:t xml:space="preserve">acility wastewater or </w:t>
          </w:r>
          <w:r w:rsidR="006E6F08" w:rsidRPr="00BC22EA">
            <w:t>stormwater</w:t>
          </w:r>
          <w:r w:rsidR="000018C8" w:rsidRPr="00BC22EA">
            <w:t xml:space="preserve"> </w:t>
          </w:r>
          <w:r w:rsidRPr="00BC22EA">
            <w:t xml:space="preserve">may be applied </w:t>
          </w:r>
          <w:r w:rsidR="000018C8" w:rsidRPr="00BC22EA">
            <w:t xml:space="preserve">for soil compaction and irrigation only when </w:t>
          </w:r>
          <w:r w:rsidR="00CE37AB" w:rsidRPr="00BC22EA">
            <w:t xml:space="preserve">an </w:t>
          </w:r>
          <w:r w:rsidR="000018C8" w:rsidRPr="00BC22EA">
            <w:t xml:space="preserve">area is not in use. This restriction does not apply to dust suppression activities. </w:t>
          </w:r>
          <w:r w:rsidRPr="00BC22EA">
            <w:t>F</w:t>
          </w:r>
          <w:r w:rsidR="000018C8" w:rsidRPr="00BC22EA">
            <w:t xml:space="preserve">acility wastewater and </w:t>
          </w:r>
          <w:r w:rsidR="006E6F08" w:rsidRPr="00BC22EA">
            <w:t>stormwater</w:t>
          </w:r>
          <w:r w:rsidR="000018C8" w:rsidRPr="00BC22EA">
            <w:t xml:space="preserve"> </w:t>
          </w:r>
          <w:r w:rsidRPr="00BC22EA">
            <w:t xml:space="preserve">must not be applied </w:t>
          </w:r>
          <w:r w:rsidR="000018C8" w:rsidRPr="00BC22EA">
            <w:t xml:space="preserve">for dust suppression, soil compaction, </w:t>
          </w:r>
          <w:r w:rsidR="00CC12E4" w:rsidRPr="00BC22EA">
            <w:t xml:space="preserve">or </w:t>
          </w:r>
          <w:r w:rsidR="000018C8" w:rsidRPr="00BC22EA">
            <w:t xml:space="preserve">irrigation during times when the ground is frozen, the ground has standing water, the ground is saturated, </w:t>
          </w:r>
          <w:r w:rsidR="00CC12E4" w:rsidRPr="00BC22EA">
            <w:t xml:space="preserve">during rainfall events, </w:t>
          </w:r>
          <w:r w:rsidR="000018C8" w:rsidRPr="00BC22EA">
            <w:t xml:space="preserve">or within 24 hours of a rainfall event of 0.5 inch or greater during a 24-hour </w:t>
          </w:r>
          <w:r w:rsidR="00CC12E4" w:rsidRPr="00BC22EA">
            <w:t>period</w:t>
          </w:r>
          <w:r w:rsidR="000018C8" w:rsidRPr="00BC22EA">
            <w:t xml:space="preserve">. </w:t>
          </w:r>
          <w:r w:rsidR="00C343D0" w:rsidRPr="00BC22EA">
            <w:t>The permittee must u</w:t>
          </w:r>
          <w:r w:rsidR="00327F77" w:rsidRPr="00BC22EA">
            <w:t xml:space="preserve">se </w:t>
          </w:r>
          <w:r w:rsidR="005B1911" w:rsidRPr="00BC22EA">
            <w:t xml:space="preserve">BMPs </w:t>
          </w:r>
          <w:r w:rsidR="00106D7A">
            <w:t>to prevent off-</w:t>
          </w:r>
          <w:r w:rsidR="000018C8" w:rsidRPr="00BC22EA">
            <w:t xml:space="preserve">site tracking of mud resulting from the use of wastewater or </w:t>
          </w:r>
          <w:r w:rsidR="006E6F08" w:rsidRPr="00BC22EA">
            <w:t>stormwater</w:t>
          </w:r>
          <w:r w:rsidR="000018C8" w:rsidRPr="00BC22EA">
            <w:t xml:space="preserve"> for dust suppression.</w:t>
          </w:r>
        </w:p>
        <w:p w14:paraId="1C3D52DE" w14:textId="77777777" w:rsidR="00B65278" w:rsidRPr="00BC22EA" w:rsidRDefault="000018C8" w:rsidP="00400832">
          <w:pPr>
            <w:pStyle w:val="ListNumber"/>
          </w:pPr>
          <w:r w:rsidRPr="00BC22EA">
            <w:t xml:space="preserve">Spray fixtures for the dust suppression, soil compaction, irrigation, and fire protection systems </w:t>
          </w:r>
          <w:r w:rsidR="003928E4" w:rsidRPr="00BC22EA">
            <w:t xml:space="preserve">must </w:t>
          </w:r>
          <w:r w:rsidRPr="00BC22EA">
            <w:t>be designed so that they cannot be operated by unauthorized personnel.</w:t>
          </w:r>
        </w:p>
        <w:p w14:paraId="77A0D4DA" w14:textId="77777777" w:rsidR="00B65278" w:rsidRPr="00BC22EA" w:rsidRDefault="000018C8" w:rsidP="00400832">
          <w:pPr>
            <w:pStyle w:val="ListNumber"/>
          </w:pPr>
          <w:r w:rsidRPr="00BC22EA">
            <w:t xml:space="preserve">Adequate signs </w:t>
          </w:r>
          <w:r w:rsidR="003928E4" w:rsidRPr="00BC22EA">
            <w:t>must</w:t>
          </w:r>
          <w:r w:rsidRPr="00BC22EA">
            <w:t xml:space="preserve"> be erected stating that water used for dust suppression, soil compaction, irrigation, and fire protection systems are from a non-potable water supply. Such signs </w:t>
          </w:r>
          <w:r w:rsidR="003928E4" w:rsidRPr="00BC22EA">
            <w:t>must</w:t>
          </w:r>
          <w:r w:rsidRPr="00BC22EA">
            <w:t xml:space="preserve"> consist of a red slash superimposed over the international symbol for drinking water accompanied by the message "Do not drink the water" in both English and Spanish.</w:t>
          </w:r>
        </w:p>
        <w:p w14:paraId="7012B6F6" w14:textId="77777777" w:rsidR="00B65278" w:rsidRPr="00BC22EA" w:rsidRDefault="000018C8" w:rsidP="00400832">
          <w:pPr>
            <w:pStyle w:val="ListNumber"/>
          </w:pPr>
          <w:r w:rsidRPr="00BC22EA">
            <w:t xml:space="preserve">Treated facility wastewater and </w:t>
          </w:r>
          <w:r w:rsidR="006E6F08" w:rsidRPr="00BC22EA">
            <w:t>stormwater</w:t>
          </w:r>
          <w:r w:rsidRPr="00BC22EA">
            <w:t xml:space="preserve"> associated with industrial activities may be used for dust control if collected from portable concrete plants installed and dedicated to supply concrete to a construction project. Dust suppression </w:t>
          </w:r>
          <w:r w:rsidR="00977722" w:rsidRPr="00BC22EA">
            <w:t xml:space="preserve">must </w:t>
          </w:r>
          <w:r w:rsidRPr="00BC22EA">
            <w:t xml:space="preserve">be carried out as a </w:t>
          </w:r>
          <w:r w:rsidR="001A0145" w:rsidRPr="00BC22EA">
            <w:t>beneficial use,</w:t>
          </w:r>
          <w:r w:rsidRPr="00BC22EA">
            <w:t xml:space="preserve"> not as a wastewater disposal method.</w:t>
          </w:r>
        </w:p>
        <w:p w14:paraId="190200AB" w14:textId="77777777" w:rsidR="000018C8" w:rsidRPr="00BC22EA" w:rsidRDefault="000018C8" w:rsidP="00B06F00">
          <w:pPr>
            <w:pStyle w:val="Heading2"/>
          </w:pPr>
          <w:bookmarkStart w:id="25" w:name="_Toc419104033"/>
          <w:bookmarkStart w:id="26" w:name="_Toc196219279"/>
          <w:r w:rsidRPr="00BC22EA">
            <w:t xml:space="preserve">Section </w:t>
          </w:r>
          <w:r w:rsidR="00A00A18" w:rsidRPr="00BC22EA">
            <w:t>D</w:t>
          </w:r>
          <w:r w:rsidRPr="00BC22EA">
            <w:t>.</w:t>
          </w:r>
          <w:r w:rsidR="007C4A0B" w:rsidRPr="00BC22EA">
            <w:t xml:space="preserve"> </w:t>
          </w:r>
          <w:r w:rsidRPr="00BC22EA">
            <w:t>General Requirements</w:t>
          </w:r>
          <w:bookmarkEnd w:id="25"/>
          <w:bookmarkEnd w:id="26"/>
        </w:p>
        <w:p w14:paraId="7CE058FD" w14:textId="77777777" w:rsidR="0055449A" w:rsidRPr="00BC22EA" w:rsidRDefault="0055449A" w:rsidP="00400832">
          <w:pPr>
            <w:pStyle w:val="BodyText"/>
          </w:pPr>
          <w:r w:rsidRPr="00BC22EA">
            <w:t>This section applies to all facilities authorized under this general permit.</w:t>
          </w:r>
        </w:p>
        <w:p w14:paraId="45C2DCF1" w14:textId="77777777" w:rsidR="00B65278" w:rsidRPr="00BC22EA" w:rsidRDefault="000018C8" w:rsidP="00400832">
          <w:pPr>
            <w:pStyle w:val="ListNumber"/>
            <w:numPr>
              <w:ilvl w:val="0"/>
              <w:numId w:val="102"/>
            </w:numPr>
          </w:pPr>
          <w:r w:rsidRPr="00BC22EA">
            <w:t xml:space="preserve">Mixing zones must not </w:t>
          </w:r>
          <w:r w:rsidR="00D5002F" w:rsidRPr="00BC22EA">
            <w:t xml:space="preserve">include </w:t>
          </w:r>
          <w:r w:rsidRPr="00BC22EA">
            <w:t xml:space="preserve">an intake for a domestic drinking water supply, and the discharge may </w:t>
          </w:r>
          <w:r w:rsidR="00C11284" w:rsidRPr="00BC22EA">
            <w:t>not</w:t>
          </w:r>
          <w:r w:rsidRPr="00BC22EA">
            <w:t xml:space="preserve"> be located within 300 feet of the intake for a domestic drinking water supply.</w:t>
          </w:r>
        </w:p>
        <w:p w14:paraId="5FA2ED47" w14:textId="77777777" w:rsidR="00B65278" w:rsidRPr="00BC22EA" w:rsidRDefault="000018C8" w:rsidP="00400832">
          <w:pPr>
            <w:pStyle w:val="ListNumber"/>
          </w:pPr>
          <w:r w:rsidRPr="00BC22EA">
            <w:t>Discharges must be conducted so there is no danger of pollution to private or public water wells.</w:t>
          </w:r>
        </w:p>
        <w:p w14:paraId="0875B3EF" w14:textId="77777777" w:rsidR="00B65278" w:rsidRPr="00BC22EA" w:rsidRDefault="000018C8" w:rsidP="00400832">
          <w:pPr>
            <w:pStyle w:val="ListNumber"/>
          </w:pPr>
          <w:r w:rsidRPr="00BC22EA">
            <w:t>There must be no discharg</w:t>
          </w:r>
          <w:r w:rsidR="00D62AAE" w:rsidRPr="00BC22EA">
            <w:t xml:space="preserve">e of floating solids or visible oil. The discharge </w:t>
          </w:r>
          <w:r w:rsidR="003928E4" w:rsidRPr="00BC22EA">
            <w:t>must</w:t>
          </w:r>
          <w:r w:rsidR="00D62AAE" w:rsidRPr="00BC22EA">
            <w:t xml:space="preserve"> not exhibit foaming of a persistent nature</w:t>
          </w:r>
          <w:r w:rsidR="00BD37AC" w:rsidRPr="00BC22EA">
            <w:t xml:space="preserve"> as required by 30 TAC </w:t>
          </w:r>
          <w:r w:rsidR="00B3383F" w:rsidRPr="00BC22EA">
            <w:t>§</w:t>
          </w:r>
          <w:r w:rsidR="00BD37AC" w:rsidRPr="00BC22EA">
            <w:t>307.4(b)(6)</w:t>
          </w:r>
          <w:r w:rsidR="006E0EED" w:rsidRPr="00BC22EA">
            <w:t xml:space="preserve">, </w:t>
          </w:r>
          <w:r w:rsidR="006E0EED" w:rsidRPr="00BC22EA">
            <w:rPr>
              <w:i/>
            </w:rPr>
            <w:t>Aesthetic Parameters</w:t>
          </w:r>
          <w:r w:rsidR="00D62AAE" w:rsidRPr="00BC22EA">
            <w:t>.</w:t>
          </w:r>
        </w:p>
        <w:p w14:paraId="268483F5" w14:textId="77777777" w:rsidR="00B65278" w:rsidRPr="00BC22EA" w:rsidRDefault="000018C8" w:rsidP="00400832">
          <w:pPr>
            <w:pStyle w:val="ListNumber"/>
          </w:pPr>
          <w:r w:rsidRPr="00BC22EA">
            <w:t xml:space="preserve">Discharges must not contain a concentration of taste or </w:t>
          </w:r>
          <w:r w:rsidR="00747C74" w:rsidRPr="00BC22EA">
            <w:t>odor-producing</w:t>
          </w:r>
          <w:r w:rsidRPr="00BC22EA">
            <w:t xml:space="preserve"> substances that interfere with the production of potable water by reasonable water treatment methods, impart unpalatable flavor to food fish, including shellfish, result in offensive odors arising from the receiving waters, or otherwise interfere with reasonable uses of water in the state.</w:t>
          </w:r>
        </w:p>
        <w:p w14:paraId="44C72752" w14:textId="77777777" w:rsidR="00B65278" w:rsidRPr="00BC22EA" w:rsidRDefault="00F93BFF" w:rsidP="00400832">
          <w:pPr>
            <w:pStyle w:val="ListNumber"/>
          </w:pPr>
          <w:r w:rsidRPr="00BC22EA">
            <w:t xml:space="preserve">Operators of facilities </w:t>
          </w:r>
          <w:r w:rsidR="00AC2827" w:rsidRPr="00BC22EA">
            <w:t>that</w:t>
          </w:r>
          <w:r w:rsidR="00B950AD" w:rsidRPr="00BC22EA">
            <w:t xml:space="preserve"> generate industrial solid wastes, as defined in 30 TAC </w:t>
          </w:r>
          <w:r w:rsidR="00B3383F" w:rsidRPr="00BC22EA">
            <w:t>§</w:t>
          </w:r>
          <w:r w:rsidR="00B950AD" w:rsidRPr="00BC22EA">
            <w:t>335.1, shall comply with the provisions of 30 TAC Chapter 335</w:t>
          </w:r>
          <w:r w:rsidR="00D5002F" w:rsidRPr="00BC22EA">
            <w:t>,</w:t>
          </w:r>
          <w:r w:rsidR="00B950AD" w:rsidRPr="00BC22EA">
            <w:t xml:space="preserve"> </w:t>
          </w:r>
          <w:r w:rsidR="00A32EDB" w:rsidRPr="00BC22EA">
            <w:rPr>
              <w:i/>
            </w:rPr>
            <w:t>Industrial Solid Waste and Municipal Hazardous Waste</w:t>
          </w:r>
          <w:r w:rsidR="00B950AD" w:rsidRPr="00BC22EA">
            <w:t xml:space="preserve">. If the requirements of 30 TAC Chapter 335 do not apply, the solid wastes </w:t>
          </w:r>
          <w:r w:rsidR="00D5002F" w:rsidRPr="00BC22EA">
            <w:t xml:space="preserve">must </w:t>
          </w:r>
          <w:r w:rsidR="00B950AD" w:rsidRPr="00BC22EA">
            <w:t>be disposed of in accordance with the Texas Health and Safety Code Chapter 361</w:t>
          </w:r>
          <w:r w:rsidR="00327F77" w:rsidRPr="00BC22EA">
            <w:t xml:space="preserve">, </w:t>
          </w:r>
          <w:r w:rsidR="00327F77" w:rsidRPr="00BC22EA">
            <w:rPr>
              <w:i/>
            </w:rPr>
            <w:t>Solid Waste Disposal</w:t>
          </w:r>
          <w:r w:rsidR="00B950AD" w:rsidRPr="00BC22EA">
            <w:t>.</w:t>
          </w:r>
        </w:p>
        <w:p w14:paraId="273C3C0C" w14:textId="77777777" w:rsidR="00BC22EA" w:rsidRDefault="000018C8" w:rsidP="00400832">
          <w:pPr>
            <w:pStyle w:val="ListNumber"/>
          </w:pPr>
          <w:r w:rsidRPr="00BC22EA">
            <w:t>The disposal of waste and wastewater must be done in a manner that prevents nuisance conditions.</w:t>
          </w:r>
        </w:p>
        <w:p w14:paraId="4CD8683C" w14:textId="77777777" w:rsidR="00B65278" w:rsidRPr="00BC22EA" w:rsidRDefault="000018C8" w:rsidP="00400832">
          <w:pPr>
            <w:pStyle w:val="ListNumber"/>
          </w:pPr>
          <w:r w:rsidRPr="00BC22EA">
            <w:t>The permittee shall provide the following non</w:t>
          </w:r>
          <w:r w:rsidR="005B04F7" w:rsidRPr="00BC22EA">
            <w:t>-</w:t>
          </w:r>
          <w:r w:rsidRPr="00BC22EA">
            <w:t>compliance notifications:</w:t>
          </w:r>
        </w:p>
        <w:p w14:paraId="25239167" w14:textId="02052C08" w:rsidR="00B65278" w:rsidRPr="00BC22EA" w:rsidRDefault="005B04F7" w:rsidP="00400832">
          <w:pPr>
            <w:pStyle w:val="ListNumber2"/>
            <w:numPr>
              <w:ilvl w:val="0"/>
              <w:numId w:val="103"/>
            </w:numPr>
          </w:pPr>
          <w:r w:rsidRPr="00BC22EA">
            <w:lastRenderedPageBreak/>
            <w:t>A</w:t>
          </w:r>
          <w:r w:rsidR="000018C8" w:rsidRPr="00BC22EA">
            <w:t>ny non</w:t>
          </w:r>
          <w:r w:rsidRPr="00BC22EA">
            <w:t>-</w:t>
          </w:r>
          <w:r w:rsidR="000018C8" w:rsidRPr="00BC22EA">
            <w:t xml:space="preserve">compliance that may endanger human health or safety, or the environment, must be reported by the permittee to TCEQ. </w:t>
          </w:r>
          <w:r w:rsidR="00E264B0" w:rsidRPr="00BC22EA">
            <w:t xml:space="preserve">The information must be </w:t>
          </w:r>
          <w:r w:rsidR="000018C8" w:rsidRPr="00BC22EA">
            <w:t>provided orally</w:t>
          </w:r>
          <w:r w:rsidR="000F459C">
            <w:t>,</w:t>
          </w:r>
          <w:r w:rsidR="000018C8" w:rsidRPr="00BC22EA">
            <w:t xml:space="preserve"> by facsimile transmission (FAX)</w:t>
          </w:r>
          <w:r w:rsidR="000F459C">
            <w:t xml:space="preserve">, or by </w:t>
          </w:r>
          <w:r w:rsidR="003A6783">
            <w:t>electronic mail (email)</w:t>
          </w:r>
          <w:r w:rsidR="000018C8" w:rsidRPr="00BC22EA">
            <w:t xml:space="preserve"> to the appropriate </w:t>
          </w:r>
          <w:r w:rsidR="009B2BF6" w:rsidRPr="00BC22EA">
            <w:t xml:space="preserve">TCEQ </w:t>
          </w:r>
          <w:r w:rsidR="000018C8" w:rsidRPr="00BC22EA">
            <w:t xml:space="preserve">regional office within 24 hours of </w:t>
          </w:r>
          <w:r w:rsidR="00D62AAE" w:rsidRPr="00BC22EA">
            <w:t xml:space="preserve">the permittee </w:t>
          </w:r>
          <w:r w:rsidR="000018C8" w:rsidRPr="00BC22EA">
            <w:t>becoming aware of the non</w:t>
          </w:r>
          <w:r w:rsidRPr="00BC22EA">
            <w:t>-</w:t>
          </w:r>
          <w:r w:rsidR="000018C8" w:rsidRPr="00BC22EA">
            <w:t xml:space="preserve">compliance. A written </w:t>
          </w:r>
          <w:r w:rsidR="00D62AAE" w:rsidRPr="00BC22EA">
            <w:t>report</w:t>
          </w:r>
          <w:r w:rsidR="000018C8" w:rsidRPr="00BC22EA">
            <w:t xml:space="preserve"> must be provided by the permittee to the appropriate regional office a</w:t>
          </w:r>
          <w:r w:rsidR="003B77CC" w:rsidRPr="00BC22EA">
            <w:t>nd the Enforcement Division (MC-</w:t>
          </w:r>
          <w:r w:rsidR="000018C8" w:rsidRPr="00BC22EA">
            <w:t xml:space="preserve">224) within five working days </w:t>
          </w:r>
          <w:r w:rsidR="00D62AAE" w:rsidRPr="00BC22EA">
            <w:t xml:space="preserve">of the permittee </w:t>
          </w:r>
          <w:r w:rsidR="000018C8" w:rsidRPr="00BC22EA">
            <w:t>becoming aware of the non</w:t>
          </w:r>
          <w:r w:rsidR="00905ACF" w:rsidRPr="00BC22EA">
            <w:t>-</w:t>
          </w:r>
          <w:r w:rsidR="000018C8" w:rsidRPr="00BC22EA">
            <w:t xml:space="preserve">compliance. </w:t>
          </w:r>
          <w:r w:rsidR="0021731B" w:rsidRPr="0021731B">
            <w:t xml:space="preserve">The written report shall be submitted to P.O. Box 13087, Austin, Texas 78711-3087 or by FAX. </w:t>
          </w:r>
          <w:r w:rsidR="000018C8" w:rsidRPr="00BC22EA">
            <w:t xml:space="preserve">The written submission must contain: </w:t>
          </w:r>
        </w:p>
        <w:p w14:paraId="608DDA75" w14:textId="77777777" w:rsidR="00B65278" w:rsidRPr="00BC22EA" w:rsidRDefault="000018C8" w:rsidP="00400832">
          <w:pPr>
            <w:pStyle w:val="ListNumber3"/>
            <w:numPr>
              <w:ilvl w:val="0"/>
              <w:numId w:val="104"/>
            </w:numPr>
          </w:pPr>
          <w:r w:rsidRPr="00BC22EA">
            <w:t>a description of the non</w:t>
          </w:r>
          <w:r w:rsidR="00905ACF" w:rsidRPr="00BC22EA">
            <w:t>-</w:t>
          </w:r>
          <w:r w:rsidRPr="00BC22EA">
            <w:t>compliance and its cause;</w:t>
          </w:r>
        </w:p>
        <w:p w14:paraId="3D02A3A1" w14:textId="77777777" w:rsidR="00B65278" w:rsidRPr="00BC22EA" w:rsidRDefault="000018C8" w:rsidP="00400832">
          <w:pPr>
            <w:pStyle w:val="ListNumber3"/>
          </w:pPr>
          <w:r w:rsidRPr="00BC22EA">
            <w:t>the potential danger to human health or safety, or the environment;</w:t>
          </w:r>
        </w:p>
        <w:p w14:paraId="294C2B43" w14:textId="77777777" w:rsidR="00B65278" w:rsidRPr="00BC22EA" w:rsidRDefault="000018C8" w:rsidP="00400832">
          <w:pPr>
            <w:pStyle w:val="ListNumber3"/>
          </w:pPr>
          <w:r w:rsidRPr="00BC22EA">
            <w:t>the period of non</w:t>
          </w:r>
          <w:r w:rsidR="00905ACF" w:rsidRPr="00BC22EA">
            <w:t>-</w:t>
          </w:r>
          <w:r w:rsidRPr="00BC22EA">
            <w:t>compliance, including exact dates and times;</w:t>
          </w:r>
        </w:p>
        <w:p w14:paraId="6A245FA9" w14:textId="77777777" w:rsidR="00B65278" w:rsidRPr="00BC22EA" w:rsidRDefault="000018C8" w:rsidP="00400832">
          <w:pPr>
            <w:pStyle w:val="ListNumber3"/>
          </w:pPr>
          <w:r w:rsidRPr="00BC22EA">
            <w:t>if the non</w:t>
          </w:r>
          <w:r w:rsidR="00905ACF" w:rsidRPr="00BC22EA">
            <w:t>-</w:t>
          </w:r>
          <w:r w:rsidRPr="00BC22EA">
            <w:t xml:space="preserve">compliance has not been corrected, the anticipated time it is expected to continue; </w:t>
          </w:r>
          <w:r w:rsidR="00D62AAE" w:rsidRPr="00BC22EA">
            <w:t>and</w:t>
          </w:r>
        </w:p>
        <w:p w14:paraId="1076CAB0" w14:textId="77777777" w:rsidR="00B65278" w:rsidRPr="00BC22EA" w:rsidRDefault="000018C8" w:rsidP="00400832">
          <w:pPr>
            <w:pStyle w:val="ListNumber3"/>
          </w:pPr>
          <w:r w:rsidRPr="00BC22EA">
            <w:t>steps taken or planned to reduce, eliminate, and prevent recurrence of the non</w:t>
          </w:r>
          <w:r w:rsidR="00905ACF" w:rsidRPr="00BC22EA">
            <w:t>-</w:t>
          </w:r>
          <w:r w:rsidRPr="00BC22EA">
            <w:t>compliance and to mitigate its adverse effects.</w:t>
          </w:r>
        </w:p>
        <w:p w14:paraId="384A71D1" w14:textId="387636B2" w:rsidR="00B65278" w:rsidRPr="00BC22EA" w:rsidRDefault="000018C8" w:rsidP="00400832">
          <w:pPr>
            <w:pStyle w:val="ListNumber2"/>
          </w:pPr>
          <w:r w:rsidRPr="00BC22EA">
            <w:t xml:space="preserve">In addition, any effluent violation that </w:t>
          </w:r>
          <w:r w:rsidR="003B6D65">
            <w:t>exceeds</w:t>
          </w:r>
          <w:r w:rsidR="003B6D65" w:rsidRPr="00BC22EA">
            <w:t xml:space="preserve"> </w:t>
          </w:r>
          <w:r w:rsidRPr="00BC22EA">
            <w:t xml:space="preserve">the permitted effluent limitation by more than 40% must be reported by the permittee in writing to the </w:t>
          </w:r>
          <w:r w:rsidR="009B2BF6" w:rsidRPr="00BC22EA">
            <w:t xml:space="preserve">appropriate </w:t>
          </w:r>
          <w:r w:rsidR="002347E4" w:rsidRPr="00BC22EA">
            <w:t xml:space="preserve">TCEQ </w:t>
          </w:r>
          <w:r w:rsidR="009B2BF6" w:rsidRPr="00BC22EA">
            <w:t>r</w:t>
          </w:r>
          <w:r w:rsidRPr="00BC22EA">
            <w:t xml:space="preserve">egional </w:t>
          </w:r>
          <w:r w:rsidR="009B2BF6" w:rsidRPr="00BC22EA">
            <w:t>o</w:t>
          </w:r>
          <w:r w:rsidRPr="00BC22EA">
            <w:t>ffice and the Enforcement Division (MC</w:t>
          </w:r>
          <w:r w:rsidR="003B77CC" w:rsidRPr="00BC22EA">
            <w:t>-</w:t>
          </w:r>
          <w:r w:rsidRPr="00BC22EA">
            <w:t>224) within five working days of becoming aware of the non</w:t>
          </w:r>
          <w:r w:rsidR="00905ACF" w:rsidRPr="00BC22EA">
            <w:t>-</w:t>
          </w:r>
          <w:r w:rsidRPr="00BC22EA">
            <w:t>compliance.</w:t>
          </w:r>
        </w:p>
        <w:p w14:paraId="1AFD3B64" w14:textId="77777777" w:rsidR="00B65278" w:rsidRPr="000857E6" w:rsidRDefault="000018C8" w:rsidP="00400832">
          <w:pPr>
            <w:pStyle w:val="ListNumber2"/>
          </w:pPr>
          <w:r w:rsidRPr="00BC22EA">
            <w:t>Any non</w:t>
          </w:r>
          <w:r w:rsidR="00905ACF" w:rsidRPr="00BC22EA">
            <w:t>-</w:t>
          </w:r>
          <w:r w:rsidRPr="00BC22EA">
            <w:t xml:space="preserve">compliance other than that specified in this section, or any required information not submitted or submitted incorrectly, </w:t>
          </w:r>
          <w:r w:rsidR="003928E4" w:rsidRPr="00BC22EA">
            <w:t>must</w:t>
          </w:r>
          <w:r w:rsidRPr="00BC22EA">
            <w:t xml:space="preserve"> be reported </w:t>
          </w:r>
          <w:r w:rsidR="00E264B0" w:rsidRPr="00BC22EA">
            <w:t xml:space="preserve">by the permittee to </w:t>
          </w:r>
          <w:r w:rsidR="003B77CC" w:rsidRPr="00BC22EA">
            <w:t>the Enforcement Division (MC-</w:t>
          </w:r>
          <w:r w:rsidRPr="00BC22EA">
            <w:t xml:space="preserve">224) as </w:t>
          </w:r>
          <w:r w:rsidR="00D62AAE" w:rsidRPr="00BC22EA">
            <w:t>soon</w:t>
          </w:r>
          <w:r w:rsidRPr="00BC22EA">
            <w:t xml:space="preserve"> as possible. </w:t>
          </w:r>
          <w:r w:rsidR="00555C59" w:rsidRPr="000857E6">
            <w:t xml:space="preserve">The permittee must report effluent limitation violations and </w:t>
          </w:r>
          <w:r w:rsidR="002347E4" w:rsidRPr="000857E6">
            <w:t>non</w:t>
          </w:r>
          <w:r w:rsidR="00D72690" w:rsidRPr="000857E6">
            <w:t>-</w:t>
          </w:r>
          <w:r w:rsidR="002347E4" w:rsidRPr="000857E6">
            <w:t>compliances on the approved self-report form.</w:t>
          </w:r>
        </w:p>
        <w:p w14:paraId="7FDC2458" w14:textId="77777777" w:rsidR="000018C8" w:rsidRPr="00BC22EA" w:rsidRDefault="000018C8" w:rsidP="00B06F00">
          <w:pPr>
            <w:pStyle w:val="Heading1"/>
          </w:pPr>
          <w:bookmarkStart w:id="27" w:name="_Toc419104034"/>
          <w:bookmarkStart w:id="28" w:name="_Toc196219280"/>
          <w:r w:rsidRPr="00BC22EA">
            <w:t>Part IV.</w:t>
          </w:r>
          <w:r w:rsidR="007C4A0B" w:rsidRPr="00BC22EA">
            <w:t xml:space="preserve"> </w:t>
          </w:r>
          <w:r w:rsidRPr="00BC22EA">
            <w:t>Standard Permit Conditions</w:t>
          </w:r>
          <w:bookmarkEnd w:id="27"/>
          <w:bookmarkEnd w:id="28"/>
        </w:p>
        <w:p w14:paraId="3B6B4CF0" w14:textId="24F68CB6" w:rsidR="00B65278" w:rsidRPr="00BC22EA" w:rsidRDefault="000018C8" w:rsidP="00400832">
          <w:pPr>
            <w:pStyle w:val="ListNumber"/>
            <w:numPr>
              <w:ilvl w:val="0"/>
              <w:numId w:val="105"/>
            </w:numPr>
          </w:pPr>
          <w:r w:rsidRPr="00BC22EA">
            <w:t>The permittee has a duty to comply with all conditions in this general permit.</w:t>
          </w:r>
          <w:r w:rsidR="007C4A0B" w:rsidRPr="00BC22EA">
            <w:t xml:space="preserve"> </w:t>
          </w:r>
          <w:r w:rsidRPr="00BC22EA">
            <w:t xml:space="preserve">Failure to comply with any condition is a violation of the general permit and the statutes under which the general permit was issued. Any violation may be grounds for enforcement action, for terminating </w:t>
          </w:r>
          <w:r w:rsidR="00D0452E">
            <w:t>authorization</w:t>
          </w:r>
          <w:r w:rsidRPr="00BC22EA">
            <w:t xml:space="preserve"> under this general permit, or for requiring a permittee to apply for and obtain an individual permit</w:t>
          </w:r>
          <w:r w:rsidR="00636FED" w:rsidRPr="00BC22EA">
            <w:t>.</w:t>
          </w:r>
        </w:p>
        <w:p w14:paraId="1E736E87" w14:textId="77777777" w:rsidR="00B65278" w:rsidRPr="00BC22EA" w:rsidRDefault="000018C8" w:rsidP="00400832">
          <w:pPr>
            <w:pStyle w:val="ListNumber"/>
          </w:pPr>
          <w:r w:rsidRPr="00BC22EA">
            <w:t>It is not a defense for a permittee in an enforcement action that it would have been necessary to halt or reduce the permitted discharge to maintain compliance with permit</w:t>
          </w:r>
          <w:r w:rsidR="00D62AAE" w:rsidRPr="00BC22EA">
            <w:t xml:space="preserve"> conditions</w:t>
          </w:r>
          <w:r w:rsidRPr="00BC22EA">
            <w:t>.</w:t>
          </w:r>
        </w:p>
        <w:p w14:paraId="4D63F4A1" w14:textId="77777777" w:rsidR="00B65278" w:rsidRPr="00BC22EA" w:rsidRDefault="000018C8" w:rsidP="00400832">
          <w:pPr>
            <w:pStyle w:val="ListNumber"/>
          </w:pPr>
          <w:r w:rsidRPr="00BC22EA">
            <w:t xml:space="preserve">The permittee shall at all times properly operate and maintain all facilities and systems of treatment and control (and related appurtenances) installed or used by the permittee to achieve compliance with conditions of the general permit. Proper operation and maintenance also includes adequate laboratory and process controls and appropriate quality assurance procedures. This provision requires the operation of back-up </w:t>
          </w:r>
          <w:r w:rsidR="00A00A18" w:rsidRPr="00BC22EA">
            <w:t>facilities, auxiliary</w:t>
          </w:r>
          <w:r w:rsidRPr="00BC22EA">
            <w:t xml:space="preserve"> facilities or similar systems only when necessary to achieve compliance with conditions of the general permit.</w:t>
          </w:r>
        </w:p>
        <w:p w14:paraId="0EAC9830" w14:textId="77777777" w:rsidR="00B65278" w:rsidRPr="00BC22EA" w:rsidRDefault="000018C8" w:rsidP="00400832">
          <w:pPr>
            <w:pStyle w:val="ListNumber"/>
          </w:pPr>
          <w:r w:rsidRPr="00BC22EA">
            <w:t xml:space="preserve">The permittee </w:t>
          </w:r>
          <w:r w:rsidR="00D5002F" w:rsidRPr="00BC22EA">
            <w:t xml:space="preserve">shall </w:t>
          </w:r>
          <w:r w:rsidR="00D62AAE" w:rsidRPr="00BC22EA">
            <w:t>submit</w:t>
          </w:r>
          <w:r w:rsidR="00AC2827" w:rsidRPr="00BC22EA">
            <w:t>,</w:t>
          </w:r>
          <w:r w:rsidR="00D62AAE" w:rsidRPr="00BC22EA">
            <w:t xml:space="preserve"> upon request of the executive director, </w:t>
          </w:r>
          <w:r w:rsidRPr="00BC22EA">
            <w:t xml:space="preserve">any information that is necessary </w:t>
          </w:r>
          <w:r w:rsidR="00D62AAE" w:rsidRPr="00BC22EA">
            <w:t xml:space="preserve">for the executive director </w:t>
          </w:r>
          <w:r w:rsidRPr="00BC22EA">
            <w:t xml:space="preserve">to determine whether cause exists for </w:t>
          </w:r>
          <w:r w:rsidRPr="00BC22EA">
            <w:lastRenderedPageBreak/>
            <w:t xml:space="preserve">revoking, suspending, or terminating authorization under this general permit. </w:t>
          </w:r>
          <w:r w:rsidR="00D62AAE" w:rsidRPr="00BC22EA">
            <w:t xml:space="preserve">Additionally, the permittee </w:t>
          </w:r>
          <w:r w:rsidR="00D5002F" w:rsidRPr="00BC22EA">
            <w:t xml:space="preserve">shall </w:t>
          </w:r>
          <w:r w:rsidR="00AC2827" w:rsidRPr="00BC22EA">
            <w:t xml:space="preserve">submit, upon request of the executive director, copies of all records that the permittee is required to maintain as a condition of this general permit. The requested information or records must be </w:t>
          </w:r>
          <w:r w:rsidRPr="00BC22EA">
            <w:t>provided within a reasonable timeframe and in no case later than 30 days from the date of the request.</w:t>
          </w:r>
        </w:p>
        <w:p w14:paraId="0E5718CC" w14:textId="77777777" w:rsidR="00B65278" w:rsidRPr="00BC22EA" w:rsidRDefault="000018C8" w:rsidP="00400832">
          <w:pPr>
            <w:pStyle w:val="ListNumber"/>
          </w:pPr>
          <w:r w:rsidRPr="00BC22EA">
            <w:t xml:space="preserve">The permittee </w:t>
          </w:r>
          <w:r w:rsidR="00D5002F" w:rsidRPr="00BC22EA">
            <w:t xml:space="preserve">shall </w:t>
          </w:r>
          <w:r w:rsidRPr="00BC22EA">
            <w:t>give notice to the executive director before physical alterations or additions to the permitted facility if those alterations would result in a violation of the general permit requirements.</w:t>
          </w:r>
        </w:p>
        <w:p w14:paraId="3E5EF5CB" w14:textId="77777777" w:rsidR="00B65278" w:rsidRPr="00BC22EA" w:rsidRDefault="000018C8" w:rsidP="00400832">
          <w:pPr>
            <w:pStyle w:val="ListNumber"/>
          </w:pPr>
          <w:r w:rsidRPr="00BC22EA">
            <w:t xml:space="preserve">Inspection and entry must be allowed under </w:t>
          </w:r>
          <w:r w:rsidR="00AC2827" w:rsidRPr="00BC22EA">
            <w:t xml:space="preserve">TWC </w:t>
          </w:r>
          <w:r w:rsidR="00C331F0" w:rsidRPr="00BC22EA">
            <w:t>Chapter</w:t>
          </w:r>
          <w:r w:rsidRPr="00BC22EA">
            <w:t xml:space="preserve"> 26</w:t>
          </w:r>
          <w:r w:rsidR="00C331F0" w:rsidRPr="00BC22EA">
            <w:t xml:space="preserve"> and</w:t>
          </w:r>
          <w:r w:rsidR="00AC2827" w:rsidRPr="00BC22EA">
            <w:t xml:space="preserve"> Texas </w:t>
          </w:r>
          <w:r w:rsidRPr="00BC22EA">
            <w:t xml:space="preserve">Health and Safety Code </w:t>
          </w:r>
          <w:r w:rsidR="00AC2827" w:rsidRPr="00BC22EA">
            <w:t>§§</w:t>
          </w:r>
          <w:r w:rsidRPr="00BC22EA">
            <w:t>361.032</w:t>
          </w:r>
          <w:r w:rsidR="003B77CC" w:rsidRPr="00BC22EA">
            <w:t xml:space="preserve"> </w:t>
          </w:r>
          <w:r w:rsidRPr="00BC22EA">
            <w:t>-</w:t>
          </w:r>
          <w:r w:rsidR="003B77CC" w:rsidRPr="00BC22EA">
            <w:t xml:space="preserve"> </w:t>
          </w:r>
          <w:r w:rsidRPr="00BC22EA">
            <w:t>361.0</w:t>
          </w:r>
          <w:r w:rsidR="00C331F0" w:rsidRPr="00BC22EA">
            <w:t>33 and 361.037</w:t>
          </w:r>
          <w:r w:rsidRPr="00BC22EA">
            <w:t xml:space="preserve">. The statement in TWC </w:t>
          </w:r>
          <w:r w:rsidR="00AC2827" w:rsidRPr="00BC22EA">
            <w:t>§</w:t>
          </w:r>
          <w:r w:rsidRPr="00BC22EA">
            <w:t xml:space="preserve">26.014 that commission entry of a regulated entity will occur in accordance with an establishment's rules and regulations concerning safety, internal security, and fire protection </w:t>
          </w:r>
          <w:r w:rsidR="00AC2827" w:rsidRPr="00BC22EA">
            <w:t>are</w:t>
          </w:r>
          <w:r w:rsidRPr="00BC22EA">
            <w:t xml:space="preserve"> not grounds for denial or restriction of entry to any part of the regulated entity, but merely describes the commission's duty to observe appropriate rules and regulations during an inspection.</w:t>
          </w:r>
        </w:p>
        <w:p w14:paraId="5C08429D" w14:textId="77777777" w:rsidR="00B65278" w:rsidRPr="00BC22EA" w:rsidRDefault="000018C8" w:rsidP="00400832">
          <w:pPr>
            <w:pStyle w:val="ListNumber"/>
          </w:pPr>
          <w:r w:rsidRPr="00BC22EA">
            <w:t>Standard monitoring and reporting requirements are as follows:</w:t>
          </w:r>
        </w:p>
        <w:p w14:paraId="43F06105" w14:textId="77777777" w:rsidR="00B65278" w:rsidRPr="00BC22EA" w:rsidRDefault="00CA4F69" w:rsidP="00400832">
          <w:pPr>
            <w:pStyle w:val="ListNumber2"/>
            <w:numPr>
              <w:ilvl w:val="0"/>
              <w:numId w:val="106"/>
            </w:numPr>
          </w:pPr>
          <w:r w:rsidRPr="00BC22EA">
            <w:t>S</w:t>
          </w:r>
          <w:r w:rsidR="000018C8" w:rsidRPr="00BC22EA">
            <w:t xml:space="preserve">amples must be collected, and measurements must be taken, at times and in a manner so </w:t>
          </w:r>
          <w:r w:rsidR="00AC2827" w:rsidRPr="00BC22EA">
            <w:t>that it is</w:t>
          </w:r>
          <w:r w:rsidR="000018C8" w:rsidRPr="00BC22EA">
            <w:t xml:space="preserve"> representative of the monitored </w:t>
          </w:r>
          <w:r w:rsidR="00AC2827" w:rsidRPr="00BC22EA">
            <w:t>activity</w:t>
          </w:r>
          <w:r w:rsidR="0014710D" w:rsidRPr="00BC22EA">
            <w:t>.</w:t>
          </w:r>
        </w:p>
        <w:p w14:paraId="77C6CA70" w14:textId="55121922" w:rsidR="00B65278" w:rsidRPr="00BC22EA" w:rsidRDefault="00CA4F69" w:rsidP="00400832">
          <w:pPr>
            <w:pStyle w:val="ListNumber2"/>
          </w:pPr>
          <w:r w:rsidRPr="00BC22EA">
            <w:t>A</w:t>
          </w:r>
          <w:r w:rsidR="000018C8" w:rsidRPr="00BC22EA">
            <w:t xml:space="preserve">ll samples must be collected according to the latest edition of </w:t>
          </w:r>
          <w:r w:rsidR="000018C8" w:rsidRPr="00BC22EA">
            <w:rPr>
              <w:i/>
            </w:rPr>
            <w:t>Standard Methods for the Examination of Water and Wastewater</w:t>
          </w:r>
          <w:r w:rsidR="000018C8" w:rsidRPr="00BC22EA">
            <w:t xml:space="preserve"> (published jointly by the American Public Health Association, the American Waterworks Association and the Water </w:t>
          </w:r>
          <w:r w:rsidR="003B6D65">
            <w:t>Environmental</w:t>
          </w:r>
          <w:r w:rsidR="000018C8" w:rsidRPr="00BC22EA">
            <w:t xml:space="preserve"> Federation), or the </w:t>
          </w:r>
          <w:r w:rsidR="0078478B" w:rsidRPr="00BC22EA">
            <w:t>EPA</w:t>
          </w:r>
          <w:r w:rsidR="005A10A5" w:rsidRPr="00BC22EA">
            <w:t>’</w:t>
          </w:r>
          <w:r w:rsidR="00F44872" w:rsidRPr="00BC22EA">
            <w:t>s</w:t>
          </w:r>
          <w:r w:rsidR="000018C8" w:rsidRPr="00BC22EA">
            <w:t xml:space="preserve"> </w:t>
          </w:r>
          <w:r w:rsidR="000018C8" w:rsidRPr="00BC22EA">
            <w:rPr>
              <w:i/>
            </w:rPr>
            <w:t>Methods for Chemical Analysis of Water and Wastes</w:t>
          </w:r>
          <w:r w:rsidR="000018C8" w:rsidRPr="00BC22EA">
            <w:t xml:space="preserve"> (</w:t>
          </w:r>
          <w:r w:rsidR="003B6D65">
            <w:t>1983</w:t>
          </w:r>
          <w:r w:rsidR="000018C8" w:rsidRPr="00BC22EA">
            <w:t xml:space="preserve">) or the </w:t>
          </w:r>
          <w:r w:rsidR="000634C5" w:rsidRPr="00BC22EA">
            <w:t>EPA’</w:t>
          </w:r>
          <w:r w:rsidR="000018C8" w:rsidRPr="00BC22EA">
            <w:t xml:space="preserve">s </w:t>
          </w:r>
          <w:r w:rsidR="000018C8" w:rsidRPr="00BC22EA">
            <w:rPr>
              <w:i/>
            </w:rPr>
            <w:t>Biological Field and Laboratory Methods for Measuring the Quality of Surface Waters and Effluents</w:t>
          </w:r>
          <w:r w:rsidR="000018C8" w:rsidRPr="00BC22EA">
            <w:t xml:space="preserve"> (1973)</w:t>
          </w:r>
          <w:r w:rsidR="0014710D" w:rsidRPr="00BC22EA">
            <w:t>.</w:t>
          </w:r>
        </w:p>
        <w:p w14:paraId="205131C9" w14:textId="77777777" w:rsidR="00E31F9F" w:rsidRPr="00BC22EA" w:rsidRDefault="00E31F9F" w:rsidP="00400832">
          <w:pPr>
            <w:pStyle w:val="ListNumber2"/>
          </w:pPr>
          <w:r w:rsidRPr="00BC22EA">
            <w:t>Sample containers, holding times, preservation methods, and the methods of analyses for effluent samples shall meet the requirements in 40 CFR Part 136 (as amended), or shall be in accorda</w:t>
          </w:r>
          <w:r w:rsidR="00F44872" w:rsidRPr="00BC22EA">
            <w:t xml:space="preserve">nce with the latest edition of </w:t>
          </w:r>
          <w:r w:rsidRPr="00BC22EA">
            <w:rPr>
              <w:i/>
            </w:rPr>
            <w:t>Standard Methods for the Examination of Water and Wastewater</w:t>
          </w:r>
          <w:r w:rsidRPr="00BC22EA">
            <w:t xml:space="preserve"> referenced above.</w:t>
          </w:r>
        </w:p>
        <w:p w14:paraId="65EFB2AD" w14:textId="77777777" w:rsidR="00B65278" w:rsidRPr="00BC22EA" w:rsidRDefault="00CA4F69" w:rsidP="00400832">
          <w:pPr>
            <w:pStyle w:val="ListNumber2"/>
          </w:pPr>
          <w:r w:rsidRPr="00BC22EA">
            <w:t>T</w:t>
          </w:r>
          <w:r w:rsidR="000018C8" w:rsidRPr="00BC22EA">
            <w:t>he permittee shall ensure that properly trained and authorized personnel monitor and sample the discharge</w:t>
          </w:r>
          <w:r w:rsidR="0014710D" w:rsidRPr="00BC22EA">
            <w:t>.</w:t>
          </w:r>
        </w:p>
        <w:p w14:paraId="37A67BB4" w14:textId="77777777" w:rsidR="00B65278" w:rsidRPr="00BC22EA" w:rsidRDefault="00803193" w:rsidP="00400832">
          <w:pPr>
            <w:pStyle w:val="ListNumber2"/>
          </w:pPr>
          <w:r w:rsidRPr="00BC22EA">
            <w:t>The sampling point must be downstream of any treatment unit or treatment technique that is used to improve or otherwise alter the quality of the discharge</w:t>
          </w:r>
          <w:r w:rsidR="0014710D" w:rsidRPr="00BC22EA">
            <w:t>.</w:t>
          </w:r>
        </w:p>
        <w:p w14:paraId="08E46E9A" w14:textId="77777777" w:rsidR="00803193" w:rsidRPr="000857E6" w:rsidRDefault="00803193" w:rsidP="00400832">
          <w:pPr>
            <w:pStyle w:val="ListNumber2"/>
          </w:pPr>
          <w:r w:rsidRPr="00BC22EA">
            <w:t xml:space="preserve">Analytical results for determining compliance with effluent limitations shall be </w:t>
          </w:r>
          <w:r w:rsidR="00346F87" w:rsidRPr="00BC22EA">
            <w:t xml:space="preserve">submitted online using the NetDMR reporting system available through the TCEQ website unless the permittee </w:t>
          </w:r>
          <w:r w:rsidR="008265C4" w:rsidRPr="00BC22EA">
            <w:t xml:space="preserve">requests and obtains </w:t>
          </w:r>
          <w:r w:rsidR="00346F87" w:rsidRPr="00BC22EA">
            <w:t>an e</w:t>
          </w:r>
          <w:r w:rsidR="006A2358" w:rsidRPr="00BC22EA">
            <w:t xml:space="preserve">lectronic </w:t>
          </w:r>
          <w:r w:rsidR="00346F87" w:rsidRPr="00BC22EA">
            <w:t>reporting waiver</w:t>
          </w:r>
          <w:r w:rsidR="00F44872" w:rsidRPr="00BC22EA">
            <w:t xml:space="preserve">. </w:t>
          </w:r>
          <w:r w:rsidR="006A2358" w:rsidRPr="00BC22EA">
            <w:t xml:space="preserve">Permittees that are issued an electronic </w:t>
          </w:r>
          <w:r w:rsidR="00346F87" w:rsidRPr="00BC22EA">
            <w:t xml:space="preserve">reporting </w:t>
          </w:r>
          <w:r w:rsidR="00D32EB0" w:rsidRPr="00BC22EA">
            <w:t xml:space="preserve">waiver shall submit analytical </w:t>
          </w:r>
          <w:r w:rsidR="00346F87" w:rsidRPr="00BC22EA">
            <w:t>results to the TCEQ Enforcement Division (MC-224) on a</w:t>
          </w:r>
          <w:r w:rsidR="00163EE3" w:rsidRPr="00BC22EA">
            <w:t>n approved</w:t>
          </w:r>
          <w:r w:rsidR="00346F87" w:rsidRPr="00BC22EA">
            <w:t xml:space="preserve"> Discharge Monitoring Report form (EPA No. 3320-1). </w:t>
          </w:r>
          <w:r w:rsidRPr="00BC22EA">
            <w:t>Effluent sampling shall be conducted in accordance with the monitoring frequencies spe</w:t>
          </w:r>
          <w:r w:rsidR="00F44872" w:rsidRPr="00BC22EA">
            <w:t xml:space="preserve">cified in this general permit. </w:t>
          </w:r>
          <w:r w:rsidRPr="00BC22EA">
            <w:t xml:space="preserve">Analytical results shall be submitted </w:t>
          </w:r>
          <w:r w:rsidR="00017FD0" w:rsidRPr="00BC22EA">
            <w:t>on a monthly or annual basis, depending on the required sampling frequency</w:t>
          </w:r>
          <w:r w:rsidR="00F44872" w:rsidRPr="00BC22EA">
            <w:t xml:space="preserve">. </w:t>
          </w:r>
          <w:r w:rsidR="00017FD0" w:rsidRPr="00BC22EA">
            <w:t xml:space="preserve">The DMR for any given month </w:t>
          </w:r>
          <w:r w:rsidR="00555C59" w:rsidRPr="00BC22EA">
            <w:t>must be submitted to TCEQ</w:t>
          </w:r>
          <w:r w:rsidR="00017FD0" w:rsidRPr="00BC22EA">
            <w:t xml:space="preserve"> by the 20</w:t>
          </w:r>
          <w:r w:rsidR="00017FD0" w:rsidRPr="00E3758D">
            <w:t>th</w:t>
          </w:r>
          <w:r w:rsidR="00F44872" w:rsidRPr="00BC22EA">
            <w:t xml:space="preserve"> day of the following month. </w:t>
          </w:r>
          <w:r w:rsidR="00835DB7" w:rsidRPr="00BC22EA">
            <w:t xml:space="preserve">The DMR for annual testing </w:t>
          </w:r>
          <w:r w:rsidR="00555C59" w:rsidRPr="00BC22EA">
            <w:t xml:space="preserve">must be submitted to TCEQ </w:t>
          </w:r>
          <w:r w:rsidR="00835DB7" w:rsidRPr="00BC22EA">
            <w:t>by March 31</w:t>
          </w:r>
          <w:r w:rsidR="00835DB7" w:rsidRPr="00106D7A">
            <w:t>st</w:t>
          </w:r>
          <w:r w:rsidR="00835DB7" w:rsidRPr="00BC22EA">
            <w:t xml:space="preserve"> of the following year. </w:t>
          </w:r>
          <w:r w:rsidR="006135D0" w:rsidRPr="000857E6">
            <w:t xml:space="preserve">If non-compliance with a discharge limitation occurs, the permittee shall provide notification </w:t>
          </w:r>
          <w:r w:rsidR="00346F87" w:rsidRPr="000857E6">
            <w:t>according to Part III.D.7 of this</w:t>
          </w:r>
          <w:r w:rsidR="006135D0" w:rsidRPr="000857E6">
            <w:t xml:space="preserve"> general permit.</w:t>
          </w:r>
        </w:p>
        <w:p w14:paraId="3E73C4FD" w14:textId="77777777" w:rsidR="00B65278" w:rsidRPr="00BC22EA" w:rsidRDefault="00CA4F69" w:rsidP="00400832">
          <w:pPr>
            <w:pStyle w:val="ListNumber2"/>
          </w:pPr>
          <w:r w:rsidRPr="00BC22EA">
            <w:lastRenderedPageBreak/>
            <w:t xml:space="preserve">The permittee </w:t>
          </w:r>
          <w:r w:rsidR="00D5002F" w:rsidRPr="00BC22EA">
            <w:t xml:space="preserve">shall </w:t>
          </w:r>
          <w:r w:rsidRPr="00BC22EA">
            <w:t xml:space="preserve">retain copies of all records required by this permit, including monitoring records and records related to the application or any certification requirements, for a period of </w:t>
          </w:r>
          <w:r w:rsidR="00081558" w:rsidRPr="00BC22EA">
            <w:t xml:space="preserve">five </w:t>
          </w:r>
          <w:r w:rsidRPr="00BC22EA">
            <w:t xml:space="preserve">years from the date of the record. This period may be extended at the request of the </w:t>
          </w:r>
          <w:r w:rsidR="00AC2827" w:rsidRPr="00BC22EA">
            <w:t>e</w:t>
          </w:r>
          <w:r w:rsidRPr="00BC22EA">
            <w:t xml:space="preserve">xecutive </w:t>
          </w:r>
          <w:r w:rsidR="00AC2827" w:rsidRPr="00BC22EA">
            <w:t>d</w:t>
          </w:r>
          <w:r w:rsidRPr="00BC22EA">
            <w:t xml:space="preserve">irector. The records </w:t>
          </w:r>
          <w:r w:rsidR="00D5002F" w:rsidRPr="00BC22EA">
            <w:t xml:space="preserve">must </w:t>
          </w:r>
          <w:r w:rsidRPr="00BC22EA">
            <w:t>be retained at the facility or be readily available for review by TCEQ personnel upon request</w:t>
          </w:r>
          <w:r w:rsidR="0014710D" w:rsidRPr="00BC22EA">
            <w:t>.</w:t>
          </w:r>
        </w:p>
        <w:p w14:paraId="7A58FCD7" w14:textId="77777777" w:rsidR="00B65278" w:rsidRPr="00BC22EA" w:rsidRDefault="00CA4F69" w:rsidP="00400832">
          <w:pPr>
            <w:pStyle w:val="ListNumber2"/>
          </w:pPr>
          <w:r w:rsidRPr="00BC22EA">
            <w:t>R</w:t>
          </w:r>
          <w:r w:rsidR="000018C8" w:rsidRPr="00BC22EA">
            <w:t>ecords of monitoring activities must include:</w:t>
          </w:r>
        </w:p>
        <w:p w14:paraId="42E8C9A1" w14:textId="77777777" w:rsidR="00B65278" w:rsidRPr="00BC22EA" w:rsidRDefault="0014710D" w:rsidP="00400832">
          <w:pPr>
            <w:pStyle w:val="ListNumber3"/>
            <w:numPr>
              <w:ilvl w:val="0"/>
              <w:numId w:val="107"/>
            </w:numPr>
          </w:pPr>
          <w:r w:rsidRPr="00BC22EA">
            <w:t>d</w:t>
          </w:r>
          <w:r w:rsidR="000018C8" w:rsidRPr="00BC22EA">
            <w:t>ate, time, and place of sample or measurement;</w:t>
          </w:r>
        </w:p>
        <w:p w14:paraId="778BF356" w14:textId="77777777" w:rsidR="00B65278" w:rsidRPr="00BC22EA" w:rsidRDefault="0014710D" w:rsidP="00400832">
          <w:pPr>
            <w:pStyle w:val="ListNumber3"/>
          </w:pPr>
          <w:r w:rsidRPr="00BC22EA">
            <w:t>i</w:t>
          </w:r>
          <w:r w:rsidR="000018C8" w:rsidRPr="00BC22EA">
            <w:t>dentity of individual who collected the sample or made the measurement;</w:t>
          </w:r>
        </w:p>
        <w:p w14:paraId="4F031FE1" w14:textId="77777777" w:rsidR="00B65278" w:rsidRPr="00BC22EA" w:rsidRDefault="0014710D" w:rsidP="00400832">
          <w:pPr>
            <w:pStyle w:val="ListNumber3"/>
          </w:pPr>
          <w:r w:rsidRPr="00BC22EA">
            <w:t>d</w:t>
          </w:r>
          <w:r w:rsidR="000018C8" w:rsidRPr="00BC22EA">
            <w:t xml:space="preserve">ate of </w:t>
          </w:r>
          <w:r w:rsidR="00AC2827" w:rsidRPr="00BC22EA">
            <w:t xml:space="preserve">the </w:t>
          </w:r>
          <w:r w:rsidR="000018C8" w:rsidRPr="00BC22EA">
            <w:t>laboratory analysis;</w:t>
          </w:r>
        </w:p>
        <w:p w14:paraId="45EADB78" w14:textId="77777777" w:rsidR="00B65278" w:rsidRPr="00BC22EA" w:rsidRDefault="0014710D" w:rsidP="00400832">
          <w:pPr>
            <w:pStyle w:val="ListNumber3"/>
          </w:pPr>
          <w:r w:rsidRPr="00BC22EA">
            <w:t>i</w:t>
          </w:r>
          <w:r w:rsidR="000018C8" w:rsidRPr="00BC22EA">
            <w:t>dentity of the individual</w:t>
          </w:r>
          <w:r w:rsidR="00AC2827" w:rsidRPr="00BC22EA">
            <w:t>(s)</w:t>
          </w:r>
          <w:r w:rsidR="000018C8" w:rsidRPr="00BC22EA">
            <w:t xml:space="preserve"> and laboratory who performed the analysis;</w:t>
          </w:r>
        </w:p>
        <w:p w14:paraId="5DF2778A" w14:textId="77777777" w:rsidR="00B65278" w:rsidRPr="00BC22EA" w:rsidRDefault="0014710D" w:rsidP="00400832">
          <w:pPr>
            <w:pStyle w:val="ListNumber3"/>
          </w:pPr>
          <w:r w:rsidRPr="00BC22EA">
            <w:t>t</w:t>
          </w:r>
          <w:r w:rsidR="000018C8" w:rsidRPr="00BC22EA">
            <w:t xml:space="preserve">he technique or </w:t>
          </w:r>
          <w:r w:rsidR="00AC2827" w:rsidRPr="00BC22EA">
            <w:t xml:space="preserve">the </w:t>
          </w:r>
          <w:r w:rsidR="000018C8" w:rsidRPr="00BC22EA">
            <w:t>method of analysis; and</w:t>
          </w:r>
        </w:p>
        <w:p w14:paraId="39E0C705" w14:textId="77777777" w:rsidR="00B65278" w:rsidRPr="00BC22EA" w:rsidRDefault="0014710D" w:rsidP="00400832">
          <w:pPr>
            <w:pStyle w:val="ListNumber3"/>
          </w:pPr>
          <w:r w:rsidRPr="00BC22EA">
            <w:t>r</w:t>
          </w:r>
          <w:r w:rsidR="000018C8" w:rsidRPr="00BC22EA">
            <w:t>esults of the analysis or measurement.</w:t>
          </w:r>
        </w:p>
        <w:p w14:paraId="7F3FD524" w14:textId="77777777" w:rsidR="00B65278" w:rsidRPr="00BC22EA" w:rsidRDefault="009C513A" w:rsidP="00400832">
          <w:pPr>
            <w:pStyle w:val="ListNumber2"/>
          </w:pPr>
          <w:r w:rsidRPr="00BC22EA">
            <w:t xml:space="preserve">All laboratory tests submitted to demonstrate compliance with this permit must meet the requirements of 30 TAC Chapter 25, </w:t>
          </w:r>
          <w:r w:rsidR="00A32EDB" w:rsidRPr="00BC22EA">
            <w:rPr>
              <w:i/>
            </w:rPr>
            <w:t>Environmental Testing Laboratory Accreditation and Certification</w:t>
          </w:r>
          <w:r w:rsidRPr="00BC22EA">
            <w:t>.</w:t>
          </w:r>
        </w:p>
        <w:p w14:paraId="4EE0CD79" w14:textId="77777777" w:rsidR="00B65278" w:rsidRPr="00BC22EA" w:rsidRDefault="000018C8" w:rsidP="00400832">
          <w:pPr>
            <w:pStyle w:val="ListNumber"/>
          </w:pPr>
          <w:r w:rsidRPr="00BC22EA">
            <w:t xml:space="preserve">All NOIs, NOTs, and NOCs or letters of change must meet the requirements of 30 TAC </w:t>
          </w:r>
          <w:r w:rsidR="00B3383F" w:rsidRPr="00BC22EA">
            <w:t>§</w:t>
          </w:r>
          <w:r w:rsidRPr="00BC22EA">
            <w:t>305.44(a)</w:t>
          </w:r>
          <w:r w:rsidR="00747C74" w:rsidRPr="00BC22EA">
            <w:t xml:space="preserve">, </w:t>
          </w:r>
          <w:r w:rsidR="00A32EDB" w:rsidRPr="00BC22EA">
            <w:rPr>
              <w:i/>
            </w:rPr>
            <w:t>Signatories to Applications</w:t>
          </w:r>
          <w:r w:rsidRPr="00BC22EA">
            <w:t>.</w:t>
          </w:r>
        </w:p>
        <w:p w14:paraId="21377D7D" w14:textId="325B09AB" w:rsidR="00B65278" w:rsidRPr="00BC22EA" w:rsidRDefault="000018C8" w:rsidP="00400832">
          <w:pPr>
            <w:pStyle w:val="ListNumber"/>
          </w:pPr>
          <w:r w:rsidRPr="00BC22EA">
            <w:t xml:space="preserve">Authorization under this general permit may be suspended or revoked for the reasons stated in 30 TAC </w:t>
          </w:r>
          <w:r w:rsidR="00B3383F" w:rsidRPr="00BC22EA">
            <w:t>§</w:t>
          </w:r>
          <w:r w:rsidRPr="00BC22EA">
            <w:t>205.4</w:t>
          </w:r>
          <w:r w:rsidR="000634C5" w:rsidRPr="00BC22EA">
            <w:rPr>
              <w:i/>
            </w:rPr>
            <w:t>, Authorizations and Notices of Intent</w:t>
          </w:r>
          <w:r w:rsidRPr="00BC22EA">
            <w:t>. Notifying TCEQ of planned changes or an anticipated non</w:t>
          </w:r>
          <w:r w:rsidR="00081558" w:rsidRPr="00BC22EA">
            <w:t>-</w:t>
          </w:r>
          <w:r w:rsidRPr="00BC22EA">
            <w:t>compliance does not stay any general permit condition.</w:t>
          </w:r>
        </w:p>
        <w:p w14:paraId="68D5F8C7" w14:textId="77777777" w:rsidR="00BC22EA" w:rsidRDefault="000018C8" w:rsidP="00400832">
          <w:pPr>
            <w:pStyle w:val="ListNumber"/>
          </w:pPr>
          <w:r w:rsidRPr="00BC22EA">
            <w:t xml:space="preserve">This general permit does not convey any property rights </w:t>
          </w:r>
          <w:r w:rsidR="00AC2827" w:rsidRPr="00BC22EA">
            <w:t xml:space="preserve">or water rights </w:t>
          </w:r>
          <w:r w:rsidRPr="00BC22EA">
            <w:t>of any sort</w:t>
          </w:r>
          <w:r w:rsidR="00AC2827" w:rsidRPr="00BC22EA">
            <w:t xml:space="preserve"> and does not grant any </w:t>
          </w:r>
          <w:r w:rsidRPr="00BC22EA">
            <w:t>exclusive privilege.</w:t>
          </w:r>
        </w:p>
        <w:p w14:paraId="73B5D85C" w14:textId="77777777" w:rsidR="00B65278" w:rsidRPr="00BC22EA" w:rsidRDefault="000018C8" w:rsidP="00400832">
          <w:pPr>
            <w:pStyle w:val="ListNumber"/>
          </w:pPr>
          <w:r w:rsidRPr="00BC22EA">
            <w:t xml:space="preserve">The permittee is subject to administrative, civil, and criminal penalties, as applicable, under TWC </w:t>
          </w:r>
          <w:r w:rsidR="00B44069" w:rsidRPr="00BC22EA">
            <w:t>Chapter 7</w:t>
          </w:r>
          <w:r w:rsidRPr="00BC22EA">
            <w:t xml:space="preserve"> for violations including, but not limited to, the following:</w:t>
          </w:r>
        </w:p>
        <w:p w14:paraId="223A3B1C" w14:textId="77777777" w:rsidR="00B65278" w:rsidRPr="00BC22EA" w:rsidRDefault="00B44069" w:rsidP="00400832">
          <w:pPr>
            <w:pStyle w:val="ListNumber2"/>
            <w:numPr>
              <w:ilvl w:val="0"/>
              <w:numId w:val="108"/>
            </w:numPr>
          </w:pPr>
          <w:r w:rsidRPr="00BC22EA">
            <w:t>V</w:t>
          </w:r>
          <w:r w:rsidR="000018C8" w:rsidRPr="00BC22EA">
            <w:t xml:space="preserve">iolating </w:t>
          </w:r>
          <w:r w:rsidR="00F44872" w:rsidRPr="00BC22EA">
            <w:t>CWA</w:t>
          </w:r>
          <w:r w:rsidR="000018C8" w:rsidRPr="00BC22EA">
            <w:t xml:space="preserve"> </w:t>
          </w:r>
          <w:r w:rsidR="00D5002F" w:rsidRPr="00BC22EA">
            <w:t>§</w:t>
          </w:r>
          <w:r w:rsidR="00B3383F" w:rsidRPr="004B37B0">
            <w:rPr>
              <w:rFonts w:eastAsia="Times New Roman"/>
              <w:lang w:eastAsia="zh-CN"/>
            </w:rPr>
            <w:t>§</w:t>
          </w:r>
          <w:r w:rsidR="000018C8" w:rsidRPr="00BC22EA">
            <w:t xml:space="preserve">301, 302, 306, 307, 308, 318, or 405, or any condition or limitation implementing any sections in a general permit issued under CWA </w:t>
          </w:r>
          <w:r w:rsidR="00D5002F" w:rsidRPr="00BC22EA">
            <w:t>§</w:t>
          </w:r>
          <w:r w:rsidR="000018C8" w:rsidRPr="00BC22EA">
            <w:t xml:space="preserve">402, or any requirement imposed in a pretreatment program approved under CWA </w:t>
          </w:r>
          <w:r w:rsidR="00B3383F" w:rsidRPr="00BC22EA">
            <w:t>§</w:t>
          </w:r>
          <w:r w:rsidR="000018C8" w:rsidRPr="00BC22EA">
            <w:t>402(a)(3) or 402(b)(8);</w:t>
          </w:r>
        </w:p>
        <w:p w14:paraId="2EFA540D" w14:textId="77777777" w:rsidR="009E6CF7" w:rsidRPr="00BC22EA" w:rsidRDefault="00B44069" w:rsidP="00400832">
          <w:pPr>
            <w:pStyle w:val="ListNumber2"/>
          </w:pPr>
          <w:r w:rsidRPr="00BC22EA">
            <w:t>I</w:t>
          </w:r>
          <w:r w:rsidR="000018C8" w:rsidRPr="00BC22EA">
            <w:t>ntentionally or knowingly tampering with, modifying, disabling, or failing to use pollution control or monitoring devices, systems, methods, or practices required under this permit; and</w:t>
          </w:r>
        </w:p>
        <w:p w14:paraId="54773703" w14:textId="77777777" w:rsidR="00B65278" w:rsidRPr="00BC22EA" w:rsidRDefault="00B44069" w:rsidP="00400832">
          <w:pPr>
            <w:pStyle w:val="ListNumber2"/>
          </w:pPr>
          <w:r w:rsidRPr="00BC22EA">
            <w:t>I</w:t>
          </w:r>
          <w:r w:rsidR="000018C8" w:rsidRPr="00BC22EA">
            <w:t>ntentionally or knowingly making or causing to be made a false material statement, representation, or certification in, or omitting or causing to be omitted material information from, an application, notice, record, report, plan, or other document, including monitoring device data, filed or required to be maintained by this permit.</w:t>
          </w:r>
        </w:p>
        <w:p w14:paraId="7C864215" w14:textId="77777777" w:rsidR="000018C8" w:rsidRPr="00BC22EA" w:rsidRDefault="000018C8" w:rsidP="00B06F00">
          <w:pPr>
            <w:pStyle w:val="Heading1"/>
          </w:pPr>
          <w:bookmarkStart w:id="29" w:name="_Toc419104035"/>
          <w:bookmarkStart w:id="30" w:name="_Toc196219281"/>
          <w:r w:rsidRPr="00BC22EA">
            <w:t>Part V.</w:t>
          </w:r>
          <w:r w:rsidR="007C4A0B" w:rsidRPr="00BC22EA">
            <w:t xml:space="preserve"> </w:t>
          </w:r>
          <w:r w:rsidRPr="00BC22EA">
            <w:t>Fees</w:t>
          </w:r>
          <w:bookmarkEnd w:id="29"/>
          <w:bookmarkEnd w:id="30"/>
        </w:p>
        <w:p w14:paraId="45A21138" w14:textId="6B8580BA" w:rsidR="00B65278" w:rsidRPr="00BC22EA" w:rsidRDefault="000018C8" w:rsidP="00400832">
          <w:pPr>
            <w:pStyle w:val="ListNumber"/>
            <w:numPr>
              <w:ilvl w:val="0"/>
              <w:numId w:val="109"/>
            </w:numPr>
          </w:pPr>
          <w:r w:rsidRPr="00BC22EA">
            <w:t>Application Fee - A NOI must include a $100 application fee. A fee is not required for submission of a NOT or NOC.</w:t>
          </w:r>
        </w:p>
        <w:p w14:paraId="757B7944" w14:textId="7D94E3CF" w:rsidR="00B65278" w:rsidRPr="00BC22EA" w:rsidRDefault="000018C8" w:rsidP="00400832">
          <w:pPr>
            <w:pStyle w:val="ListNumber"/>
          </w:pPr>
          <w:r w:rsidRPr="00BC22EA">
            <w:lastRenderedPageBreak/>
            <w:t xml:space="preserve">Annual Water Quality Fee - </w:t>
          </w:r>
          <w:r w:rsidR="00F93BFF" w:rsidRPr="00BC22EA">
            <w:t xml:space="preserve">Permittees </w:t>
          </w:r>
          <w:r w:rsidRPr="00BC22EA">
            <w:t>having an active authorization</w:t>
          </w:r>
          <w:r w:rsidR="00E57D9D">
            <w:t>, including facilities in inactive status,</w:t>
          </w:r>
          <w:r w:rsidRPr="00BC22EA">
            <w:t xml:space="preserve"> on September 1 of each year (</w:t>
          </w:r>
          <w:r w:rsidR="001A0145" w:rsidRPr="00BC22EA">
            <w:t xml:space="preserve">who </w:t>
          </w:r>
          <w:r w:rsidRPr="00BC22EA">
            <w:t>have not submitted a NOT prior to this date) will be billed $500 for the following fiscal year.</w:t>
          </w:r>
        </w:p>
      </w:sdtContent>
    </w:sdt>
    <w:sectPr w:rsidR="00B65278" w:rsidRPr="00BC22EA" w:rsidSect="00777703">
      <w:headerReference w:type="default" r:id="rId16"/>
      <w:footerReference w:type="even" r:id="rId17"/>
      <w:footerReference w:type="default" r:id="rId18"/>
      <w:type w:val="continuous"/>
      <w:pgSz w:w="12240" w:h="15840" w:code="1"/>
      <w:pgMar w:top="1440" w:right="126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AD88" w14:textId="77777777" w:rsidR="009B0B39" w:rsidRDefault="009B0B39" w:rsidP="00B06F00">
      <w:r>
        <w:separator/>
      </w:r>
    </w:p>
    <w:p w14:paraId="2B921179" w14:textId="77777777" w:rsidR="009B0B39" w:rsidRDefault="009B0B39" w:rsidP="00B06F00"/>
  </w:endnote>
  <w:endnote w:type="continuationSeparator" w:id="0">
    <w:p w14:paraId="4A4CA762" w14:textId="77777777" w:rsidR="009B0B39" w:rsidRDefault="009B0B39" w:rsidP="00B06F00">
      <w:r>
        <w:continuationSeparator/>
      </w:r>
    </w:p>
    <w:p w14:paraId="79BE4153" w14:textId="77777777" w:rsidR="009B0B39" w:rsidRDefault="009B0B39" w:rsidP="00B06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9B4E" w14:textId="77777777" w:rsidR="00594477" w:rsidRPr="006E0EED" w:rsidRDefault="00594477" w:rsidP="00B06F00">
    <w:pPr>
      <w:pStyle w:val="Footer"/>
    </w:pPr>
    <w:r w:rsidRPr="006E0EED">
      <w:t xml:space="preserve">Page </w:t>
    </w:r>
    <w:r>
      <w:fldChar w:fldCharType="begin"/>
    </w:r>
    <w:r>
      <w:instrText xml:space="preserve"> PAGE </w:instrText>
    </w:r>
    <w:r>
      <w:fldChar w:fldCharType="separate"/>
    </w:r>
    <w:r>
      <w:rPr>
        <w:noProof/>
      </w:rPr>
      <w:t>2</w:t>
    </w:r>
    <w:r>
      <w:rPr>
        <w:noProof/>
      </w:rPr>
      <w:fldChar w:fldCharType="end"/>
    </w:r>
  </w:p>
  <w:p w14:paraId="6EC4DAD2" w14:textId="77777777" w:rsidR="00594477" w:rsidRDefault="00594477" w:rsidP="00B06F00">
    <w:pPr>
      <w:pStyle w:val="Footer"/>
    </w:pPr>
  </w:p>
  <w:p w14:paraId="110BA22D" w14:textId="77777777" w:rsidR="00594477" w:rsidRDefault="00594477" w:rsidP="00B06F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85F1" w14:textId="77777777" w:rsidR="00594477" w:rsidRPr="00BC22EA" w:rsidRDefault="00594477" w:rsidP="00400832">
    <w:pPr>
      <w:jc w:val="center"/>
    </w:pPr>
    <w:r w:rsidRPr="00BC22EA">
      <w:t xml:space="preserve">Page </w:t>
    </w:r>
    <w:r w:rsidRPr="00BC22EA">
      <w:fldChar w:fldCharType="begin"/>
    </w:r>
    <w:r w:rsidRPr="00BC22EA">
      <w:instrText xml:space="preserve"> PAGE </w:instrText>
    </w:r>
    <w:r w:rsidRPr="00BC22EA">
      <w:fldChar w:fldCharType="separate"/>
    </w:r>
    <w:r>
      <w:rPr>
        <w:noProof/>
      </w:rPr>
      <w:t>33</w:t>
    </w:r>
    <w:r w:rsidRPr="00BC22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11FF" w14:textId="77777777" w:rsidR="009B0B39" w:rsidRDefault="009B0B39" w:rsidP="00B06F00">
      <w:r>
        <w:separator/>
      </w:r>
    </w:p>
    <w:p w14:paraId="6A9C5108" w14:textId="77777777" w:rsidR="009B0B39" w:rsidRDefault="009B0B39" w:rsidP="00B06F00"/>
  </w:footnote>
  <w:footnote w:type="continuationSeparator" w:id="0">
    <w:p w14:paraId="11B3D921" w14:textId="77777777" w:rsidR="009B0B39" w:rsidRDefault="009B0B39" w:rsidP="00B06F00">
      <w:r>
        <w:continuationSeparator/>
      </w:r>
    </w:p>
    <w:p w14:paraId="3B9D83E8" w14:textId="77777777" w:rsidR="009B0B39" w:rsidRDefault="009B0B39" w:rsidP="00B06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1A27" w14:textId="77777777" w:rsidR="00594477" w:rsidRPr="00BC22EA" w:rsidRDefault="00594477" w:rsidP="00B06F00">
    <w:pPr>
      <w:pStyle w:val="Header"/>
    </w:pPr>
    <w:r w:rsidRPr="00BC22EA">
      <w:t>TPDES General Permit No. TXG110000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F63EAA"/>
    <w:lvl w:ilvl="0">
      <w:start w:val="1"/>
      <w:numFmt w:val="decimal"/>
      <w:pStyle w:val="ListNumber5"/>
      <w:lvlText w:val="(%1)"/>
      <w:lvlJc w:val="left"/>
      <w:pPr>
        <w:ind w:left="1800" w:hanging="360"/>
      </w:pPr>
      <w:rPr>
        <w:rFonts w:hint="default"/>
      </w:rPr>
    </w:lvl>
  </w:abstractNum>
  <w:abstractNum w:abstractNumId="1" w15:restartNumberingAfterBreak="0">
    <w:nsid w:val="FFFFFF7D"/>
    <w:multiLevelType w:val="singleLevel"/>
    <w:tmpl w:val="417EF50C"/>
    <w:lvl w:ilvl="0">
      <w:start w:val="1"/>
      <w:numFmt w:val="upperLetter"/>
      <w:pStyle w:val="ListNumber4"/>
      <w:lvlText w:val="%1."/>
      <w:lvlJc w:val="left"/>
      <w:pPr>
        <w:ind w:left="1440" w:hanging="360"/>
      </w:pPr>
    </w:lvl>
  </w:abstractNum>
  <w:abstractNum w:abstractNumId="2" w15:restartNumberingAfterBreak="0">
    <w:nsid w:val="FFFFFF7E"/>
    <w:multiLevelType w:val="singleLevel"/>
    <w:tmpl w:val="C9D0A89E"/>
    <w:lvl w:ilvl="0">
      <w:start w:val="1"/>
      <w:numFmt w:val="lowerRoman"/>
      <w:pStyle w:val="ListNumber3"/>
      <w:lvlText w:val="%1."/>
      <w:lvlJc w:val="left"/>
      <w:pPr>
        <w:ind w:left="1080" w:hanging="360"/>
      </w:pPr>
      <w:rPr>
        <w:rFonts w:ascii="Lucida Bright" w:hAnsi="Lucida Bright" w:hint="default"/>
        <w:sz w:val="22"/>
      </w:rPr>
    </w:lvl>
  </w:abstractNum>
  <w:abstractNum w:abstractNumId="3" w15:restartNumberingAfterBreak="0">
    <w:nsid w:val="FFFFFF7F"/>
    <w:multiLevelType w:val="singleLevel"/>
    <w:tmpl w:val="A7DADE4A"/>
    <w:lvl w:ilvl="0">
      <w:start w:val="1"/>
      <w:numFmt w:val="lowerLetter"/>
      <w:pStyle w:val="ListNumber2"/>
      <w:lvlText w:val="%1."/>
      <w:lvlJc w:val="left"/>
      <w:pPr>
        <w:ind w:left="720" w:hanging="360"/>
      </w:pPr>
      <w:rPr>
        <w:rFonts w:hint="default"/>
      </w:rPr>
    </w:lvl>
  </w:abstractNum>
  <w:abstractNum w:abstractNumId="4" w15:restartNumberingAfterBreak="0">
    <w:nsid w:val="FFFFFF88"/>
    <w:multiLevelType w:val="singleLevel"/>
    <w:tmpl w:val="54269F96"/>
    <w:lvl w:ilvl="0">
      <w:start w:val="1"/>
      <w:numFmt w:val="decimal"/>
      <w:pStyle w:val="ListNumber"/>
      <w:lvlText w:val="%1."/>
      <w:lvlJc w:val="left"/>
      <w:pPr>
        <w:tabs>
          <w:tab w:val="num" w:pos="360"/>
        </w:tabs>
        <w:ind w:left="360" w:hanging="360"/>
      </w:pPr>
      <w:rPr>
        <w:b w:val="0"/>
        <w:bCs/>
      </w:rPr>
    </w:lvl>
  </w:abstractNum>
  <w:abstractNum w:abstractNumId="5" w15:restartNumberingAfterBreak="0">
    <w:nsid w:val="00000001"/>
    <w:multiLevelType w:val="multilevel"/>
    <w:tmpl w:val="00000000"/>
    <w:name w:val="AutoList18"/>
    <w:lvl w:ilvl="0">
      <w:start w:val="1"/>
      <w:numFmt w:val="decimal"/>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2"/>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3"/>
    <w:multiLevelType w:val="multilevel"/>
    <w:tmpl w:val="00000000"/>
    <w:name w:val="AutoList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6D026B"/>
    <w:multiLevelType w:val="hybridMultilevel"/>
    <w:tmpl w:val="07EA13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555DAB"/>
    <w:multiLevelType w:val="hybridMultilevel"/>
    <w:tmpl w:val="62DAA7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73A6122"/>
    <w:multiLevelType w:val="hybridMultilevel"/>
    <w:tmpl w:val="59C09720"/>
    <w:lvl w:ilvl="0" w:tplc="693ECAA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6A58D7"/>
    <w:multiLevelType w:val="hybridMultilevel"/>
    <w:tmpl w:val="E6F2865E"/>
    <w:lvl w:ilvl="0" w:tplc="0409001B">
      <w:start w:val="1"/>
      <w:numFmt w:val="lowerRoman"/>
      <w:lvlText w:val="%1."/>
      <w:lvlJc w:val="right"/>
      <w:pPr>
        <w:ind w:left="720" w:hanging="360"/>
      </w:pPr>
    </w:lvl>
    <w:lvl w:ilvl="1" w:tplc="0409001B">
      <w:start w:val="1"/>
      <w:numFmt w:val="lowerRoman"/>
      <w:lvlText w:val="%2."/>
      <w:lvlJc w:val="right"/>
      <w:pPr>
        <w:ind w:left="2070" w:hanging="360"/>
      </w:pPr>
    </w:lvl>
    <w:lvl w:ilvl="2" w:tplc="67D239B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F754D"/>
    <w:multiLevelType w:val="hybridMultilevel"/>
    <w:tmpl w:val="D73E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1284C"/>
    <w:multiLevelType w:val="hybridMultilevel"/>
    <w:tmpl w:val="3926E5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177D4"/>
    <w:multiLevelType w:val="hybridMultilevel"/>
    <w:tmpl w:val="C0005C60"/>
    <w:lvl w:ilvl="0" w:tplc="2E4A5D0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8703036"/>
    <w:multiLevelType w:val="hybridMultilevel"/>
    <w:tmpl w:val="4AE24284"/>
    <w:lvl w:ilvl="0" w:tplc="0409000F">
      <w:start w:val="1"/>
      <w:numFmt w:val="decimal"/>
      <w:lvlText w:val="%1."/>
      <w:lvlJc w:val="left"/>
      <w:pPr>
        <w:ind w:left="5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66E21"/>
    <w:multiLevelType w:val="hybridMultilevel"/>
    <w:tmpl w:val="981262B4"/>
    <w:lvl w:ilvl="0" w:tplc="E424FF8A">
      <w:start w:val="1"/>
      <w:numFmt w:val="decimal"/>
      <w:lvlText w:val="(%1)"/>
      <w:lvlJc w:val="left"/>
      <w:pPr>
        <w:tabs>
          <w:tab w:val="num" w:pos="2880"/>
        </w:tabs>
        <w:ind w:left="2160" w:firstLine="360"/>
      </w:pPr>
      <w:rPr>
        <w:rFonts w:hint="default"/>
      </w:rPr>
    </w:lvl>
    <w:lvl w:ilvl="1" w:tplc="04090019" w:tentative="1">
      <w:start w:val="1"/>
      <w:numFmt w:val="lowerLetter"/>
      <w:lvlText w:val="%2."/>
      <w:lvlJc w:val="left"/>
      <w:pPr>
        <w:tabs>
          <w:tab w:val="num" w:pos="2880"/>
        </w:tabs>
        <w:ind w:left="2880" w:hanging="360"/>
      </w:pPr>
    </w:lvl>
    <w:lvl w:ilvl="2" w:tplc="10B2EAAC">
      <w:start w:val="1"/>
      <w:numFmt w:val="decimal"/>
      <w:lvlText w:val="(%3)"/>
      <w:lvlJc w:val="left"/>
      <w:pPr>
        <w:tabs>
          <w:tab w:val="num" w:pos="3780"/>
        </w:tabs>
        <w:ind w:left="3060" w:firstLine="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1F8910EC"/>
    <w:multiLevelType w:val="hybridMultilevel"/>
    <w:tmpl w:val="711CB038"/>
    <w:lvl w:ilvl="0" w:tplc="D0F00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2181ACB"/>
    <w:multiLevelType w:val="hybridMultilevel"/>
    <w:tmpl w:val="0D921B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2104F2"/>
    <w:multiLevelType w:val="hybridMultilevel"/>
    <w:tmpl w:val="626A16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1D3DD0"/>
    <w:multiLevelType w:val="hybridMultilevel"/>
    <w:tmpl w:val="4C56D6AA"/>
    <w:lvl w:ilvl="0" w:tplc="0AAE1BEA">
      <w:start w:val="3"/>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4C3687"/>
    <w:multiLevelType w:val="multilevel"/>
    <w:tmpl w:val="4A54C6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0172D5"/>
    <w:multiLevelType w:val="hybridMultilevel"/>
    <w:tmpl w:val="57AE0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190CFE"/>
    <w:multiLevelType w:val="hybridMultilevel"/>
    <w:tmpl w:val="E6F2865E"/>
    <w:lvl w:ilvl="0" w:tplc="0409001B">
      <w:start w:val="1"/>
      <w:numFmt w:val="lowerRoman"/>
      <w:lvlText w:val="%1."/>
      <w:lvlJc w:val="right"/>
      <w:pPr>
        <w:ind w:left="720" w:hanging="360"/>
      </w:pPr>
    </w:lvl>
    <w:lvl w:ilvl="1" w:tplc="0409001B">
      <w:start w:val="1"/>
      <w:numFmt w:val="lowerRoman"/>
      <w:lvlText w:val="%2."/>
      <w:lvlJc w:val="right"/>
      <w:pPr>
        <w:ind w:left="2070" w:hanging="360"/>
      </w:pPr>
    </w:lvl>
    <w:lvl w:ilvl="2" w:tplc="67D239B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5052BF"/>
    <w:multiLevelType w:val="hybridMultilevel"/>
    <w:tmpl w:val="5838AE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52893"/>
    <w:multiLevelType w:val="hybridMultilevel"/>
    <w:tmpl w:val="43A0A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70C13"/>
    <w:multiLevelType w:val="hybridMultilevel"/>
    <w:tmpl w:val="8A765B2C"/>
    <w:lvl w:ilvl="0" w:tplc="44143A54">
      <w:start w:val="1"/>
      <w:numFmt w:val="decimal"/>
      <w:lvlText w:val="%1."/>
      <w:lvlJc w:val="left"/>
      <w:pPr>
        <w:ind w:left="720" w:hanging="360"/>
      </w:pPr>
      <w:rPr>
        <w:rFonts w:hint="default"/>
      </w:rPr>
    </w:lvl>
    <w:lvl w:ilvl="1" w:tplc="08FC24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E64A73"/>
    <w:multiLevelType w:val="hybridMultilevel"/>
    <w:tmpl w:val="E67003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872E9C"/>
    <w:multiLevelType w:val="hybridMultilevel"/>
    <w:tmpl w:val="F30CC49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3B7359C7"/>
    <w:multiLevelType w:val="hybridMultilevel"/>
    <w:tmpl w:val="73FE7372"/>
    <w:lvl w:ilvl="0" w:tplc="44143A54">
      <w:start w:val="1"/>
      <w:numFmt w:val="decimal"/>
      <w:lvlText w:val="%1."/>
      <w:lvlJc w:val="left"/>
      <w:pPr>
        <w:ind w:left="720" w:hanging="360"/>
      </w:pPr>
      <w:rPr>
        <w:rFonts w:hint="default"/>
      </w:rPr>
    </w:lvl>
    <w:lvl w:ilvl="1" w:tplc="90E057E6">
      <w:start w:val="1"/>
      <w:numFmt w:val="lowerLetter"/>
      <w:lvlText w:val="%2."/>
      <w:lvlJc w:val="left"/>
      <w:pPr>
        <w:ind w:left="1440" w:hanging="360"/>
      </w:pPr>
      <w:rPr>
        <w:rFonts w:hint="default"/>
      </w:rPr>
    </w:lvl>
    <w:lvl w:ilvl="2" w:tplc="2E4A5D0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4B366B"/>
    <w:multiLevelType w:val="hybridMultilevel"/>
    <w:tmpl w:val="B1FEC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464D71"/>
    <w:multiLevelType w:val="hybridMultilevel"/>
    <w:tmpl w:val="E4AC4E12"/>
    <w:lvl w:ilvl="0" w:tplc="2FE24E3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F2007"/>
    <w:multiLevelType w:val="hybridMultilevel"/>
    <w:tmpl w:val="ECCE4338"/>
    <w:lvl w:ilvl="0" w:tplc="08A879A2">
      <w:start w:val="1"/>
      <w:numFmt w:val="decimal"/>
      <w:lvlText w:val="%1."/>
      <w:lvlJc w:val="left"/>
      <w:pPr>
        <w:ind w:left="720" w:hanging="360"/>
      </w:pPr>
      <w:rPr>
        <w:rFonts w:hint="default"/>
        <w:b w:val="0"/>
      </w:rPr>
    </w:lvl>
    <w:lvl w:ilvl="1" w:tplc="DC8C6CCC">
      <w:start w:val="1"/>
      <w:numFmt w:val="lowerRoman"/>
      <w:lvlText w:val="%2."/>
      <w:lvlJc w:val="left"/>
      <w:pPr>
        <w:ind w:left="1890" w:hanging="720"/>
      </w:pPr>
      <w:rPr>
        <w:rFonts w:hint="default"/>
      </w:rPr>
    </w:lvl>
    <w:lvl w:ilvl="2" w:tplc="2C4E02FA">
      <w:start w:val="5"/>
      <w:numFmt w:val="bullet"/>
      <w:lvlText w:val=""/>
      <w:lvlJc w:val="left"/>
      <w:pPr>
        <w:ind w:left="2340" w:hanging="360"/>
      </w:pPr>
      <w:rPr>
        <w:rFonts w:ascii="Symbol" w:eastAsia="SimSu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B54D1B"/>
    <w:multiLevelType w:val="hybridMultilevel"/>
    <w:tmpl w:val="2760FF26"/>
    <w:lvl w:ilvl="0" w:tplc="2E4A5D04">
      <w:start w:val="1"/>
      <w:numFmt w:val="upperLetter"/>
      <w:lvlText w:val="(%1)"/>
      <w:lvlJc w:val="left"/>
      <w:pPr>
        <w:ind w:left="2520" w:hanging="360"/>
      </w:pPr>
      <w:rPr>
        <w:rFonts w:hint="default"/>
      </w:rPr>
    </w:lvl>
    <w:lvl w:ilvl="1" w:tplc="04090019" w:tentative="1">
      <w:start w:val="1"/>
      <w:numFmt w:val="lowerLetter"/>
      <w:lvlText w:val="%2."/>
      <w:lvlJc w:val="left"/>
      <w:pPr>
        <w:ind w:left="2612" w:hanging="360"/>
      </w:pPr>
    </w:lvl>
    <w:lvl w:ilvl="2" w:tplc="0409001B" w:tentative="1">
      <w:start w:val="1"/>
      <w:numFmt w:val="lowerRoman"/>
      <w:lvlText w:val="%3."/>
      <w:lvlJc w:val="right"/>
      <w:pPr>
        <w:ind w:left="3332" w:hanging="180"/>
      </w:pPr>
    </w:lvl>
    <w:lvl w:ilvl="3" w:tplc="0409000F" w:tentative="1">
      <w:start w:val="1"/>
      <w:numFmt w:val="decimal"/>
      <w:lvlText w:val="%4."/>
      <w:lvlJc w:val="left"/>
      <w:pPr>
        <w:ind w:left="4052" w:hanging="360"/>
      </w:pPr>
    </w:lvl>
    <w:lvl w:ilvl="4" w:tplc="04090019" w:tentative="1">
      <w:start w:val="1"/>
      <w:numFmt w:val="lowerLetter"/>
      <w:lvlText w:val="%5."/>
      <w:lvlJc w:val="left"/>
      <w:pPr>
        <w:ind w:left="4772" w:hanging="360"/>
      </w:pPr>
    </w:lvl>
    <w:lvl w:ilvl="5" w:tplc="0409001B" w:tentative="1">
      <w:start w:val="1"/>
      <w:numFmt w:val="lowerRoman"/>
      <w:lvlText w:val="%6."/>
      <w:lvlJc w:val="right"/>
      <w:pPr>
        <w:ind w:left="5492" w:hanging="180"/>
      </w:pPr>
    </w:lvl>
    <w:lvl w:ilvl="6" w:tplc="0409000F" w:tentative="1">
      <w:start w:val="1"/>
      <w:numFmt w:val="decimal"/>
      <w:lvlText w:val="%7."/>
      <w:lvlJc w:val="left"/>
      <w:pPr>
        <w:ind w:left="6212" w:hanging="360"/>
      </w:pPr>
    </w:lvl>
    <w:lvl w:ilvl="7" w:tplc="04090019" w:tentative="1">
      <w:start w:val="1"/>
      <w:numFmt w:val="lowerLetter"/>
      <w:lvlText w:val="%8."/>
      <w:lvlJc w:val="left"/>
      <w:pPr>
        <w:ind w:left="6932" w:hanging="360"/>
      </w:pPr>
    </w:lvl>
    <w:lvl w:ilvl="8" w:tplc="0409001B" w:tentative="1">
      <w:start w:val="1"/>
      <w:numFmt w:val="lowerRoman"/>
      <w:lvlText w:val="%9."/>
      <w:lvlJc w:val="right"/>
      <w:pPr>
        <w:ind w:left="7652" w:hanging="180"/>
      </w:pPr>
    </w:lvl>
  </w:abstractNum>
  <w:abstractNum w:abstractNumId="34" w15:restartNumberingAfterBreak="0">
    <w:nsid w:val="4554648F"/>
    <w:multiLevelType w:val="hybridMultilevel"/>
    <w:tmpl w:val="14B0FD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B743DB"/>
    <w:multiLevelType w:val="hybridMultilevel"/>
    <w:tmpl w:val="D2A6AF2E"/>
    <w:lvl w:ilvl="0" w:tplc="E5AA2B32">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DC776F"/>
    <w:multiLevelType w:val="hybridMultilevel"/>
    <w:tmpl w:val="43C2DF7A"/>
    <w:lvl w:ilvl="0" w:tplc="2E4A5D04">
      <w:start w:val="1"/>
      <w:numFmt w:val="upp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7" w15:restartNumberingAfterBreak="0">
    <w:nsid w:val="48E11DF8"/>
    <w:multiLevelType w:val="hybridMultilevel"/>
    <w:tmpl w:val="500429BC"/>
    <w:lvl w:ilvl="0" w:tplc="2E4A5D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2E4A5D04">
      <w:start w:val="1"/>
      <w:numFmt w:val="upperLetter"/>
      <w:lvlText w:val="(%3)"/>
      <w:lvlJc w:val="left"/>
      <w:pPr>
        <w:ind w:left="2160" w:hanging="180"/>
      </w:pPr>
      <w:rPr>
        <w:rFonts w:hint="default"/>
      </w:rPr>
    </w:lvl>
    <w:lvl w:ilvl="3" w:tplc="D0F00BA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4D45EA"/>
    <w:multiLevelType w:val="hybridMultilevel"/>
    <w:tmpl w:val="B6FEC52C"/>
    <w:lvl w:ilvl="0" w:tplc="5A7A8B4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852C32"/>
    <w:multiLevelType w:val="hybridMultilevel"/>
    <w:tmpl w:val="4E406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C12858"/>
    <w:multiLevelType w:val="hybridMultilevel"/>
    <w:tmpl w:val="E0DCFDFA"/>
    <w:lvl w:ilvl="0" w:tplc="0409001B">
      <w:start w:val="1"/>
      <w:numFmt w:val="lowerRoman"/>
      <w:lvlText w:val="%1."/>
      <w:lvlJc w:val="righ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782891"/>
    <w:multiLevelType w:val="hybridMultilevel"/>
    <w:tmpl w:val="63E83B2C"/>
    <w:lvl w:ilvl="0" w:tplc="2E4A5D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440E36"/>
    <w:multiLevelType w:val="hybridMultilevel"/>
    <w:tmpl w:val="CD62B22C"/>
    <w:lvl w:ilvl="0" w:tplc="2E4A5D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2E4A5D04">
      <w:start w:val="1"/>
      <w:numFmt w:val="upperLetter"/>
      <w:lvlText w:val="(%3)"/>
      <w:lvlJc w:val="left"/>
      <w:pPr>
        <w:ind w:left="2160" w:hanging="180"/>
      </w:pPr>
      <w:rPr>
        <w:rFonts w:hint="default"/>
      </w:rPr>
    </w:lvl>
    <w:lvl w:ilvl="3" w:tplc="D0F00BA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8C6197"/>
    <w:multiLevelType w:val="hybridMultilevel"/>
    <w:tmpl w:val="6D9A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C052B2"/>
    <w:multiLevelType w:val="hybridMultilevel"/>
    <w:tmpl w:val="69B4A48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D608E1"/>
    <w:multiLevelType w:val="hybridMultilevel"/>
    <w:tmpl w:val="C1F8BF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6D54CA"/>
    <w:multiLevelType w:val="hybridMultilevel"/>
    <w:tmpl w:val="07906576"/>
    <w:lvl w:ilvl="0" w:tplc="04090015">
      <w:start w:val="1"/>
      <w:numFmt w:val="upp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15:restartNumberingAfterBreak="0">
    <w:nsid w:val="5A7623A0"/>
    <w:multiLevelType w:val="hybridMultilevel"/>
    <w:tmpl w:val="BD223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10F49EF"/>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9" w15:restartNumberingAfterBreak="0">
    <w:nsid w:val="61262CCC"/>
    <w:multiLevelType w:val="hybridMultilevel"/>
    <w:tmpl w:val="A7D87244"/>
    <w:lvl w:ilvl="0" w:tplc="8606FFFA">
      <w:start w:val="1"/>
      <w:numFmt w:val="lowerLetter"/>
      <w:pStyle w:val="ListNumber6"/>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6407F64"/>
    <w:multiLevelType w:val="hybridMultilevel"/>
    <w:tmpl w:val="2FAA0234"/>
    <w:lvl w:ilvl="0" w:tplc="9122503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72961B2"/>
    <w:multiLevelType w:val="hybridMultilevel"/>
    <w:tmpl w:val="5464E676"/>
    <w:lvl w:ilvl="0" w:tplc="2E4A5D0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8641C39"/>
    <w:multiLevelType w:val="hybridMultilevel"/>
    <w:tmpl w:val="F5B6F306"/>
    <w:lvl w:ilvl="0" w:tplc="0AAE1BEA">
      <w:start w:val="3"/>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B07E5D"/>
    <w:multiLevelType w:val="multilevel"/>
    <w:tmpl w:val="41E66A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C0C51F5"/>
    <w:multiLevelType w:val="hybridMultilevel"/>
    <w:tmpl w:val="442E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2E4A5D04">
      <w:start w:val="1"/>
      <w:numFmt w:val="upperLetter"/>
      <w:lvlText w:val="(%3)"/>
      <w:lvlJc w:val="left"/>
      <w:pPr>
        <w:ind w:left="2160" w:hanging="180"/>
      </w:pPr>
      <w:rPr>
        <w:rFonts w:hint="default"/>
      </w:rPr>
    </w:lvl>
    <w:lvl w:ilvl="3" w:tplc="F3B86BE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5805EC"/>
    <w:multiLevelType w:val="hybridMultilevel"/>
    <w:tmpl w:val="44D03C72"/>
    <w:lvl w:ilvl="0" w:tplc="F3B86BE8">
      <w:start w:val="1"/>
      <w:numFmt w:val="decimal"/>
      <w:lvlText w:val="(%1)"/>
      <w:lvlJc w:val="left"/>
      <w:pPr>
        <w:ind w:left="252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6EA91B6C"/>
    <w:multiLevelType w:val="hybridMultilevel"/>
    <w:tmpl w:val="5824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532528"/>
    <w:multiLevelType w:val="hybridMultilevel"/>
    <w:tmpl w:val="9FE81ECC"/>
    <w:lvl w:ilvl="0" w:tplc="6388B6E0">
      <w:start w:val="1"/>
      <w:numFmt w:val="decimal"/>
      <w:lvlText w:val="%1."/>
      <w:lvlJc w:val="left"/>
      <w:pPr>
        <w:ind w:left="720" w:hanging="360"/>
      </w:pPr>
      <w:rPr>
        <w:rFonts w:hint="default"/>
      </w:rPr>
    </w:lvl>
    <w:lvl w:ilvl="1" w:tplc="C43A9C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0D2C57"/>
    <w:multiLevelType w:val="hybridMultilevel"/>
    <w:tmpl w:val="DA2A1C08"/>
    <w:lvl w:ilvl="0" w:tplc="0409001B">
      <w:start w:val="1"/>
      <w:numFmt w:val="lowerRoman"/>
      <w:lvlText w:val="%1."/>
      <w:lvlJc w:val="right"/>
      <w:pPr>
        <w:ind w:left="1620" w:hanging="360"/>
      </w:pPr>
    </w:lvl>
    <w:lvl w:ilvl="1" w:tplc="0409001B">
      <w:start w:val="1"/>
      <w:numFmt w:val="lowerRoman"/>
      <w:lvlText w:val="%2."/>
      <w:lvlJc w:val="righ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15:restartNumberingAfterBreak="0">
    <w:nsid w:val="745D7560"/>
    <w:multiLevelType w:val="hybridMultilevel"/>
    <w:tmpl w:val="938CF99A"/>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33BAC928">
      <w:start w:val="2"/>
      <w:numFmt w:val="lowerRoman"/>
      <w:lvlText w:val="%3."/>
      <w:lvlJc w:val="right"/>
      <w:pPr>
        <w:ind w:left="2970" w:hanging="18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15:restartNumberingAfterBreak="0">
    <w:nsid w:val="7CCF71FF"/>
    <w:multiLevelType w:val="hybridMultilevel"/>
    <w:tmpl w:val="B27CC4D2"/>
    <w:lvl w:ilvl="0" w:tplc="44143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9A3FF3"/>
    <w:multiLevelType w:val="hybridMultilevel"/>
    <w:tmpl w:val="18CA6D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037B4B"/>
    <w:multiLevelType w:val="hybridMultilevel"/>
    <w:tmpl w:val="904088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2611401">
    <w:abstractNumId w:val="5"/>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6063897">
    <w:abstractNumId w:val="59"/>
  </w:num>
  <w:num w:numId="3" w16cid:durableId="175971922">
    <w:abstractNumId w:val="57"/>
  </w:num>
  <w:num w:numId="4" w16cid:durableId="953638504">
    <w:abstractNumId w:val="44"/>
  </w:num>
  <w:num w:numId="5" w16cid:durableId="2140612696">
    <w:abstractNumId w:val="26"/>
  </w:num>
  <w:num w:numId="6" w16cid:durableId="409738443">
    <w:abstractNumId w:val="60"/>
  </w:num>
  <w:num w:numId="7" w16cid:durableId="1953391951">
    <w:abstractNumId w:val="29"/>
  </w:num>
  <w:num w:numId="8" w16cid:durableId="636108718">
    <w:abstractNumId w:val="32"/>
  </w:num>
  <w:num w:numId="9" w16cid:durableId="360710569">
    <w:abstractNumId w:val="20"/>
  </w:num>
  <w:num w:numId="10" w16cid:durableId="1100299403">
    <w:abstractNumId w:val="39"/>
  </w:num>
  <w:num w:numId="11" w16cid:durableId="1006128626">
    <w:abstractNumId w:val="41"/>
  </w:num>
  <w:num w:numId="12" w16cid:durableId="1418821338">
    <w:abstractNumId w:val="27"/>
  </w:num>
  <w:num w:numId="13" w16cid:durableId="1328359241">
    <w:abstractNumId w:val="38"/>
  </w:num>
  <w:num w:numId="14" w16cid:durableId="1061514465">
    <w:abstractNumId w:val="58"/>
  </w:num>
  <w:num w:numId="15" w16cid:durableId="454568250">
    <w:abstractNumId w:val="19"/>
  </w:num>
  <w:num w:numId="16" w16cid:durableId="905871272">
    <w:abstractNumId w:val="40"/>
  </w:num>
  <w:num w:numId="17" w16cid:durableId="1030182764">
    <w:abstractNumId w:val="62"/>
  </w:num>
  <w:num w:numId="18" w16cid:durableId="551578758">
    <w:abstractNumId w:val="34"/>
  </w:num>
  <w:num w:numId="19" w16cid:durableId="1386637127">
    <w:abstractNumId w:val="52"/>
  </w:num>
  <w:num w:numId="20" w16cid:durableId="697005389">
    <w:abstractNumId w:val="46"/>
  </w:num>
  <w:num w:numId="21" w16cid:durableId="826094644">
    <w:abstractNumId w:val="8"/>
  </w:num>
  <w:num w:numId="22" w16cid:durableId="808396998">
    <w:abstractNumId w:val="15"/>
  </w:num>
  <w:num w:numId="23" w16cid:durableId="472139095">
    <w:abstractNumId w:val="31"/>
  </w:num>
  <w:num w:numId="24" w16cid:durableId="1662345192">
    <w:abstractNumId w:val="13"/>
  </w:num>
  <w:num w:numId="25" w16cid:durableId="1458060336">
    <w:abstractNumId w:val="50"/>
  </w:num>
  <w:num w:numId="26" w16cid:durableId="952126231">
    <w:abstractNumId w:val="23"/>
  </w:num>
  <w:num w:numId="27" w16cid:durableId="466357220">
    <w:abstractNumId w:val="28"/>
  </w:num>
  <w:num w:numId="28" w16cid:durableId="1902212178">
    <w:abstractNumId w:val="33"/>
  </w:num>
  <w:num w:numId="29" w16cid:durableId="1998801061">
    <w:abstractNumId w:val="55"/>
  </w:num>
  <w:num w:numId="30" w16cid:durableId="1509635477">
    <w:abstractNumId w:val="54"/>
  </w:num>
  <w:num w:numId="31" w16cid:durableId="92820457">
    <w:abstractNumId w:val="37"/>
  </w:num>
  <w:num w:numId="32" w16cid:durableId="100077578">
    <w:abstractNumId w:val="45"/>
  </w:num>
  <w:num w:numId="33" w16cid:durableId="1244335753">
    <w:abstractNumId w:val="30"/>
  </w:num>
  <w:num w:numId="34" w16cid:durableId="1950430162">
    <w:abstractNumId w:val="47"/>
  </w:num>
  <w:num w:numId="35" w16cid:durableId="1857424916">
    <w:abstractNumId w:val="24"/>
  </w:num>
  <w:num w:numId="36" w16cid:durableId="861625767">
    <w:abstractNumId w:val="12"/>
  </w:num>
  <w:num w:numId="37" w16cid:durableId="618608492">
    <w:abstractNumId w:val="9"/>
  </w:num>
  <w:num w:numId="38" w16cid:durableId="1594165820">
    <w:abstractNumId w:val="61"/>
  </w:num>
  <w:num w:numId="39" w16cid:durableId="735251129">
    <w:abstractNumId w:val="35"/>
  </w:num>
  <w:num w:numId="40" w16cid:durableId="1947155876">
    <w:abstractNumId w:val="53"/>
  </w:num>
  <w:num w:numId="41" w16cid:durableId="1936278800">
    <w:abstractNumId w:val="36"/>
  </w:num>
  <w:num w:numId="42" w16cid:durableId="1566528627">
    <w:abstractNumId w:val="14"/>
  </w:num>
  <w:num w:numId="43" w16cid:durableId="1999071236">
    <w:abstractNumId w:val="51"/>
  </w:num>
  <w:num w:numId="44" w16cid:durableId="410591288">
    <w:abstractNumId w:val="21"/>
  </w:num>
  <w:num w:numId="45" w16cid:durableId="1378358446">
    <w:abstractNumId w:val="16"/>
  </w:num>
  <w:num w:numId="46" w16cid:durableId="1343780694">
    <w:abstractNumId w:val="42"/>
  </w:num>
  <w:num w:numId="47" w16cid:durableId="465246603">
    <w:abstractNumId w:val="43"/>
  </w:num>
  <w:num w:numId="48" w16cid:durableId="173542266">
    <w:abstractNumId w:val="56"/>
  </w:num>
  <w:num w:numId="49" w16cid:durableId="1930890464">
    <w:abstractNumId w:val="11"/>
  </w:num>
  <w:num w:numId="50" w16cid:durableId="2133163050">
    <w:abstractNumId w:val="18"/>
  </w:num>
  <w:num w:numId="51" w16cid:durableId="1486505767">
    <w:abstractNumId w:val="17"/>
  </w:num>
  <w:num w:numId="52" w16cid:durableId="1322857358">
    <w:abstractNumId w:val="22"/>
  </w:num>
  <w:num w:numId="53" w16cid:durableId="1881045935">
    <w:abstractNumId w:val="10"/>
  </w:num>
  <w:num w:numId="54" w16cid:durableId="1835535304">
    <w:abstractNumId w:val="25"/>
  </w:num>
  <w:num w:numId="55" w16cid:durableId="1652371360">
    <w:abstractNumId w:val="48"/>
  </w:num>
  <w:num w:numId="56" w16cid:durableId="1376193317">
    <w:abstractNumId w:val="4"/>
  </w:num>
  <w:num w:numId="57" w16cid:durableId="1581014372">
    <w:abstractNumId w:val="4"/>
    <w:lvlOverride w:ilvl="0">
      <w:startOverride w:val="1"/>
    </w:lvlOverride>
  </w:num>
  <w:num w:numId="58" w16cid:durableId="518465656">
    <w:abstractNumId w:val="3"/>
  </w:num>
  <w:num w:numId="59" w16cid:durableId="320083861">
    <w:abstractNumId w:val="3"/>
    <w:lvlOverride w:ilvl="0">
      <w:startOverride w:val="1"/>
    </w:lvlOverride>
  </w:num>
  <w:num w:numId="60" w16cid:durableId="1227571964">
    <w:abstractNumId w:val="4"/>
    <w:lvlOverride w:ilvl="0">
      <w:startOverride w:val="1"/>
    </w:lvlOverride>
  </w:num>
  <w:num w:numId="61" w16cid:durableId="713425574">
    <w:abstractNumId w:val="3"/>
    <w:lvlOverride w:ilvl="0">
      <w:startOverride w:val="1"/>
    </w:lvlOverride>
  </w:num>
  <w:num w:numId="62" w16cid:durableId="1499466423">
    <w:abstractNumId w:val="3"/>
    <w:lvlOverride w:ilvl="0">
      <w:startOverride w:val="1"/>
    </w:lvlOverride>
  </w:num>
  <w:num w:numId="63" w16cid:durableId="402337176">
    <w:abstractNumId w:val="4"/>
    <w:lvlOverride w:ilvl="0">
      <w:startOverride w:val="1"/>
    </w:lvlOverride>
  </w:num>
  <w:num w:numId="64" w16cid:durableId="93018933">
    <w:abstractNumId w:val="3"/>
    <w:lvlOverride w:ilvl="0">
      <w:startOverride w:val="1"/>
    </w:lvlOverride>
  </w:num>
  <w:num w:numId="65" w16cid:durableId="136723783">
    <w:abstractNumId w:val="3"/>
    <w:lvlOverride w:ilvl="0">
      <w:startOverride w:val="1"/>
    </w:lvlOverride>
  </w:num>
  <w:num w:numId="66" w16cid:durableId="1030298446">
    <w:abstractNumId w:val="4"/>
    <w:lvlOverride w:ilvl="0">
      <w:startOverride w:val="1"/>
    </w:lvlOverride>
  </w:num>
  <w:num w:numId="67" w16cid:durableId="789320038">
    <w:abstractNumId w:val="4"/>
    <w:lvlOverride w:ilvl="0">
      <w:startOverride w:val="1"/>
    </w:lvlOverride>
  </w:num>
  <w:num w:numId="68" w16cid:durableId="1551921882">
    <w:abstractNumId w:val="3"/>
    <w:lvlOverride w:ilvl="0">
      <w:startOverride w:val="1"/>
    </w:lvlOverride>
  </w:num>
  <w:num w:numId="69" w16cid:durableId="395785079">
    <w:abstractNumId w:val="2"/>
  </w:num>
  <w:num w:numId="70" w16cid:durableId="1408530564">
    <w:abstractNumId w:val="2"/>
    <w:lvlOverride w:ilvl="0">
      <w:startOverride w:val="1"/>
    </w:lvlOverride>
  </w:num>
  <w:num w:numId="71" w16cid:durableId="99690726">
    <w:abstractNumId w:val="2"/>
    <w:lvlOverride w:ilvl="0">
      <w:startOverride w:val="1"/>
    </w:lvlOverride>
  </w:num>
  <w:num w:numId="72" w16cid:durableId="858619461">
    <w:abstractNumId w:val="2"/>
    <w:lvlOverride w:ilvl="0">
      <w:startOverride w:val="1"/>
    </w:lvlOverride>
  </w:num>
  <w:num w:numId="73" w16cid:durableId="162939957">
    <w:abstractNumId w:val="3"/>
    <w:lvlOverride w:ilvl="0">
      <w:startOverride w:val="1"/>
    </w:lvlOverride>
  </w:num>
  <w:num w:numId="74" w16cid:durableId="180900447">
    <w:abstractNumId w:val="4"/>
    <w:lvlOverride w:ilvl="0">
      <w:startOverride w:val="1"/>
    </w:lvlOverride>
  </w:num>
  <w:num w:numId="75" w16cid:durableId="1863124347">
    <w:abstractNumId w:val="3"/>
    <w:lvlOverride w:ilvl="0">
      <w:startOverride w:val="1"/>
    </w:lvlOverride>
  </w:num>
  <w:num w:numId="76" w16cid:durableId="1538201627">
    <w:abstractNumId w:val="2"/>
    <w:lvlOverride w:ilvl="0">
      <w:startOverride w:val="1"/>
    </w:lvlOverride>
  </w:num>
  <w:num w:numId="77" w16cid:durableId="1886529460">
    <w:abstractNumId w:val="3"/>
    <w:lvlOverride w:ilvl="0">
      <w:startOverride w:val="1"/>
    </w:lvlOverride>
  </w:num>
  <w:num w:numId="78" w16cid:durableId="1308513075">
    <w:abstractNumId w:val="2"/>
    <w:lvlOverride w:ilvl="0">
      <w:startOverride w:val="1"/>
    </w:lvlOverride>
  </w:num>
  <w:num w:numId="79" w16cid:durableId="2125417448">
    <w:abstractNumId w:val="3"/>
    <w:lvlOverride w:ilvl="0">
      <w:startOverride w:val="1"/>
    </w:lvlOverride>
  </w:num>
  <w:num w:numId="80" w16cid:durableId="213548336">
    <w:abstractNumId w:val="2"/>
    <w:lvlOverride w:ilvl="0">
      <w:startOverride w:val="1"/>
    </w:lvlOverride>
  </w:num>
  <w:num w:numId="81" w16cid:durableId="1015108692">
    <w:abstractNumId w:val="2"/>
    <w:lvlOverride w:ilvl="0">
      <w:startOverride w:val="1"/>
    </w:lvlOverride>
  </w:num>
  <w:num w:numId="82" w16cid:durableId="1139297313">
    <w:abstractNumId w:val="3"/>
    <w:lvlOverride w:ilvl="0">
      <w:startOverride w:val="1"/>
    </w:lvlOverride>
  </w:num>
  <w:num w:numId="83" w16cid:durableId="16588759">
    <w:abstractNumId w:val="3"/>
    <w:lvlOverride w:ilvl="0">
      <w:startOverride w:val="1"/>
    </w:lvlOverride>
  </w:num>
  <w:num w:numId="84" w16cid:durableId="1688484342">
    <w:abstractNumId w:val="2"/>
    <w:lvlOverride w:ilvl="0">
      <w:startOverride w:val="1"/>
    </w:lvlOverride>
  </w:num>
  <w:num w:numId="85" w16cid:durableId="1405447772">
    <w:abstractNumId w:val="3"/>
    <w:lvlOverride w:ilvl="0">
      <w:startOverride w:val="1"/>
    </w:lvlOverride>
  </w:num>
  <w:num w:numId="86" w16cid:durableId="1958103682">
    <w:abstractNumId w:val="3"/>
    <w:lvlOverride w:ilvl="0">
      <w:startOverride w:val="1"/>
    </w:lvlOverride>
  </w:num>
  <w:num w:numId="87" w16cid:durableId="73208457">
    <w:abstractNumId w:val="2"/>
    <w:lvlOverride w:ilvl="0">
      <w:startOverride w:val="1"/>
    </w:lvlOverride>
  </w:num>
  <w:num w:numId="88" w16cid:durableId="1557814367">
    <w:abstractNumId w:val="3"/>
    <w:lvlOverride w:ilvl="0">
      <w:startOverride w:val="1"/>
    </w:lvlOverride>
  </w:num>
  <w:num w:numId="89" w16cid:durableId="889266009">
    <w:abstractNumId w:val="1"/>
  </w:num>
  <w:num w:numId="90" w16cid:durableId="207574520">
    <w:abstractNumId w:val="1"/>
  </w:num>
  <w:num w:numId="91" w16cid:durableId="1587416256">
    <w:abstractNumId w:val="0"/>
  </w:num>
  <w:num w:numId="92" w16cid:durableId="1039740428">
    <w:abstractNumId w:val="2"/>
    <w:lvlOverride w:ilvl="0">
      <w:startOverride w:val="1"/>
    </w:lvlOverride>
  </w:num>
  <w:num w:numId="93" w16cid:durableId="1920941261">
    <w:abstractNumId w:val="1"/>
    <w:lvlOverride w:ilvl="0">
      <w:startOverride w:val="1"/>
    </w:lvlOverride>
  </w:num>
  <w:num w:numId="94" w16cid:durableId="1826435157">
    <w:abstractNumId w:val="0"/>
    <w:lvlOverride w:ilvl="0">
      <w:startOverride w:val="1"/>
    </w:lvlOverride>
  </w:num>
  <w:num w:numId="95" w16cid:durableId="190535996">
    <w:abstractNumId w:val="0"/>
    <w:lvlOverride w:ilvl="0">
      <w:startOverride w:val="1"/>
    </w:lvlOverride>
  </w:num>
  <w:num w:numId="96" w16cid:durableId="1369531854">
    <w:abstractNumId w:val="49"/>
  </w:num>
  <w:num w:numId="97" w16cid:durableId="1169948741">
    <w:abstractNumId w:val="0"/>
    <w:lvlOverride w:ilvl="0">
      <w:startOverride w:val="1"/>
    </w:lvlOverride>
  </w:num>
  <w:num w:numId="98" w16cid:durableId="1271626200">
    <w:abstractNumId w:val="1"/>
    <w:lvlOverride w:ilvl="0">
      <w:startOverride w:val="1"/>
    </w:lvlOverride>
  </w:num>
  <w:num w:numId="99" w16cid:durableId="1907567294">
    <w:abstractNumId w:val="0"/>
    <w:lvlOverride w:ilvl="0">
      <w:startOverride w:val="1"/>
    </w:lvlOverride>
  </w:num>
  <w:num w:numId="100" w16cid:durableId="1356805349">
    <w:abstractNumId w:val="0"/>
    <w:lvlOverride w:ilvl="0">
      <w:startOverride w:val="1"/>
    </w:lvlOverride>
  </w:num>
  <w:num w:numId="101" w16cid:durableId="597179804">
    <w:abstractNumId w:val="4"/>
    <w:lvlOverride w:ilvl="0">
      <w:startOverride w:val="1"/>
    </w:lvlOverride>
  </w:num>
  <w:num w:numId="102" w16cid:durableId="1821077803">
    <w:abstractNumId w:val="4"/>
    <w:lvlOverride w:ilvl="0">
      <w:startOverride w:val="1"/>
    </w:lvlOverride>
  </w:num>
  <w:num w:numId="103" w16cid:durableId="175972791">
    <w:abstractNumId w:val="3"/>
    <w:lvlOverride w:ilvl="0">
      <w:startOverride w:val="1"/>
    </w:lvlOverride>
  </w:num>
  <w:num w:numId="104" w16cid:durableId="466901686">
    <w:abstractNumId w:val="2"/>
    <w:lvlOverride w:ilvl="0">
      <w:startOverride w:val="1"/>
    </w:lvlOverride>
  </w:num>
  <w:num w:numId="105" w16cid:durableId="1269697178">
    <w:abstractNumId w:val="4"/>
    <w:lvlOverride w:ilvl="0">
      <w:startOverride w:val="1"/>
    </w:lvlOverride>
  </w:num>
  <w:num w:numId="106" w16cid:durableId="1007564227">
    <w:abstractNumId w:val="3"/>
    <w:lvlOverride w:ilvl="0">
      <w:startOverride w:val="1"/>
    </w:lvlOverride>
  </w:num>
  <w:num w:numId="107" w16cid:durableId="1872573790">
    <w:abstractNumId w:val="2"/>
    <w:lvlOverride w:ilvl="0">
      <w:startOverride w:val="1"/>
    </w:lvlOverride>
  </w:num>
  <w:num w:numId="108" w16cid:durableId="1362777510">
    <w:abstractNumId w:val="3"/>
    <w:lvlOverride w:ilvl="0">
      <w:startOverride w:val="1"/>
    </w:lvlOverride>
  </w:num>
  <w:num w:numId="109" w16cid:durableId="1657420651">
    <w:abstractNumId w:val="4"/>
    <w:lvlOverride w:ilvl="0">
      <w:startOverride w:val="1"/>
    </w:lvlOverride>
  </w:num>
  <w:num w:numId="110" w16cid:durableId="754982826">
    <w:abstractNumId w:val="2"/>
  </w:num>
  <w:num w:numId="111" w16cid:durableId="1285381492">
    <w:abstractNumId w:val="2"/>
    <w:lvlOverride w:ilvl="0">
      <w:startOverride w:val="1"/>
    </w:lvlOverride>
  </w:num>
  <w:num w:numId="112" w16cid:durableId="598484165">
    <w:abstractNumId w:val="0"/>
  </w:num>
  <w:num w:numId="113" w16cid:durableId="1177308197">
    <w:abstractNumId w:val="0"/>
    <w:lvlOverride w:ilvl="0">
      <w:startOverride w:val="1"/>
    </w:lvlOverride>
  </w:num>
  <w:num w:numId="114" w16cid:durableId="959607676">
    <w:abstractNumId w:val="49"/>
    <w:lvlOverride w:ilvl="0">
      <w:startOverride w:val="1"/>
    </w:lvlOverride>
  </w:num>
  <w:num w:numId="115" w16cid:durableId="1257061115">
    <w:abstractNumId w:val="4"/>
  </w:num>
  <w:num w:numId="116" w16cid:durableId="1847399182">
    <w:abstractNumId w:val="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C8"/>
    <w:rsid w:val="00000B04"/>
    <w:rsid w:val="000018C8"/>
    <w:rsid w:val="00002A20"/>
    <w:rsid w:val="00006B07"/>
    <w:rsid w:val="00010E52"/>
    <w:rsid w:val="00010FAF"/>
    <w:rsid w:val="0001157C"/>
    <w:rsid w:val="00012F0A"/>
    <w:rsid w:val="00017773"/>
    <w:rsid w:val="00017FD0"/>
    <w:rsid w:val="0002173B"/>
    <w:rsid w:val="00022B71"/>
    <w:rsid w:val="00025B5E"/>
    <w:rsid w:val="000274B3"/>
    <w:rsid w:val="00031146"/>
    <w:rsid w:val="00032E38"/>
    <w:rsid w:val="0003700A"/>
    <w:rsid w:val="00040411"/>
    <w:rsid w:val="000417A9"/>
    <w:rsid w:val="000453B8"/>
    <w:rsid w:val="00045485"/>
    <w:rsid w:val="000553C7"/>
    <w:rsid w:val="00057ACA"/>
    <w:rsid w:val="00062CF8"/>
    <w:rsid w:val="000634C5"/>
    <w:rsid w:val="00066052"/>
    <w:rsid w:val="00072E9E"/>
    <w:rsid w:val="000741E0"/>
    <w:rsid w:val="00074A1A"/>
    <w:rsid w:val="00074D81"/>
    <w:rsid w:val="000767FE"/>
    <w:rsid w:val="00081558"/>
    <w:rsid w:val="00083CBC"/>
    <w:rsid w:val="000857E6"/>
    <w:rsid w:val="00090122"/>
    <w:rsid w:val="0009072D"/>
    <w:rsid w:val="00093423"/>
    <w:rsid w:val="0009573B"/>
    <w:rsid w:val="000A1D30"/>
    <w:rsid w:val="000A222B"/>
    <w:rsid w:val="000A650B"/>
    <w:rsid w:val="000A699A"/>
    <w:rsid w:val="000B041E"/>
    <w:rsid w:val="000B5CB4"/>
    <w:rsid w:val="000C0FEE"/>
    <w:rsid w:val="000C2DE7"/>
    <w:rsid w:val="000C5D15"/>
    <w:rsid w:val="000D25DA"/>
    <w:rsid w:val="000D3E99"/>
    <w:rsid w:val="000D670E"/>
    <w:rsid w:val="000D7A88"/>
    <w:rsid w:val="000E4866"/>
    <w:rsid w:val="000E53B7"/>
    <w:rsid w:val="000F02DD"/>
    <w:rsid w:val="000F09C5"/>
    <w:rsid w:val="000F459C"/>
    <w:rsid w:val="00100F57"/>
    <w:rsid w:val="00101D57"/>
    <w:rsid w:val="00106D7A"/>
    <w:rsid w:val="00113337"/>
    <w:rsid w:val="00122C07"/>
    <w:rsid w:val="00125F49"/>
    <w:rsid w:val="0013372B"/>
    <w:rsid w:val="00134FB1"/>
    <w:rsid w:val="001367EB"/>
    <w:rsid w:val="00140BC3"/>
    <w:rsid w:val="001426B1"/>
    <w:rsid w:val="00142AE5"/>
    <w:rsid w:val="0014508F"/>
    <w:rsid w:val="0014710D"/>
    <w:rsid w:val="001519A5"/>
    <w:rsid w:val="00151FA2"/>
    <w:rsid w:val="00160388"/>
    <w:rsid w:val="00163EE3"/>
    <w:rsid w:val="0016406A"/>
    <w:rsid w:val="00164491"/>
    <w:rsid w:val="001674A6"/>
    <w:rsid w:val="00171F72"/>
    <w:rsid w:val="001729AD"/>
    <w:rsid w:val="0017487B"/>
    <w:rsid w:val="0018515A"/>
    <w:rsid w:val="001930B8"/>
    <w:rsid w:val="00194F9E"/>
    <w:rsid w:val="00196EFC"/>
    <w:rsid w:val="00197529"/>
    <w:rsid w:val="001A0145"/>
    <w:rsid w:val="001A15D7"/>
    <w:rsid w:val="001A2479"/>
    <w:rsid w:val="001A2CEF"/>
    <w:rsid w:val="001A73D5"/>
    <w:rsid w:val="001B4254"/>
    <w:rsid w:val="001C09CD"/>
    <w:rsid w:val="001C1487"/>
    <w:rsid w:val="001C24E8"/>
    <w:rsid w:val="001C5141"/>
    <w:rsid w:val="001D07EA"/>
    <w:rsid w:val="001D5A2A"/>
    <w:rsid w:val="001D76BB"/>
    <w:rsid w:val="001D7974"/>
    <w:rsid w:val="001D7EAB"/>
    <w:rsid w:val="001E5C56"/>
    <w:rsid w:val="001F194A"/>
    <w:rsid w:val="001F6345"/>
    <w:rsid w:val="001F734E"/>
    <w:rsid w:val="001F75E8"/>
    <w:rsid w:val="001F7804"/>
    <w:rsid w:val="001F7AED"/>
    <w:rsid w:val="00200B09"/>
    <w:rsid w:val="00207789"/>
    <w:rsid w:val="002110D5"/>
    <w:rsid w:val="00211F06"/>
    <w:rsid w:val="00214167"/>
    <w:rsid w:val="002165C0"/>
    <w:rsid w:val="0021731B"/>
    <w:rsid w:val="00220AFA"/>
    <w:rsid w:val="00221501"/>
    <w:rsid w:val="0022377C"/>
    <w:rsid w:val="00223F34"/>
    <w:rsid w:val="0023146C"/>
    <w:rsid w:val="00231853"/>
    <w:rsid w:val="00231AD7"/>
    <w:rsid w:val="002338D7"/>
    <w:rsid w:val="002347E4"/>
    <w:rsid w:val="00240F8C"/>
    <w:rsid w:val="00241A14"/>
    <w:rsid w:val="002479E4"/>
    <w:rsid w:val="0025203E"/>
    <w:rsid w:val="00256C35"/>
    <w:rsid w:val="00257CF2"/>
    <w:rsid w:val="00260A59"/>
    <w:rsid w:val="00261556"/>
    <w:rsid w:val="00261C25"/>
    <w:rsid w:val="00262D6C"/>
    <w:rsid w:val="002700AA"/>
    <w:rsid w:val="00271C1F"/>
    <w:rsid w:val="00272C58"/>
    <w:rsid w:val="002745C6"/>
    <w:rsid w:val="00296495"/>
    <w:rsid w:val="002970A6"/>
    <w:rsid w:val="002A466F"/>
    <w:rsid w:val="002B27DB"/>
    <w:rsid w:val="002C0776"/>
    <w:rsid w:val="002C1010"/>
    <w:rsid w:val="002C429B"/>
    <w:rsid w:val="002D6C36"/>
    <w:rsid w:val="002D739C"/>
    <w:rsid w:val="002E2FC8"/>
    <w:rsid w:val="002F4A79"/>
    <w:rsid w:val="002F5317"/>
    <w:rsid w:val="00300CED"/>
    <w:rsid w:val="00300E31"/>
    <w:rsid w:val="003026D2"/>
    <w:rsid w:val="003039B1"/>
    <w:rsid w:val="00307F2B"/>
    <w:rsid w:val="00312ABD"/>
    <w:rsid w:val="003153CC"/>
    <w:rsid w:val="00322D3B"/>
    <w:rsid w:val="00323479"/>
    <w:rsid w:val="00325DD6"/>
    <w:rsid w:val="003273FF"/>
    <w:rsid w:val="00327F77"/>
    <w:rsid w:val="00332E6C"/>
    <w:rsid w:val="00333FCB"/>
    <w:rsid w:val="00333FD9"/>
    <w:rsid w:val="00341818"/>
    <w:rsid w:val="003433D2"/>
    <w:rsid w:val="00346276"/>
    <w:rsid w:val="00346F87"/>
    <w:rsid w:val="0034798C"/>
    <w:rsid w:val="003542AB"/>
    <w:rsid w:val="003549AA"/>
    <w:rsid w:val="00355907"/>
    <w:rsid w:val="0035627F"/>
    <w:rsid w:val="003650CF"/>
    <w:rsid w:val="00370930"/>
    <w:rsid w:val="00371527"/>
    <w:rsid w:val="00374C26"/>
    <w:rsid w:val="00377100"/>
    <w:rsid w:val="0038628C"/>
    <w:rsid w:val="00390BD9"/>
    <w:rsid w:val="00391D45"/>
    <w:rsid w:val="003928E4"/>
    <w:rsid w:val="00392FFF"/>
    <w:rsid w:val="003977D2"/>
    <w:rsid w:val="003A53DA"/>
    <w:rsid w:val="003A6783"/>
    <w:rsid w:val="003A67BE"/>
    <w:rsid w:val="003B6D65"/>
    <w:rsid w:val="003B7399"/>
    <w:rsid w:val="003B777D"/>
    <w:rsid w:val="003B77CC"/>
    <w:rsid w:val="003C0AAD"/>
    <w:rsid w:val="003C19CA"/>
    <w:rsid w:val="003C3BC4"/>
    <w:rsid w:val="003C4AFD"/>
    <w:rsid w:val="003D1442"/>
    <w:rsid w:val="003D22C8"/>
    <w:rsid w:val="003D55FB"/>
    <w:rsid w:val="003D65A8"/>
    <w:rsid w:val="003E5677"/>
    <w:rsid w:val="003E5A29"/>
    <w:rsid w:val="003E7223"/>
    <w:rsid w:val="003F35D0"/>
    <w:rsid w:val="003F76E6"/>
    <w:rsid w:val="00400832"/>
    <w:rsid w:val="00400A32"/>
    <w:rsid w:val="00402934"/>
    <w:rsid w:val="00405988"/>
    <w:rsid w:val="00414A00"/>
    <w:rsid w:val="00417079"/>
    <w:rsid w:val="00426437"/>
    <w:rsid w:val="0044049A"/>
    <w:rsid w:val="0044269E"/>
    <w:rsid w:val="004448D4"/>
    <w:rsid w:val="00446377"/>
    <w:rsid w:val="004554C7"/>
    <w:rsid w:val="00455B86"/>
    <w:rsid w:val="00460FC4"/>
    <w:rsid w:val="00463580"/>
    <w:rsid w:val="004728E0"/>
    <w:rsid w:val="004740EA"/>
    <w:rsid w:val="00475151"/>
    <w:rsid w:val="004767F3"/>
    <w:rsid w:val="00481C3D"/>
    <w:rsid w:val="004A039A"/>
    <w:rsid w:val="004A30EB"/>
    <w:rsid w:val="004A3390"/>
    <w:rsid w:val="004A4A50"/>
    <w:rsid w:val="004B37B0"/>
    <w:rsid w:val="004B46CD"/>
    <w:rsid w:val="004B64CA"/>
    <w:rsid w:val="004C4E54"/>
    <w:rsid w:val="004C5C37"/>
    <w:rsid w:val="004C6508"/>
    <w:rsid w:val="004D1930"/>
    <w:rsid w:val="004D249C"/>
    <w:rsid w:val="004D3D89"/>
    <w:rsid w:val="004D4F94"/>
    <w:rsid w:val="004E531A"/>
    <w:rsid w:val="004E5AE5"/>
    <w:rsid w:val="004E61EB"/>
    <w:rsid w:val="004E7FED"/>
    <w:rsid w:val="004F1D54"/>
    <w:rsid w:val="004F34C1"/>
    <w:rsid w:val="004F57EA"/>
    <w:rsid w:val="004F630D"/>
    <w:rsid w:val="004F7AAA"/>
    <w:rsid w:val="00501F52"/>
    <w:rsid w:val="00505231"/>
    <w:rsid w:val="005065A4"/>
    <w:rsid w:val="00512DE9"/>
    <w:rsid w:val="005137E9"/>
    <w:rsid w:val="005205C1"/>
    <w:rsid w:val="00521000"/>
    <w:rsid w:val="005217FE"/>
    <w:rsid w:val="00521DE6"/>
    <w:rsid w:val="00522F0F"/>
    <w:rsid w:val="00523ED0"/>
    <w:rsid w:val="00524AFE"/>
    <w:rsid w:val="005335D5"/>
    <w:rsid w:val="00533EDF"/>
    <w:rsid w:val="005344FF"/>
    <w:rsid w:val="0053499C"/>
    <w:rsid w:val="005457FE"/>
    <w:rsid w:val="00546371"/>
    <w:rsid w:val="0055449A"/>
    <w:rsid w:val="00555C59"/>
    <w:rsid w:val="00561197"/>
    <w:rsid w:val="0056224E"/>
    <w:rsid w:val="00562AA6"/>
    <w:rsid w:val="00562ADF"/>
    <w:rsid w:val="00566FA1"/>
    <w:rsid w:val="00567F0A"/>
    <w:rsid w:val="00581CC5"/>
    <w:rsid w:val="00582836"/>
    <w:rsid w:val="00594477"/>
    <w:rsid w:val="00594EA8"/>
    <w:rsid w:val="005955AD"/>
    <w:rsid w:val="005A10A5"/>
    <w:rsid w:val="005A1737"/>
    <w:rsid w:val="005A5B11"/>
    <w:rsid w:val="005A6AE5"/>
    <w:rsid w:val="005B04F7"/>
    <w:rsid w:val="005B1911"/>
    <w:rsid w:val="005B225F"/>
    <w:rsid w:val="005B360C"/>
    <w:rsid w:val="005B6C9C"/>
    <w:rsid w:val="005C0A39"/>
    <w:rsid w:val="005C11F1"/>
    <w:rsid w:val="005C1512"/>
    <w:rsid w:val="005C4484"/>
    <w:rsid w:val="005C5D1B"/>
    <w:rsid w:val="005D6D49"/>
    <w:rsid w:val="005E2274"/>
    <w:rsid w:val="005E3FCD"/>
    <w:rsid w:val="005E4E3A"/>
    <w:rsid w:val="005F34BE"/>
    <w:rsid w:val="005F6688"/>
    <w:rsid w:val="005F741D"/>
    <w:rsid w:val="006135D0"/>
    <w:rsid w:val="0061380C"/>
    <w:rsid w:val="006202C9"/>
    <w:rsid w:val="0062370B"/>
    <w:rsid w:val="006266B5"/>
    <w:rsid w:val="00626C74"/>
    <w:rsid w:val="00630E55"/>
    <w:rsid w:val="00634CAA"/>
    <w:rsid w:val="00636FED"/>
    <w:rsid w:val="00644044"/>
    <w:rsid w:val="006467A4"/>
    <w:rsid w:val="00653FE6"/>
    <w:rsid w:val="00656D9F"/>
    <w:rsid w:val="00657987"/>
    <w:rsid w:val="00663008"/>
    <w:rsid w:val="006742F0"/>
    <w:rsid w:val="006760DA"/>
    <w:rsid w:val="006873AB"/>
    <w:rsid w:val="0069077E"/>
    <w:rsid w:val="00693E1B"/>
    <w:rsid w:val="00697A44"/>
    <w:rsid w:val="00697F73"/>
    <w:rsid w:val="006A0170"/>
    <w:rsid w:val="006A2358"/>
    <w:rsid w:val="006A2FA8"/>
    <w:rsid w:val="006A3E25"/>
    <w:rsid w:val="006B0A56"/>
    <w:rsid w:val="006B7B10"/>
    <w:rsid w:val="006B7C3A"/>
    <w:rsid w:val="006C0A4C"/>
    <w:rsid w:val="006C2380"/>
    <w:rsid w:val="006C2F15"/>
    <w:rsid w:val="006C3E20"/>
    <w:rsid w:val="006D490A"/>
    <w:rsid w:val="006D52C3"/>
    <w:rsid w:val="006E0EED"/>
    <w:rsid w:val="006E6C11"/>
    <w:rsid w:val="006E6F08"/>
    <w:rsid w:val="006F49DA"/>
    <w:rsid w:val="006F4DA5"/>
    <w:rsid w:val="0070685F"/>
    <w:rsid w:val="00706B70"/>
    <w:rsid w:val="007113F6"/>
    <w:rsid w:val="007116A4"/>
    <w:rsid w:val="00716E35"/>
    <w:rsid w:val="00723AF3"/>
    <w:rsid w:val="00724D5E"/>
    <w:rsid w:val="00724D8D"/>
    <w:rsid w:val="00725273"/>
    <w:rsid w:val="007339E1"/>
    <w:rsid w:val="007358ED"/>
    <w:rsid w:val="00736824"/>
    <w:rsid w:val="00737133"/>
    <w:rsid w:val="00745DE0"/>
    <w:rsid w:val="00747C74"/>
    <w:rsid w:val="007502E3"/>
    <w:rsid w:val="00750504"/>
    <w:rsid w:val="00750CC6"/>
    <w:rsid w:val="00751765"/>
    <w:rsid w:val="007539AF"/>
    <w:rsid w:val="00753D2E"/>
    <w:rsid w:val="0075404A"/>
    <w:rsid w:val="0075448F"/>
    <w:rsid w:val="00754A59"/>
    <w:rsid w:val="007564A0"/>
    <w:rsid w:val="00757071"/>
    <w:rsid w:val="0075735F"/>
    <w:rsid w:val="00760E80"/>
    <w:rsid w:val="007705F2"/>
    <w:rsid w:val="00770878"/>
    <w:rsid w:val="00774949"/>
    <w:rsid w:val="00775AB9"/>
    <w:rsid w:val="00777703"/>
    <w:rsid w:val="007826BF"/>
    <w:rsid w:val="00782E68"/>
    <w:rsid w:val="0078478B"/>
    <w:rsid w:val="0078570E"/>
    <w:rsid w:val="00786B18"/>
    <w:rsid w:val="007943E3"/>
    <w:rsid w:val="00796D42"/>
    <w:rsid w:val="00797909"/>
    <w:rsid w:val="007A4D56"/>
    <w:rsid w:val="007A7A9B"/>
    <w:rsid w:val="007B156A"/>
    <w:rsid w:val="007B1EC2"/>
    <w:rsid w:val="007B2484"/>
    <w:rsid w:val="007B46CA"/>
    <w:rsid w:val="007B6A1B"/>
    <w:rsid w:val="007C0427"/>
    <w:rsid w:val="007C255E"/>
    <w:rsid w:val="007C33E8"/>
    <w:rsid w:val="007C4A0B"/>
    <w:rsid w:val="007C7DCB"/>
    <w:rsid w:val="007D2DF0"/>
    <w:rsid w:val="007D6C95"/>
    <w:rsid w:val="007E1811"/>
    <w:rsid w:val="007E2D5D"/>
    <w:rsid w:val="007E4D0F"/>
    <w:rsid w:val="007F36B2"/>
    <w:rsid w:val="00803193"/>
    <w:rsid w:val="0081236A"/>
    <w:rsid w:val="00817196"/>
    <w:rsid w:val="008178FC"/>
    <w:rsid w:val="00825CDB"/>
    <w:rsid w:val="008265C4"/>
    <w:rsid w:val="00826DAA"/>
    <w:rsid w:val="00831420"/>
    <w:rsid w:val="00834FF1"/>
    <w:rsid w:val="00835DB7"/>
    <w:rsid w:val="00840B23"/>
    <w:rsid w:val="00841B1A"/>
    <w:rsid w:val="00844024"/>
    <w:rsid w:val="0084497E"/>
    <w:rsid w:val="008515B6"/>
    <w:rsid w:val="008517D3"/>
    <w:rsid w:val="00851C5A"/>
    <w:rsid w:val="0085251E"/>
    <w:rsid w:val="00855582"/>
    <w:rsid w:val="00856AFA"/>
    <w:rsid w:val="008641BB"/>
    <w:rsid w:val="00866BB0"/>
    <w:rsid w:val="008712DC"/>
    <w:rsid w:val="00872DD1"/>
    <w:rsid w:val="008736A6"/>
    <w:rsid w:val="00882E7F"/>
    <w:rsid w:val="008831D1"/>
    <w:rsid w:val="008833D6"/>
    <w:rsid w:val="00883670"/>
    <w:rsid w:val="00886633"/>
    <w:rsid w:val="008901D2"/>
    <w:rsid w:val="008935D8"/>
    <w:rsid w:val="008960AB"/>
    <w:rsid w:val="008970F8"/>
    <w:rsid w:val="008A25F3"/>
    <w:rsid w:val="008C3E21"/>
    <w:rsid w:val="008C48C0"/>
    <w:rsid w:val="008C5745"/>
    <w:rsid w:val="008D4348"/>
    <w:rsid w:val="008D4433"/>
    <w:rsid w:val="008D73A2"/>
    <w:rsid w:val="008D7D1C"/>
    <w:rsid w:val="008E1726"/>
    <w:rsid w:val="008E23B5"/>
    <w:rsid w:val="008E2801"/>
    <w:rsid w:val="008F22B8"/>
    <w:rsid w:val="008F2587"/>
    <w:rsid w:val="00903B9A"/>
    <w:rsid w:val="00904177"/>
    <w:rsid w:val="00905ACF"/>
    <w:rsid w:val="0091280F"/>
    <w:rsid w:val="0091607A"/>
    <w:rsid w:val="00916A8D"/>
    <w:rsid w:val="0091782B"/>
    <w:rsid w:val="0092080D"/>
    <w:rsid w:val="0092194D"/>
    <w:rsid w:val="00925AA6"/>
    <w:rsid w:val="00927029"/>
    <w:rsid w:val="0092730A"/>
    <w:rsid w:val="00930EF8"/>
    <w:rsid w:val="009338F4"/>
    <w:rsid w:val="00935885"/>
    <w:rsid w:val="009379D8"/>
    <w:rsid w:val="00940DDF"/>
    <w:rsid w:val="0094458B"/>
    <w:rsid w:val="009453CD"/>
    <w:rsid w:val="00951AA7"/>
    <w:rsid w:val="00953E09"/>
    <w:rsid w:val="009546B7"/>
    <w:rsid w:val="009559AE"/>
    <w:rsid w:val="009563BE"/>
    <w:rsid w:val="00961AF5"/>
    <w:rsid w:val="00967CE2"/>
    <w:rsid w:val="00970723"/>
    <w:rsid w:val="00970A95"/>
    <w:rsid w:val="00971A61"/>
    <w:rsid w:val="0097321C"/>
    <w:rsid w:val="0097373F"/>
    <w:rsid w:val="00977722"/>
    <w:rsid w:val="00985511"/>
    <w:rsid w:val="00985C3F"/>
    <w:rsid w:val="0099132D"/>
    <w:rsid w:val="0099437D"/>
    <w:rsid w:val="009A0EE5"/>
    <w:rsid w:val="009A339F"/>
    <w:rsid w:val="009A69EE"/>
    <w:rsid w:val="009B0B39"/>
    <w:rsid w:val="009B2BF6"/>
    <w:rsid w:val="009B3923"/>
    <w:rsid w:val="009B7ED7"/>
    <w:rsid w:val="009C1D7E"/>
    <w:rsid w:val="009C32BE"/>
    <w:rsid w:val="009C3D0D"/>
    <w:rsid w:val="009C513A"/>
    <w:rsid w:val="009D103C"/>
    <w:rsid w:val="009D48A9"/>
    <w:rsid w:val="009D7491"/>
    <w:rsid w:val="009E6CF7"/>
    <w:rsid w:val="009F1104"/>
    <w:rsid w:val="009F1649"/>
    <w:rsid w:val="009F2A78"/>
    <w:rsid w:val="009F3D48"/>
    <w:rsid w:val="00A004BA"/>
    <w:rsid w:val="00A00A18"/>
    <w:rsid w:val="00A07548"/>
    <w:rsid w:val="00A1264B"/>
    <w:rsid w:val="00A14386"/>
    <w:rsid w:val="00A165CF"/>
    <w:rsid w:val="00A166CD"/>
    <w:rsid w:val="00A17AF5"/>
    <w:rsid w:val="00A20A86"/>
    <w:rsid w:val="00A26446"/>
    <w:rsid w:val="00A273F5"/>
    <w:rsid w:val="00A32EDB"/>
    <w:rsid w:val="00A41340"/>
    <w:rsid w:val="00A41746"/>
    <w:rsid w:val="00A44694"/>
    <w:rsid w:val="00A44A8B"/>
    <w:rsid w:val="00A4562D"/>
    <w:rsid w:val="00A52355"/>
    <w:rsid w:val="00A54BC5"/>
    <w:rsid w:val="00A57E68"/>
    <w:rsid w:val="00A6367A"/>
    <w:rsid w:val="00A64D43"/>
    <w:rsid w:val="00A67F40"/>
    <w:rsid w:val="00A7074A"/>
    <w:rsid w:val="00A709FC"/>
    <w:rsid w:val="00A7390F"/>
    <w:rsid w:val="00A74457"/>
    <w:rsid w:val="00A826A8"/>
    <w:rsid w:val="00A8380E"/>
    <w:rsid w:val="00A86BC3"/>
    <w:rsid w:val="00A94EC8"/>
    <w:rsid w:val="00A97644"/>
    <w:rsid w:val="00A97C53"/>
    <w:rsid w:val="00AA10E7"/>
    <w:rsid w:val="00AA24CE"/>
    <w:rsid w:val="00AA39E2"/>
    <w:rsid w:val="00AB40CB"/>
    <w:rsid w:val="00AB6E22"/>
    <w:rsid w:val="00AB77B1"/>
    <w:rsid w:val="00AC1A90"/>
    <w:rsid w:val="00AC2827"/>
    <w:rsid w:val="00AC3430"/>
    <w:rsid w:val="00AC4A58"/>
    <w:rsid w:val="00AD365F"/>
    <w:rsid w:val="00AD4390"/>
    <w:rsid w:val="00AD7C4E"/>
    <w:rsid w:val="00AE0AC9"/>
    <w:rsid w:val="00AE3C3A"/>
    <w:rsid w:val="00AF0909"/>
    <w:rsid w:val="00B06F00"/>
    <w:rsid w:val="00B111D4"/>
    <w:rsid w:val="00B126AF"/>
    <w:rsid w:val="00B2079F"/>
    <w:rsid w:val="00B23463"/>
    <w:rsid w:val="00B24280"/>
    <w:rsid w:val="00B24673"/>
    <w:rsid w:val="00B26E7C"/>
    <w:rsid w:val="00B335B5"/>
    <w:rsid w:val="00B3383F"/>
    <w:rsid w:val="00B414E7"/>
    <w:rsid w:val="00B43ED4"/>
    <w:rsid w:val="00B44069"/>
    <w:rsid w:val="00B4466E"/>
    <w:rsid w:val="00B54891"/>
    <w:rsid w:val="00B61B99"/>
    <w:rsid w:val="00B65278"/>
    <w:rsid w:val="00B671F0"/>
    <w:rsid w:val="00B7385D"/>
    <w:rsid w:val="00B77819"/>
    <w:rsid w:val="00B81BCE"/>
    <w:rsid w:val="00B9222B"/>
    <w:rsid w:val="00B92722"/>
    <w:rsid w:val="00B950AD"/>
    <w:rsid w:val="00B97E10"/>
    <w:rsid w:val="00BA2BC8"/>
    <w:rsid w:val="00BA4E3B"/>
    <w:rsid w:val="00BA682F"/>
    <w:rsid w:val="00BA6A27"/>
    <w:rsid w:val="00BA71DC"/>
    <w:rsid w:val="00BA738C"/>
    <w:rsid w:val="00BA79FA"/>
    <w:rsid w:val="00BB0FC7"/>
    <w:rsid w:val="00BB1592"/>
    <w:rsid w:val="00BB34BF"/>
    <w:rsid w:val="00BB6D6B"/>
    <w:rsid w:val="00BB6F0D"/>
    <w:rsid w:val="00BC22EA"/>
    <w:rsid w:val="00BD04E2"/>
    <w:rsid w:val="00BD2D28"/>
    <w:rsid w:val="00BD37AC"/>
    <w:rsid w:val="00BD6E7A"/>
    <w:rsid w:val="00BF05E7"/>
    <w:rsid w:val="00BF1092"/>
    <w:rsid w:val="00BF4771"/>
    <w:rsid w:val="00C024FC"/>
    <w:rsid w:val="00C04A84"/>
    <w:rsid w:val="00C11284"/>
    <w:rsid w:val="00C1279D"/>
    <w:rsid w:val="00C12A18"/>
    <w:rsid w:val="00C1466D"/>
    <w:rsid w:val="00C176CE"/>
    <w:rsid w:val="00C17759"/>
    <w:rsid w:val="00C201CE"/>
    <w:rsid w:val="00C20D91"/>
    <w:rsid w:val="00C331F0"/>
    <w:rsid w:val="00C33A30"/>
    <w:rsid w:val="00C343D0"/>
    <w:rsid w:val="00C35611"/>
    <w:rsid w:val="00C35842"/>
    <w:rsid w:val="00C359C0"/>
    <w:rsid w:val="00C37017"/>
    <w:rsid w:val="00C37349"/>
    <w:rsid w:val="00C4011D"/>
    <w:rsid w:val="00C41C81"/>
    <w:rsid w:val="00C4397E"/>
    <w:rsid w:val="00C45026"/>
    <w:rsid w:val="00C45682"/>
    <w:rsid w:val="00C5120C"/>
    <w:rsid w:val="00C6323A"/>
    <w:rsid w:val="00C63B88"/>
    <w:rsid w:val="00C72284"/>
    <w:rsid w:val="00C74DE6"/>
    <w:rsid w:val="00C76BE6"/>
    <w:rsid w:val="00C81B41"/>
    <w:rsid w:val="00C9145E"/>
    <w:rsid w:val="00C93AC5"/>
    <w:rsid w:val="00C94430"/>
    <w:rsid w:val="00C945FC"/>
    <w:rsid w:val="00C962E2"/>
    <w:rsid w:val="00CA0DA7"/>
    <w:rsid w:val="00CA3971"/>
    <w:rsid w:val="00CA49F9"/>
    <w:rsid w:val="00CA4F69"/>
    <w:rsid w:val="00CB2589"/>
    <w:rsid w:val="00CB3E4B"/>
    <w:rsid w:val="00CB7729"/>
    <w:rsid w:val="00CC12E4"/>
    <w:rsid w:val="00CC292D"/>
    <w:rsid w:val="00CC6D97"/>
    <w:rsid w:val="00CD3E0A"/>
    <w:rsid w:val="00CD4DBC"/>
    <w:rsid w:val="00CD5A9F"/>
    <w:rsid w:val="00CD772E"/>
    <w:rsid w:val="00CE1E7A"/>
    <w:rsid w:val="00CE37AB"/>
    <w:rsid w:val="00CE4E36"/>
    <w:rsid w:val="00CE54FD"/>
    <w:rsid w:val="00CE5BE3"/>
    <w:rsid w:val="00CF00B3"/>
    <w:rsid w:val="00CF3AA8"/>
    <w:rsid w:val="00CF74C1"/>
    <w:rsid w:val="00D03647"/>
    <w:rsid w:val="00D03B7E"/>
    <w:rsid w:val="00D0452E"/>
    <w:rsid w:val="00D05ADA"/>
    <w:rsid w:val="00D110F1"/>
    <w:rsid w:val="00D141E8"/>
    <w:rsid w:val="00D17CF1"/>
    <w:rsid w:val="00D21DE9"/>
    <w:rsid w:val="00D26482"/>
    <w:rsid w:val="00D26733"/>
    <w:rsid w:val="00D274FF"/>
    <w:rsid w:val="00D32EB0"/>
    <w:rsid w:val="00D33405"/>
    <w:rsid w:val="00D34060"/>
    <w:rsid w:val="00D42C5B"/>
    <w:rsid w:val="00D5002F"/>
    <w:rsid w:val="00D54B49"/>
    <w:rsid w:val="00D55420"/>
    <w:rsid w:val="00D61534"/>
    <w:rsid w:val="00D62AAE"/>
    <w:rsid w:val="00D62E31"/>
    <w:rsid w:val="00D64792"/>
    <w:rsid w:val="00D653A4"/>
    <w:rsid w:val="00D67FFB"/>
    <w:rsid w:val="00D72690"/>
    <w:rsid w:val="00D727F7"/>
    <w:rsid w:val="00D90485"/>
    <w:rsid w:val="00D90CEC"/>
    <w:rsid w:val="00D93661"/>
    <w:rsid w:val="00D97F63"/>
    <w:rsid w:val="00DA4919"/>
    <w:rsid w:val="00DA50E7"/>
    <w:rsid w:val="00DA5B09"/>
    <w:rsid w:val="00DB0029"/>
    <w:rsid w:val="00DB03F3"/>
    <w:rsid w:val="00DB0FFE"/>
    <w:rsid w:val="00DB3971"/>
    <w:rsid w:val="00DC1359"/>
    <w:rsid w:val="00DC33C6"/>
    <w:rsid w:val="00DC5AFB"/>
    <w:rsid w:val="00DD08D5"/>
    <w:rsid w:val="00DD34C1"/>
    <w:rsid w:val="00DD4E8B"/>
    <w:rsid w:val="00DD52ED"/>
    <w:rsid w:val="00DE03BD"/>
    <w:rsid w:val="00DE1EB4"/>
    <w:rsid w:val="00DE7D5E"/>
    <w:rsid w:val="00DF3F39"/>
    <w:rsid w:val="00DF40F3"/>
    <w:rsid w:val="00DF4126"/>
    <w:rsid w:val="00DF4DFD"/>
    <w:rsid w:val="00DF54E4"/>
    <w:rsid w:val="00DF71DD"/>
    <w:rsid w:val="00E0329D"/>
    <w:rsid w:val="00E04C4A"/>
    <w:rsid w:val="00E12D6C"/>
    <w:rsid w:val="00E177D1"/>
    <w:rsid w:val="00E2117A"/>
    <w:rsid w:val="00E21407"/>
    <w:rsid w:val="00E240A3"/>
    <w:rsid w:val="00E264B0"/>
    <w:rsid w:val="00E26A7D"/>
    <w:rsid w:val="00E26D48"/>
    <w:rsid w:val="00E27305"/>
    <w:rsid w:val="00E312C8"/>
    <w:rsid w:val="00E31B49"/>
    <w:rsid w:val="00E31F9F"/>
    <w:rsid w:val="00E3758D"/>
    <w:rsid w:val="00E37EA2"/>
    <w:rsid w:val="00E418FF"/>
    <w:rsid w:val="00E4207F"/>
    <w:rsid w:val="00E466F7"/>
    <w:rsid w:val="00E515BF"/>
    <w:rsid w:val="00E524B5"/>
    <w:rsid w:val="00E53840"/>
    <w:rsid w:val="00E57D9D"/>
    <w:rsid w:val="00E6133C"/>
    <w:rsid w:val="00E613D9"/>
    <w:rsid w:val="00E64667"/>
    <w:rsid w:val="00E647CD"/>
    <w:rsid w:val="00E71C4B"/>
    <w:rsid w:val="00E736A8"/>
    <w:rsid w:val="00E73C6E"/>
    <w:rsid w:val="00E770C8"/>
    <w:rsid w:val="00E8013E"/>
    <w:rsid w:val="00E83C09"/>
    <w:rsid w:val="00E8454B"/>
    <w:rsid w:val="00E87DD6"/>
    <w:rsid w:val="00E92A45"/>
    <w:rsid w:val="00E93731"/>
    <w:rsid w:val="00EA3827"/>
    <w:rsid w:val="00EA3E60"/>
    <w:rsid w:val="00EA4864"/>
    <w:rsid w:val="00EB06B4"/>
    <w:rsid w:val="00EB7329"/>
    <w:rsid w:val="00EC19FE"/>
    <w:rsid w:val="00EC3993"/>
    <w:rsid w:val="00EC4FBE"/>
    <w:rsid w:val="00EC6CAF"/>
    <w:rsid w:val="00ED5A3C"/>
    <w:rsid w:val="00EE2492"/>
    <w:rsid w:val="00EE5647"/>
    <w:rsid w:val="00EE6CA8"/>
    <w:rsid w:val="00EE7D6F"/>
    <w:rsid w:val="00EF2B1F"/>
    <w:rsid w:val="00EF2B5E"/>
    <w:rsid w:val="00EF4605"/>
    <w:rsid w:val="00EF76CE"/>
    <w:rsid w:val="00F02433"/>
    <w:rsid w:val="00F03EA1"/>
    <w:rsid w:val="00F05912"/>
    <w:rsid w:val="00F0604D"/>
    <w:rsid w:val="00F07F79"/>
    <w:rsid w:val="00F126D7"/>
    <w:rsid w:val="00F14935"/>
    <w:rsid w:val="00F15545"/>
    <w:rsid w:val="00F1750A"/>
    <w:rsid w:val="00F21848"/>
    <w:rsid w:val="00F22001"/>
    <w:rsid w:val="00F23771"/>
    <w:rsid w:val="00F23B54"/>
    <w:rsid w:val="00F27A05"/>
    <w:rsid w:val="00F27F03"/>
    <w:rsid w:val="00F32567"/>
    <w:rsid w:val="00F347F7"/>
    <w:rsid w:val="00F43EFF"/>
    <w:rsid w:val="00F44327"/>
    <w:rsid w:val="00F44872"/>
    <w:rsid w:val="00F44A47"/>
    <w:rsid w:val="00F53ADA"/>
    <w:rsid w:val="00F54B27"/>
    <w:rsid w:val="00F6372F"/>
    <w:rsid w:val="00F63F58"/>
    <w:rsid w:val="00F72DC7"/>
    <w:rsid w:val="00F7307D"/>
    <w:rsid w:val="00F73BBF"/>
    <w:rsid w:val="00F74A40"/>
    <w:rsid w:val="00F74BCC"/>
    <w:rsid w:val="00F8696C"/>
    <w:rsid w:val="00F90367"/>
    <w:rsid w:val="00F90DA5"/>
    <w:rsid w:val="00F93BFF"/>
    <w:rsid w:val="00FA4E24"/>
    <w:rsid w:val="00FA6B9F"/>
    <w:rsid w:val="00FB2189"/>
    <w:rsid w:val="00FB57ED"/>
    <w:rsid w:val="00FC0668"/>
    <w:rsid w:val="00FE2C76"/>
    <w:rsid w:val="00FF3297"/>
    <w:rsid w:val="00FF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F3BD67"/>
  <w15:docId w15:val="{3F599E23-8E9E-4995-91B0-C324CAF2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45E"/>
    <w:pPr>
      <w:widowControl w:val="0"/>
      <w:autoSpaceDE w:val="0"/>
      <w:autoSpaceDN w:val="0"/>
      <w:adjustRightInd w:val="0"/>
      <w:spacing w:after="120"/>
    </w:pPr>
    <w:rPr>
      <w:rFonts w:ascii="Lucida Bright" w:hAnsi="Lucida Bright"/>
      <w:sz w:val="22"/>
      <w:szCs w:val="24"/>
    </w:rPr>
  </w:style>
  <w:style w:type="paragraph" w:styleId="Heading1">
    <w:name w:val="heading 1"/>
    <w:basedOn w:val="Normal"/>
    <w:next w:val="Normal"/>
    <w:link w:val="Heading1Char"/>
    <w:qFormat/>
    <w:rsid w:val="00B06F00"/>
    <w:pPr>
      <w:keepNext/>
      <w:spacing w:before="240"/>
      <w:outlineLvl w:val="0"/>
    </w:pPr>
    <w:rPr>
      <w:b/>
      <w:bCs/>
      <w:kern w:val="32"/>
      <w:sz w:val="28"/>
      <w:szCs w:val="32"/>
    </w:rPr>
  </w:style>
  <w:style w:type="paragraph" w:styleId="Heading2">
    <w:name w:val="heading 2"/>
    <w:basedOn w:val="Normal"/>
    <w:next w:val="Normal"/>
    <w:link w:val="Heading2Char"/>
    <w:autoRedefine/>
    <w:unhideWhenUsed/>
    <w:qFormat/>
    <w:rsid w:val="00B06F00"/>
    <w:pPr>
      <w:keepNext/>
      <w:spacing w:before="240"/>
      <w:ind w:left="1354" w:hanging="1354"/>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70930"/>
  </w:style>
  <w:style w:type="paragraph" w:styleId="TOC3">
    <w:name w:val="toc 3"/>
    <w:basedOn w:val="Normal"/>
    <w:next w:val="Normal"/>
    <w:autoRedefine/>
    <w:semiHidden/>
    <w:rsid w:val="00370930"/>
    <w:pPr>
      <w:ind w:left="1800" w:hanging="360"/>
    </w:pPr>
  </w:style>
  <w:style w:type="paragraph" w:customStyle="1" w:styleId="Level2">
    <w:name w:val="Level 2"/>
    <w:basedOn w:val="Normal"/>
    <w:rsid w:val="00370930"/>
    <w:pPr>
      <w:numPr>
        <w:ilvl w:val="1"/>
        <w:numId w:val="1"/>
      </w:numPr>
      <w:ind w:left="720" w:hanging="360"/>
      <w:outlineLvl w:val="1"/>
    </w:pPr>
  </w:style>
  <w:style w:type="paragraph" w:styleId="Header">
    <w:name w:val="header"/>
    <w:basedOn w:val="Normal"/>
    <w:rsid w:val="00F1750A"/>
    <w:pPr>
      <w:tabs>
        <w:tab w:val="center" w:pos="4320"/>
        <w:tab w:val="right" w:pos="8640"/>
      </w:tabs>
    </w:pPr>
  </w:style>
  <w:style w:type="paragraph" w:styleId="Footer">
    <w:name w:val="footer"/>
    <w:basedOn w:val="Normal"/>
    <w:link w:val="FooterChar"/>
    <w:uiPriority w:val="99"/>
    <w:rsid w:val="00F1750A"/>
    <w:pPr>
      <w:tabs>
        <w:tab w:val="center" w:pos="4320"/>
        <w:tab w:val="right" w:pos="8640"/>
      </w:tabs>
    </w:pPr>
  </w:style>
  <w:style w:type="table" w:styleId="TableGrid">
    <w:name w:val="Table Grid"/>
    <w:basedOn w:val="TableNormal"/>
    <w:rsid w:val="007B248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6AE5"/>
    <w:rPr>
      <w:rFonts w:ascii="Lucida Bright" w:hAnsi="Lucida Bright"/>
      <w:sz w:val="22"/>
    </w:rPr>
  </w:style>
  <w:style w:type="character" w:styleId="Emphasis">
    <w:name w:val="Emphasis"/>
    <w:qFormat/>
    <w:rsid w:val="002110D5"/>
    <w:rPr>
      <w:i/>
      <w:iCs/>
    </w:rPr>
  </w:style>
  <w:style w:type="paragraph" w:styleId="BalloonText">
    <w:name w:val="Balloon Text"/>
    <w:basedOn w:val="Normal"/>
    <w:link w:val="BalloonTextChar"/>
    <w:rsid w:val="002110D5"/>
    <w:rPr>
      <w:rFonts w:ascii="Tahoma" w:hAnsi="Tahoma" w:cs="Tahoma"/>
      <w:sz w:val="16"/>
      <w:szCs w:val="16"/>
    </w:rPr>
  </w:style>
  <w:style w:type="character" w:customStyle="1" w:styleId="BalloonTextChar">
    <w:name w:val="Balloon Text Char"/>
    <w:link w:val="BalloonText"/>
    <w:rsid w:val="002110D5"/>
    <w:rPr>
      <w:rFonts w:ascii="Tahoma" w:hAnsi="Tahoma" w:cs="Tahoma"/>
      <w:sz w:val="16"/>
      <w:szCs w:val="16"/>
    </w:rPr>
  </w:style>
  <w:style w:type="character" w:customStyle="1" w:styleId="Heading1Char">
    <w:name w:val="Heading 1 Char"/>
    <w:link w:val="Heading1"/>
    <w:rsid w:val="00B06F00"/>
    <w:rPr>
      <w:rFonts w:ascii="Georgia" w:hAnsi="Georgia"/>
      <w:b/>
      <w:bCs/>
      <w:kern w:val="32"/>
      <w:sz w:val="28"/>
      <w:szCs w:val="32"/>
    </w:rPr>
  </w:style>
  <w:style w:type="paragraph" w:styleId="Revision">
    <w:name w:val="Revision"/>
    <w:hidden/>
    <w:uiPriority w:val="99"/>
    <w:semiHidden/>
    <w:rsid w:val="00F53ADA"/>
    <w:rPr>
      <w:sz w:val="24"/>
      <w:szCs w:val="24"/>
    </w:rPr>
  </w:style>
  <w:style w:type="paragraph" w:styleId="EndnoteText">
    <w:name w:val="endnote text"/>
    <w:basedOn w:val="Normal"/>
    <w:link w:val="EndnoteTextChar"/>
    <w:rsid w:val="000B5CB4"/>
    <w:rPr>
      <w:sz w:val="20"/>
      <w:szCs w:val="20"/>
    </w:rPr>
  </w:style>
  <w:style w:type="character" w:customStyle="1" w:styleId="EndnoteTextChar">
    <w:name w:val="Endnote Text Char"/>
    <w:basedOn w:val="DefaultParagraphFont"/>
    <w:link w:val="EndnoteText"/>
    <w:rsid w:val="000B5CB4"/>
  </w:style>
  <w:style w:type="character" w:styleId="EndnoteReference">
    <w:name w:val="endnote reference"/>
    <w:rsid w:val="000B5CB4"/>
    <w:rPr>
      <w:vertAlign w:val="superscript"/>
    </w:rPr>
  </w:style>
  <w:style w:type="paragraph" w:styleId="Caption">
    <w:name w:val="caption"/>
    <w:basedOn w:val="Normal"/>
    <w:next w:val="Normal"/>
    <w:unhideWhenUsed/>
    <w:qFormat/>
    <w:rsid w:val="00DA4919"/>
    <w:rPr>
      <w:b/>
      <w:bCs/>
      <w:sz w:val="20"/>
      <w:szCs w:val="20"/>
    </w:rPr>
  </w:style>
  <w:style w:type="character" w:customStyle="1" w:styleId="Heading2Char">
    <w:name w:val="Heading 2 Char"/>
    <w:link w:val="Heading2"/>
    <w:rsid w:val="00B06F00"/>
    <w:rPr>
      <w:rFonts w:ascii="Georgia" w:eastAsia="Times New Roman" w:hAnsi="Georgia"/>
      <w:b/>
      <w:bCs/>
      <w:iCs/>
      <w:sz w:val="24"/>
      <w:szCs w:val="28"/>
    </w:rPr>
  </w:style>
  <w:style w:type="paragraph" w:styleId="TOCHeading">
    <w:name w:val="TOC Heading"/>
    <w:basedOn w:val="Heading1"/>
    <w:next w:val="Normal"/>
    <w:uiPriority w:val="39"/>
    <w:semiHidden/>
    <w:unhideWhenUsed/>
    <w:qFormat/>
    <w:rsid w:val="00AC3430"/>
    <w:pPr>
      <w:keepLines/>
      <w:widowControl/>
      <w:autoSpaceDE/>
      <w:autoSpaceDN/>
      <w:adjustRightInd/>
      <w:spacing w:before="480" w:after="0" w:line="276" w:lineRule="auto"/>
      <w:outlineLvl w:val="9"/>
    </w:pPr>
    <w:rPr>
      <w:rFonts w:eastAsia="Times New Roman"/>
      <w:kern w:val="0"/>
      <w:szCs w:val="28"/>
    </w:rPr>
  </w:style>
  <w:style w:type="paragraph" w:styleId="TOC1">
    <w:name w:val="toc 1"/>
    <w:basedOn w:val="Normal"/>
    <w:next w:val="Normal"/>
    <w:autoRedefine/>
    <w:uiPriority w:val="39"/>
    <w:rsid w:val="005A6AE5"/>
  </w:style>
  <w:style w:type="paragraph" w:styleId="TOC2">
    <w:name w:val="toc 2"/>
    <w:basedOn w:val="Normal"/>
    <w:next w:val="Normal"/>
    <w:autoRedefine/>
    <w:uiPriority w:val="39"/>
    <w:rsid w:val="005A6AE5"/>
    <w:pPr>
      <w:tabs>
        <w:tab w:val="right" w:leader="dot" w:pos="9350"/>
      </w:tabs>
      <w:ind w:left="240" w:right="180"/>
    </w:pPr>
  </w:style>
  <w:style w:type="character" w:styleId="Hyperlink">
    <w:name w:val="Hyperlink"/>
    <w:uiPriority w:val="99"/>
    <w:unhideWhenUsed/>
    <w:rsid w:val="00DE03BD"/>
    <w:rPr>
      <w:color w:val="0000FF"/>
      <w:u w:val="single"/>
    </w:rPr>
  </w:style>
  <w:style w:type="character" w:customStyle="1" w:styleId="FooterChar">
    <w:name w:val="Footer Char"/>
    <w:link w:val="Footer"/>
    <w:uiPriority w:val="99"/>
    <w:rsid w:val="0099132D"/>
    <w:rPr>
      <w:sz w:val="24"/>
      <w:szCs w:val="24"/>
    </w:rPr>
  </w:style>
  <w:style w:type="character" w:styleId="CommentReference">
    <w:name w:val="annotation reference"/>
    <w:rsid w:val="00562AA6"/>
    <w:rPr>
      <w:sz w:val="16"/>
      <w:szCs w:val="16"/>
    </w:rPr>
  </w:style>
  <w:style w:type="paragraph" w:styleId="CommentText">
    <w:name w:val="annotation text"/>
    <w:basedOn w:val="Normal"/>
    <w:link w:val="CommentTextChar"/>
    <w:rsid w:val="00562AA6"/>
    <w:rPr>
      <w:sz w:val="20"/>
      <w:szCs w:val="20"/>
    </w:rPr>
  </w:style>
  <w:style w:type="character" w:customStyle="1" w:styleId="CommentTextChar">
    <w:name w:val="Comment Text Char"/>
    <w:basedOn w:val="DefaultParagraphFont"/>
    <w:link w:val="CommentText"/>
    <w:rsid w:val="00562AA6"/>
  </w:style>
  <w:style w:type="paragraph" w:styleId="CommentSubject">
    <w:name w:val="annotation subject"/>
    <w:basedOn w:val="CommentText"/>
    <w:next w:val="CommentText"/>
    <w:link w:val="CommentSubjectChar"/>
    <w:rsid w:val="00562AA6"/>
    <w:rPr>
      <w:b/>
      <w:bCs/>
    </w:rPr>
  </w:style>
  <w:style w:type="character" w:customStyle="1" w:styleId="CommentSubjectChar">
    <w:name w:val="Comment Subject Char"/>
    <w:link w:val="CommentSubject"/>
    <w:rsid w:val="00562AA6"/>
    <w:rPr>
      <w:b/>
      <w:bCs/>
    </w:rPr>
  </w:style>
  <w:style w:type="paragraph" w:styleId="DocumentMap">
    <w:name w:val="Document Map"/>
    <w:basedOn w:val="Normal"/>
    <w:link w:val="DocumentMapChar"/>
    <w:rsid w:val="00AD7C4E"/>
    <w:rPr>
      <w:rFonts w:ascii="Tahoma" w:hAnsi="Tahoma" w:cs="Tahoma"/>
      <w:sz w:val="16"/>
      <w:szCs w:val="16"/>
    </w:rPr>
  </w:style>
  <w:style w:type="character" w:customStyle="1" w:styleId="DocumentMapChar">
    <w:name w:val="Document Map Char"/>
    <w:link w:val="DocumentMap"/>
    <w:rsid w:val="00AD7C4E"/>
    <w:rPr>
      <w:rFonts w:ascii="Tahoma" w:hAnsi="Tahoma" w:cs="Tahoma"/>
      <w:sz w:val="16"/>
      <w:szCs w:val="16"/>
    </w:rPr>
  </w:style>
  <w:style w:type="paragraph" w:styleId="Title">
    <w:name w:val="Title"/>
    <w:basedOn w:val="Normal"/>
    <w:next w:val="Normal"/>
    <w:link w:val="TitleChar"/>
    <w:qFormat/>
    <w:rsid w:val="006A2FA8"/>
    <w:pPr>
      <w:spacing w:before="240" w:after="60"/>
      <w:jc w:val="center"/>
      <w:outlineLvl w:val="0"/>
    </w:pPr>
    <w:rPr>
      <w:rFonts w:ascii="Verdana" w:eastAsia="Times New Roman" w:hAnsi="Verdana"/>
      <w:b/>
      <w:bCs/>
      <w:kern w:val="28"/>
      <w:sz w:val="32"/>
      <w:szCs w:val="32"/>
    </w:rPr>
  </w:style>
  <w:style w:type="character" w:customStyle="1" w:styleId="TitleChar">
    <w:name w:val="Title Char"/>
    <w:link w:val="Title"/>
    <w:rsid w:val="006A2FA8"/>
    <w:rPr>
      <w:rFonts w:ascii="Verdana" w:eastAsia="Times New Roman" w:hAnsi="Verdana" w:cs="Times New Roman"/>
      <w:b/>
      <w:bCs/>
      <w:kern w:val="28"/>
      <w:sz w:val="32"/>
      <w:szCs w:val="32"/>
    </w:rPr>
  </w:style>
  <w:style w:type="paragraph" w:styleId="Subtitle">
    <w:name w:val="Subtitle"/>
    <w:basedOn w:val="Normal"/>
    <w:next w:val="Normal"/>
    <w:link w:val="SubtitleChar"/>
    <w:qFormat/>
    <w:rsid w:val="006A2FA8"/>
    <w:pPr>
      <w:spacing w:after="60"/>
      <w:jc w:val="center"/>
      <w:outlineLvl w:val="1"/>
    </w:pPr>
    <w:rPr>
      <w:rFonts w:eastAsia="Times New Roman"/>
      <w:i/>
    </w:rPr>
  </w:style>
  <w:style w:type="character" w:customStyle="1" w:styleId="SubtitleChar">
    <w:name w:val="Subtitle Char"/>
    <w:link w:val="Subtitle"/>
    <w:rsid w:val="006A2FA8"/>
    <w:rPr>
      <w:rFonts w:ascii="Georgia" w:eastAsia="Times New Roman" w:hAnsi="Georgia" w:cs="Times New Roman"/>
      <w:i/>
      <w:sz w:val="24"/>
      <w:szCs w:val="24"/>
    </w:rPr>
  </w:style>
  <w:style w:type="character" w:styleId="Strong">
    <w:name w:val="Strong"/>
    <w:uiPriority w:val="22"/>
    <w:qFormat/>
    <w:rsid w:val="005A6AE5"/>
    <w:rPr>
      <w:rFonts w:ascii="Lucida Bright" w:hAnsi="Lucida Bright"/>
      <w:b/>
      <w:bCs/>
      <w:sz w:val="22"/>
    </w:rPr>
  </w:style>
  <w:style w:type="character" w:styleId="BookTitle">
    <w:name w:val="Book Title"/>
    <w:uiPriority w:val="33"/>
    <w:qFormat/>
    <w:rsid w:val="006A2FA8"/>
    <w:rPr>
      <w:b/>
      <w:bCs/>
      <w:smallCaps/>
      <w:spacing w:val="5"/>
    </w:rPr>
  </w:style>
  <w:style w:type="paragraph" w:styleId="ListParagraph">
    <w:name w:val="List Paragraph"/>
    <w:basedOn w:val="Normal"/>
    <w:uiPriority w:val="34"/>
    <w:qFormat/>
    <w:rsid w:val="00AB77B1"/>
    <w:pPr>
      <w:ind w:left="720"/>
      <w:contextualSpacing/>
    </w:pPr>
  </w:style>
  <w:style w:type="paragraph" w:styleId="BodyText2">
    <w:name w:val="Body Text 2"/>
    <w:basedOn w:val="BodyText"/>
    <w:link w:val="BodyText2Char"/>
    <w:uiPriority w:val="99"/>
    <w:rsid w:val="005955AD"/>
    <w:pPr>
      <w:autoSpaceDE/>
      <w:autoSpaceDN/>
      <w:adjustRightInd/>
      <w:ind w:left="432"/>
    </w:pPr>
    <w:rPr>
      <w:rFonts w:eastAsiaTheme="minorEastAsia" w:cstheme="minorBidi"/>
      <w:szCs w:val="22"/>
    </w:rPr>
  </w:style>
  <w:style w:type="character" w:customStyle="1" w:styleId="BodyText2Char">
    <w:name w:val="Body Text 2 Char"/>
    <w:basedOn w:val="DefaultParagraphFont"/>
    <w:link w:val="BodyText2"/>
    <w:uiPriority w:val="99"/>
    <w:rsid w:val="005955AD"/>
    <w:rPr>
      <w:rFonts w:ascii="Georgia" w:eastAsiaTheme="minorEastAsia" w:hAnsi="Georgia" w:cstheme="minorBidi"/>
      <w:sz w:val="22"/>
      <w:szCs w:val="22"/>
    </w:rPr>
  </w:style>
  <w:style w:type="paragraph" w:styleId="BodyText">
    <w:name w:val="Body Text"/>
    <w:basedOn w:val="Normal"/>
    <w:link w:val="BodyTextChar"/>
    <w:unhideWhenUsed/>
    <w:rsid w:val="00C9145E"/>
    <w:pPr>
      <w:widowControl/>
    </w:pPr>
  </w:style>
  <w:style w:type="character" w:customStyle="1" w:styleId="BodyTextChar">
    <w:name w:val="Body Text Char"/>
    <w:basedOn w:val="DefaultParagraphFont"/>
    <w:link w:val="BodyText"/>
    <w:rsid w:val="00C9145E"/>
    <w:rPr>
      <w:rFonts w:ascii="Lucida Bright" w:hAnsi="Lucida Bright"/>
      <w:sz w:val="22"/>
      <w:szCs w:val="24"/>
    </w:rPr>
  </w:style>
  <w:style w:type="table" w:styleId="GridTable1Light">
    <w:name w:val="Grid Table 1 Light"/>
    <w:basedOn w:val="TableNormal"/>
    <w:uiPriority w:val="46"/>
    <w:rsid w:val="00E466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
    <w:name w:val="Style1"/>
    <w:basedOn w:val="DefaultParagraphFont"/>
    <w:uiPriority w:val="1"/>
    <w:qFormat/>
    <w:rsid w:val="00083CBC"/>
    <w:rPr>
      <w:rFonts w:ascii="Lucida Bright" w:hAnsi="Lucida Bright"/>
      <w:sz w:val="22"/>
      <w:u w:val="single"/>
    </w:rPr>
  </w:style>
  <w:style w:type="paragraph" w:styleId="ListNumber">
    <w:name w:val="List Number"/>
    <w:basedOn w:val="Normal"/>
    <w:rsid w:val="0081236A"/>
    <w:pPr>
      <w:widowControl/>
      <w:numPr>
        <w:numId w:val="56"/>
      </w:numPr>
      <w:spacing w:before="120"/>
    </w:pPr>
  </w:style>
  <w:style w:type="paragraph" w:styleId="ListNumber2">
    <w:name w:val="List Number 2"/>
    <w:basedOn w:val="Normal"/>
    <w:unhideWhenUsed/>
    <w:rsid w:val="009C32BE"/>
    <w:pPr>
      <w:widowControl/>
      <w:numPr>
        <w:numId w:val="58"/>
      </w:numPr>
    </w:pPr>
  </w:style>
  <w:style w:type="paragraph" w:styleId="ListContinue">
    <w:name w:val="List Continue"/>
    <w:basedOn w:val="Normal"/>
    <w:unhideWhenUsed/>
    <w:rsid w:val="009C32BE"/>
    <w:pPr>
      <w:widowControl/>
      <w:ind w:left="360"/>
      <w:contextualSpacing/>
    </w:pPr>
  </w:style>
  <w:style w:type="paragraph" w:styleId="ListNumber3">
    <w:name w:val="List Number 3"/>
    <w:basedOn w:val="Normal"/>
    <w:unhideWhenUsed/>
    <w:rsid w:val="00A004BA"/>
    <w:pPr>
      <w:widowControl/>
      <w:numPr>
        <w:numId w:val="110"/>
      </w:numPr>
    </w:pPr>
  </w:style>
  <w:style w:type="paragraph" w:styleId="ListContinue3">
    <w:name w:val="List Continue 3"/>
    <w:basedOn w:val="Normal"/>
    <w:unhideWhenUsed/>
    <w:rsid w:val="005B225F"/>
    <w:pPr>
      <w:widowControl/>
      <w:ind w:left="1080"/>
    </w:pPr>
  </w:style>
  <w:style w:type="paragraph" w:styleId="ListContinue2">
    <w:name w:val="List Continue 2"/>
    <w:basedOn w:val="Normal"/>
    <w:unhideWhenUsed/>
    <w:rsid w:val="0081236A"/>
    <w:pPr>
      <w:widowControl/>
      <w:ind w:left="720"/>
    </w:pPr>
  </w:style>
  <w:style w:type="paragraph" w:styleId="ListNumber4">
    <w:name w:val="List Number 4"/>
    <w:basedOn w:val="Normal"/>
    <w:unhideWhenUsed/>
    <w:rsid w:val="009B3923"/>
    <w:pPr>
      <w:widowControl/>
      <w:numPr>
        <w:numId w:val="90"/>
      </w:numPr>
    </w:pPr>
  </w:style>
  <w:style w:type="paragraph" w:styleId="ListNumber5">
    <w:name w:val="List Number 5"/>
    <w:basedOn w:val="Normal"/>
    <w:unhideWhenUsed/>
    <w:rsid w:val="009B3923"/>
    <w:pPr>
      <w:widowControl/>
      <w:numPr>
        <w:numId w:val="112"/>
      </w:numPr>
    </w:pPr>
  </w:style>
  <w:style w:type="paragraph" w:customStyle="1" w:styleId="ListNumber6">
    <w:name w:val="List Number 6"/>
    <w:basedOn w:val="ListNumber5"/>
    <w:qFormat/>
    <w:rsid w:val="00DD4E8B"/>
    <w:pPr>
      <w:numPr>
        <w:numId w:val="96"/>
      </w:numPr>
    </w:pPr>
  </w:style>
  <w:style w:type="paragraph" w:styleId="FootnoteText">
    <w:name w:val="footnote text"/>
    <w:basedOn w:val="Normal"/>
    <w:link w:val="FootnoteTextChar"/>
    <w:semiHidden/>
    <w:unhideWhenUsed/>
    <w:rsid w:val="008D4348"/>
    <w:pPr>
      <w:spacing w:after="0"/>
    </w:pPr>
    <w:rPr>
      <w:sz w:val="20"/>
      <w:szCs w:val="20"/>
    </w:rPr>
  </w:style>
  <w:style w:type="character" w:customStyle="1" w:styleId="FootnoteTextChar">
    <w:name w:val="Footnote Text Char"/>
    <w:basedOn w:val="DefaultParagraphFont"/>
    <w:link w:val="FootnoteText"/>
    <w:semiHidden/>
    <w:rsid w:val="008D4348"/>
    <w:rPr>
      <w:rFonts w:ascii="Lucida Bright" w:hAnsi="Lucida Bright"/>
    </w:rPr>
  </w:style>
  <w:style w:type="character" w:styleId="UnresolvedMention">
    <w:name w:val="Unresolved Mention"/>
    <w:basedOn w:val="DefaultParagraphFont"/>
    <w:uiPriority w:val="99"/>
    <w:semiHidden/>
    <w:unhideWhenUsed/>
    <w:rsid w:val="0023146C"/>
    <w:rPr>
      <w:color w:val="605E5C"/>
      <w:shd w:val="clear" w:color="auto" w:fill="E1DFDD"/>
    </w:rPr>
  </w:style>
  <w:style w:type="character" w:styleId="PlaceholderText">
    <w:name w:val="Placeholder Text"/>
    <w:basedOn w:val="DefaultParagraphFont"/>
    <w:uiPriority w:val="99"/>
    <w:semiHidden/>
    <w:rsid w:val="009855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gis/edwards-viewer.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ceq.texas.gov/gis/edwards-viewer.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tceq.texas.gov/downloads/publications/rg/swqm-procedures-volume-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eq.texas.gov/gis/edwards-viewer.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FEA0A9-55EB-4C6B-805E-266EDDBC6427}"/>
      </w:docPartPr>
      <w:docPartBody>
        <w:p w:rsidR="00B20F10" w:rsidRDefault="00B20F10">
          <w:r w:rsidRPr="00E37B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10"/>
    <w:rsid w:val="00775AB9"/>
    <w:rsid w:val="00B2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F1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4958a1a0fcd3de23ccb9fa76c62dd16">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afd2ab38d9bb5aae9d3d4661c97a18cc"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ACDF-D992-420A-9C6A-85746C9F0993}">
  <ds:schemaRefs>
    <ds:schemaRef ds:uri="http://purl.org/dc/dcmitype/"/>
    <ds:schemaRef ds:uri="http://schemas.microsoft.com/office/2006/documentManagement/types"/>
    <ds:schemaRef ds:uri="f3ae5da6-11bb-41ff-9cbc-d5978eedc60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c7b56bc5-f6a6-4867-8dcc-e9c631d75938"/>
    <ds:schemaRef ds:uri="http://www.w3.org/XML/1998/namespace"/>
    <ds:schemaRef ds:uri="http://purl.org/dc/terms/"/>
  </ds:schemaRefs>
</ds:datastoreItem>
</file>

<file path=customXml/itemProps2.xml><?xml version="1.0" encoding="utf-8"?>
<ds:datastoreItem xmlns:ds="http://schemas.openxmlformats.org/officeDocument/2006/customXml" ds:itemID="{935B024A-09EC-4A57-BCB5-CA13948DB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2FEF5-1B2C-4F95-83D0-0EC4D98522FC}">
  <ds:schemaRefs>
    <ds:schemaRef ds:uri="http://schemas.microsoft.com/sharepoint/v3/contenttype/forms"/>
  </ds:schemaRefs>
</ds:datastoreItem>
</file>

<file path=customXml/itemProps4.xml><?xml version="1.0" encoding="utf-8"?>
<ds:datastoreItem xmlns:ds="http://schemas.openxmlformats.org/officeDocument/2006/customXml" ds:itemID="{38CC93C2-C385-4EF8-8397-611B3A3E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12396</Words>
  <Characters>70658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GENERAL PERMIT</vt:lpstr>
    </vt:vector>
  </TitlesOfParts>
  <Company>TCEQ</Company>
  <LinksUpToDate>false</LinksUpToDate>
  <CharactersWithSpaces>82889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dc:title>
  <dc:creator>TCEQ</dc:creator>
  <cp:lastModifiedBy>Michael Aplin</cp:lastModifiedBy>
  <cp:revision>2</cp:revision>
  <cp:lastPrinted>2026-03-04T21:13:00Z</cp:lastPrinted>
  <dcterms:created xsi:type="dcterms:W3CDTF">2026-03-19T16:32:00Z</dcterms:created>
  <dcterms:modified xsi:type="dcterms:W3CDTF">2026-03-19T16:32:00Z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