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rPr>
        <w:id w:val="1210761920"/>
        <w:lock w:val="contentLocked"/>
        <w:placeholder>
          <w:docPart w:val="DefaultPlaceholder_-1854013440"/>
        </w:placeholder>
        <w:group/>
      </w:sdtPr>
      <w:sdtEndPr>
        <w:rPr>
          <w:rFonts w:eastAsia="Times New Roman" w:cs="Times New Roman"/>
          <w:b w:val="0"/>
          <w:color w:val="auto"/>
          <w:spacing w:val="0"/>
          <w:kern w:val="0"/>
          <w:sz w:val="22"/>
          <w:szCs w:val="22"/>
        </w:rPr>
      </w:sdtEndPr>
      <w:sdtContent>
        <w:p w14:paraId="7C6E6C20" w14:textId="51B4E72C" w:rsidR="002A5076" w:rsidRPr="00D908F1" w:rsidRDefault="002A5076" w:rsidP="00A00848">
          <w:pPr>
            <w:pStyle w:val="Title"/>
            <w:rPr>
              <w:rFonts w:ascii="Lucida Bright" w:hAnsi="Lucida Bright"/>
            </w:rPr>
          </w:pPr>
          <w:r w:rsidRPr="00D908F1">
            <w:rPr>
              <w:rFonts w:ascii="Lucida Bright" w:hAnsi="Lucida Bright"/>
            </w:rPr>
            <w:t xml:space="preserve">FACT SHEET AND EXECUTIVE DIRECTOR’S </w:t>
          </w:r>
          <w:r w:rsidR="008867DE">
            <w:rPr>
              <w:rFonts w:ascii="Lucida Bright" w:hAnsi="Lucida Bright"/>
            </w:rPr>
            <w:t>FINAL</w:t>
          </w:r>
          <w:r w:rsidRPr="00D908F1">
            <w:rPr>
              <w:rFonts w:ascii="Lucida Bright" w:hAnsi="Lucida Bright"/>
            </w:rPr>
            <w:t xml:space="preserve"> DECISION</w:t>
          </w:r>
        </w:p>
        <w:p w14:paraId="3336FC4A" w14:textId="6127BFB4" w:rsidR="002A5076" w:rsidRPr="00D908F1" w:rsidRDefault="002A5076" w:rsidP="00230F41">
          <w:pPr>
            <w:pStyle w:val="Subtitle"/>
            <w:rPr>
              <w:rFonts w:ascii="Lucida Bright" w:hAnsi="Lucida Bright"/>
              <w:spacing w:val="0"/>
            </w:rPr>
          </w:pPr>
          <w:r w:rsidRPr="00D908F1">
            <w:rPr>
              <w:rFonts w:ascii="Lucida Bright" w:hAnsi="Lucida Bright"/>
              <w:spacing w:val="0"/>
            </w:rPr>
            <w:t xml:space="preserve">For </w:t>
          </w:r>
          <w:r w:rsidR="00F55D48" w:rsidRPr="00D908F1">
            <w:rPr>
              <w:rFonts w:ascii="Lucida Bright" w:hAnsi="Lucida Bright"/>
              <w:spacing w:val="0"/>
            </w:rPr>
            <w:t>Texas Pollutant Discharge Elimination System (TPDES) G</w:t>
          </w:r>
          <w:r w:rsidRPr="00D908F1">
            <w:rPr>
              <w:rFonts w:ascii="Lucida Bright" w:hAnsi="Lucida Bright"/>
              <w:spacing w:val="0"/>
            </w:rPr>
            <w:t xml:space="preserve">eneral </w:t>
          </w:r>
          <w:r w:rsidR="00F55D48" w:rsidRPr="00D908F1">
            <w:rPr>
              <w:rFonts w:ascii="Lucida Bright" w:hAnsi="Lucida Bright"/>
              <w:spacing w:val="0"/>
            </w:rPr>
            <w:t>P</w:t>
          </w:r>
          <w:r w:rsidRPr="00D908F1">
            <w:rPr>
              <w:rFonts w:ascii="Lucida Bright" w:hAnsi="Lucida Bright"/>
              <w:spacing w:val="0"/>
            </w:rPr>
            <w:t>ermit No. TXG6</w:t>
          </w:r>
          <w:r w:rsidR="008C0EFC" w:rsidRPr="00D908F1">
            <w:rPr>
              <w:rFonts w:ascii="Lucida Bright" w:hAnsi="Lucida Bright"/>
              <w:spacing w:val="0"/>
            </w:rPr>
            <w:t>4</w:t>
          </w:r>
          <w:r w:rsidRPr="00D908F1">
            <w:rPr>
              <w:rFonts w:ascii="Lucida Bright" w:hAnsi="Lucida Bright"/>
              <w:spacing w:val="0"/>
            </w:rPr>
            <w:t xml:space="preserve">0000 to discharge </w:t>
          </w:r>
          <w:r w:rsidR="008C0EFC" w:rsidRPr="00D908F1">
            <w:rPr>
              <w:rFonts w:ascii="Lucida Bright" w:hAnsi="Lucida Bright"/>
              <w:spacing w:val="0"/>
            </w:rPr>
            <w:t>wastewater generated at water treatment facilities</w:t>
          </w:r>
          <w:r w:rsidRPr="00D908F1">
            <w:rPr>
              <w:rFonts w:ascii="Lucida Bright" w:hAnsi="Lucida Bright"/>
              <w:spacing w:val="0"/>
            </w:rPr>
            <w:t xml:space="preserve"> into or adjacent to water in the state.</w:t>
          </w:r>
        </w:p>
        <w:p w14:paraId="5F7975AD" w14:textId="77777777"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Issuing Office:</w:t>
          </w:r>
          <w:r w:rsidRPr="00D908F1">
            <w:rPr>
              <w:rFonts w:ascii="Lucida Bright" w:hAnsi="Lucida Bright" w:cs="Times New Roman"/>
              <w:szCs w:val="22"/>
            </w:rPr>
            <w:tab/>
            <w:t>Texas Commission on Environmental Quality</w:t>
          </w:r>
        </w:p>
        <w:p w14:paraId="51A46309" w14:textId="77777777" w:rsidR="002A5076" w:rsidRPr="00D908F1" w:rsidRDefault="002A5076" w:rsidP="00A00848">
          <w:pPr>
            <w:ind w:left="2160"/>
            <w:jc w:val="both"/>
            <w:rPr>
              <w:rFonts w:ascii="Lucida Bright" w:hAnsi="Lucida Bright" w:cs="Times New Roman"/>
              <w:szCs w:val="22"/>
            </w:rPr>
          </w:pPr>
          <w:r w:rsidRPr="00D908F1">
            <w:rPr>
              <w:rFonts w:ascii="Lucida Bright" w:hAnsi="Lucida Bright" w:cs="Times New Roman"/>
              <w:szCs w:val="22"/>
            </w:rPr>
            <w:t>P.O. Box 13087</w:t>
          </w:r>
        </w:p>
        <w:p w14:paraId="2A782D68" w14:textId="77777777" w:rsidR="002A5076" w:rsidRPr="00D908F1" w:rsidRDefault="002A5076" w:rsidP="00A00848">
          <w:pPr>
            <w:ind w:left="2160"/>
            <w:jc w:val="both"/>
            <w:rPr>
              <w:rFonts w:ascii="Lucida Bright" w:hAnsi="Lucida Bright" w:cs="Times New Roman"/>
              <w:szCs w:val="22"/>
            </w:rPr>
          </w:pPr>
          <w:r w:rsidRPr="00D908F1">
            <w:rPr>
              <w:rFonts w:ascii="Lucida Bright" w:hAnsi="Lucida Bright" w:cs="Times New Roman"/>
              <w:szCs w:val="22"/>
            </w:rPr>
            <w:t>Austin, TX 78711-3087</w:t>
          </w:r>
        </w:p>
        <w:p w14:paraId="5F72C027" w14:textId="11D906BC"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Prepared by:</w:t>
          </w:r>
          <w:r w:rsidRPr="00D908F1">
            <w:rPr>
              <w:rFonts w:ascii="Lucida Bright" w:hAnsi="Lucida Bright" w:cs="Times New Roman"/>
              <w:szCs w:val="22"/>
            </w:rPr>
            <w:tab/>
          </w:r>
          <w:r w:rsidR="00541359" w:rsidRPr="00D908F1">
            <w:rPr>
              <w:rFonts w:ascii="Lucida Bright" w:hAnsi="Lucida Bright" w:cs="Times New Roman"/>
              <w:szCs w:val="22"/>
            </w:rPr>
            <w:t>Shannon Gibson</w:t>
          </w:r>
        </w:p>
        <w:p w14:paraId="219DB712" w14:textId="77777777" w:rsidR="002A5076" w:rsidRPr="00D908F1" w:rsidRDefault="002A5076" w:rsidP="00A00848">
          <w:pPr>
            <w:ind w:left="2160"/>
            <w:jc w:val="both"/>
            <w:rPr>
              <w:rFonts w:ascii="Lucida Bright" w:hAnsi="Lucida Bright" w:cs="Times New Roman"/>
              <w:szCs w:val="22"/>
            </w:rPr>
          </w:pPr>
          <w:r w:rsidRPr="00D908F1">
            <w:rPr>
              <w:rFonts w:ascii="Lucida Bright" w:hAnsi="Lucida Bright" w:cs="Times New Roman"/>
              <w:szCs w:val="22"/>
            </w:rPr>
            <w:t>Water Quality Division</w:t>
          </w:r>
        </w:p>
        <w:p w14:paraId="3A84F7CB" w14:textId="2E8EE13E"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Date:</w:t>
          </w:r>
          <w:r w:rsidRPr="00D908F1">
            <w:rPr>
              <w:rFonts w:ascii="Lucida Bright" w:hAnsi="Lucida Bright" w:cs="Times New Roman"/>
              <w:szCs w:val="22"/>
            </w:rPr>
            <w:tab/>
          </w:r>
          <w:r w:rsidR="00EE048C" w:rsidRPr="00D805C1">
            <w:rPr>
              <w:rFonts w:ascii="Lucida Bright" w:hAnsi="Lucida Bright" w:cs="Times New Roman"/>
              <w:szCs w:val="22"/>
            </w:rPr>
            <w:t>September</w:t>
          </w:r>
          <w:r w:rsidR="00EE048C">
            <w:rPr>
              <w:rFonts w:ascii="Lucida Bright" w:hAnsi="Lucida Bright" w:cs="Times New Roman"/>
              <w:szCs w:val="22"/>
            </w:rPr>
            <w:t xml:space="preserve"> </w:t>
          </w:r>
          <w:r w:rsidR="00797D2F">
            <w:rPr>
              <w:rFonts w:ascii="Lucida Bright" w:hAnsi="Lucida Bright" w:cs="Times New Roman"/>
              <w:szCs w:val="22"/>
            </w:rPr>
            <w:t>2025</w:t>
          </w:r>
        </w:p>
        <w:p w14:paraId="1A2300D0" w14:textId="1190BE3E"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Permit Action:</w:t>
          </w:r>
          <w:r w:rsidRPr="00D908F1">
            <w:rPr>
              <w:rFonts w:ascii="Lucida Bright" w:hAnsi="Lucida Bright" w:cs="Times New Roman"/>
              <w:szCs w:val="22"/>
            </w:rPr>
            <w:tab/>
          </w:r>
          <w:r w:rsidR="00541359" w:rsidRPr="00D908F1">
            <w:rPr>
              <w:rFonts w:ascii="Lucida Bright" w:hAnsi="Lucida Bright" w:cs="Times New Roman"/>
              <w:szCs w:val="22"/>
            </w:rPr>
            <w:t>Renewal</w:t>
          </w:r>
          <w:r w:rsidR="008867DE">
            <w:rPr>
              <w:rFonts w:ascii="Lucida Bright" w:hAnsi="Lucida Bright" w:cs="Times New Roman"/>
              <w:szCs w:val="22"/>
            </w:rPr>
            <w:t xml:space="preserve"> with Amendment</w:t>
          </w:r>
        </w:p>
        <w:p w14:paraId="4BE2EBC7" w14:textId="77777777" w:rsidR="002A5076" w:rsidRPr="00D908F1" w:rsidRDefault="002A5076" w:rsidP="00F5173B">
          <w:pPr>
            <w:pStyle w:val="Heading1"/>
          </w:pPr>
          <w:r w:rsidRPr="00D908F1">
            <w:t>I.</w:t>
          </w:r>
          <w:r w:rsidR="002F491D" w:rsidRPr="00D908F1">
            <w:tab/>
          </w:r>
          <w:r w:rsidRPr="00D908F1">
            <w:t>Summary</w:t>
          </w:r>
        </w:p>
        <w:p w14:paraId="13724D90" w14:textId="50209438" w:rsidR="007D1E1B" w:rsidRPr="00D908F1" w:rsidRDefault="002A507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908F1">
            <w:rPr>
              <w:rFonts w:ascii="Lucida Bright" w:hAnsi="Lucida Bright" w:cs="Times New Roman"/>
              <w:szCs w:val="22"/>
            </w:rPr>
            <w:t>The Texas Commission on Environmental Quality (TCEQ</w:t>
          </w:r>
          <w:r w:rsidR="00635783" w:rsidRPr="00D908F1">
            <w:rPr>
              <w:rFonts w:ascii="Lucida Bright" w:hAnsi="Lucida Bright" w:cs="Times New Roman"/>
              <w:szCs w:val="22"/>
            </w:rPr>
            <w:t xml:space="preserve"> or </w:t>
          </w:r>
          <w:r w:rsidR="00014690">
            <w:rPr>
              <w:rFonts w:ascii="Lucida Bright" w:hAnsi="Lucida Bright" w:cs="Times New Roman"/>
              <w:szCs w:val="22"/>
            </w:rPr>
            <w:t>c</w:t>
          </w:r>
          <w:r w:rsidR="00635783" w:rsidRPr="00D908F1">
            <w:rPr>
              <w:rFonts w:ascii="Lucida Bright" w:hAnsi="Lucida Bright" w:cs="Times New Roman"/>
              <w:szCs w:val="22"/>
            </w:rPr>
            <w:t>ommission</w:t>
          </w:r>
          <w:r w:rsidR="00F55D48" w:rsidRPr="00D908F1">
            <w:rPr>
              <w:rFonts w:ascii="Lucida Bright" w:hAnsi="Lucida Bright" w:cs="Times New Roman"/>
              <w:szCs w:val="22"/>
            </w:rPr>
            <w:t>)</w:t>
          </w:r>
          <w:r w:rsidRPr="00D908F1">
            <w:rPr>
              <w:rFonts w:ascii="Lucida Bright" w:hAnsi="Lucida Bright" w:cs="Times New Roman"/>
              <w:szCs w:val="22"/>
            </w:rPr>
            <w:t xml:space="preserve"> is </w:t>
          </w:r>
          <w:r w:rsidR="008867DE">
            <w:rPr>
              <w:rFonts w:ascii="Lucida Bright" w:hAnsi="Lucida Bright" w:cs="Times New Roman"/>
              <w:szCs w:val="22"/>
            </w:rPr>
            <w:t>issuing a</w:t>
          </w:r>
          <w:r w:rsidRPr="00D908F1">
            <w:rPr>
              <w:rFonts w:ascii="Lucida Bright" w:hAnsi="Lucida Bright" w:cs="Times New Roman"/>
              <w:szCs w:val="22"/>
            </w:rPr>
            <w:t xml:space="preserve"> </w:t>
          </w:r>
          <w:bookmarkStart w:id="0" w:name="_Hlk534351756"/>
          <w:r w:rsidR="00541359" w:rsidRPr="00D908F1">
            <w:rPr>
              <w:rFonts w:ascii="Lucida Bright" w:hAnsi="Lucida Bright" w:cs="Times New Roman"/>
              <w:szCs w:val="22"/>
            </w:rPr>
            <w:t>renew</w:t>
          </w:r>
          <w:r w:rsidR="008867DE">
            <w:rPr>
              <w:rFonts w:ascii="Lucida Bright" w:hAnsi="Lucida Bright" w:cs="Times New Roman"/>
              <w:szCs w:val="22"/>
            </w:rPr>
            <w:t>al</w:t>
          </w:r>
          <w:r w:rsidR="00541359" w:rsidRPr="00D908F1">
            <w:rPr>
              <w:rFonts w:ascii="Lucida Bright" w:hAnsi="Lucida Bright" w:cs="Times New Roman"/>
              <w:szCs w:val="22"/>
            </w:rPr>
            <w:t xml:space="preserve"> </w:t>
          </w:r>
          <w:r w:rsidR="00B10E16">
            <w:rPr>
              <w:rFonts w:ascii="Lucida Bright" w:hAnsi="Lucida Bright" w:cs="Times New Roman"/>
              <w:szCs w:val="22"/>
            </w:rPr>
            <w:t>and amend</w:t>
          </w:r>
          <w:r w:rsidR="008867DE">
            <w:rPr>
              <w:rFonts w:ascii="Lucida Bright" w:hAnsi="Lucida Bright" w:cs="Times New Roman"/>
              <w:szCs w:val="22"/>
            </w:rPr>
            <w:t>ment of</w:t>
          </w:r>
          <w:r w:rsidR="00B10E16">
            <w:rPr>
              <w:rFonts w:ascii="Lucida Bright" w:hAnsi="Lucida Bright" w:cs="Times New Roman"/>
              <w:szCs w:val="22"/>
            </w:rPr>
            <w:t xml:space="preserve"> </w:t>
          </w:r>
          <w:r w:rsidR="00541359" w:rsidRPr="00D908F1">
            <w:rPr>
              <w:rFonts w:ascii="Lucida Bright" w:hAnsi="Lucida Bright" w:cs="Times New Roman"/>
              <w:szCs w:val="22"/>
            </w:rPr>
            <w:t>Texas Pollutant Discharge Elimination System (TPDES)</w:t>
          </w:r>
          <w:r w:rsidR="008C0EFC" w:rsidRPr="00D908F1">
            <w:rPr>
              <w:rFonts w:ascii="Lucida Bright" w:hAnsi="Lucida Bright" w:cs="Times New Roman"/>
              <w:szCs w:val="22"/>
            </w:rPr>
            <w:t xml:space="preserve"> </w:t>
          </w:r>
          <w:r w:rsidRPr="00D908F1">
            <w:rPr>
              <w:rFonts w:ascii="Lucida Bright" w:hAnsi="Lucida Bright" w:cs="Times New Roman"/>
              <w:szCs w:val="22"/>
            </w:rPr>
            <w:t xml:space="preserve">general permit authorizing </w:t>
          </w:r>
          <w:bookmarkStart w:id="1" w:name="_Hlk531267888"/>
          <w:r w:rsidR="008C0EFC" w:rsidRPr="00D908F1">
            <w:rPr>
              <w:rFonts w:ascii="Lucida Bright" w:hAnsi="Lucida Bright" w:cs="Times New Roman"/>
              <w:szCs w:val="22"/>
            </w:rPr>
            <w:t>the discharge of wastewater generated as a result of conventional water treatment at water treatment facilities into or adjacent to water in the state.</w:t>
          </w:r>
          <w:bookmarkEnd w:id="0"/>
          <w:bookmarkEnd w:id="1"/>
          <w:r w:rsidR="008C0EFC" w:rsidRPr="00D908F1">
            <w:rPr>
              <w:rFonts w:ascii="Lucida Bright" w:hAnsi="Lucida Bright" w:cs="Times New Roman"/>
              <w:szCs w:val="22"/>
            </w:rPr>
            <w:t xml:space="preserve"> </w:t>
          </w:r>
        </w:p>
        <w:p w14:paraId="3ED85F23" w14:textId="77777777" w:rsidR="002A5076" w:rsidRPr="00D908F1" w:rsidRDefault="002A5076" w:rsidP="00F5173B">
          <w:pPr>
            <w:pStyle w:val="Heading1"/>
          </w:pPr>
          <w:r w:rsidRPr="00D908F1">
            <w:t>II.</w:t>
          </w:r>
          <w:r w:rsidR="002F491D" w:rsidRPr="00D908F1">
            <w:tab/>
            <w:t>E</w:t>
          </w:r>
          <w:r w:rsidRPr="00D908F1">
            <w:t>xecutive Director’s Recommendation</w:t>
          </w:r>
        </w:p>
        <w:p w14:paraId="0DC6A945" w14:textId="47EA1F5B" w:rsidR="002A5076" w:rsidRPr="00D908F1" w:rsidRDefault="002A5076" w:rsidP="00A00848">
          <w:pPr>
            <w:rPr>
              <w:rFonts w:ascii="Lucida Bright" w:hAnsi="Lucida Bright"/>
            </w:rPr>
          </w:pPr>
          <w:r w:rsidRPr="00D908F1">
            <w:rPr>
              <w:rFonts w:ascii="Lucida Bright" w:hAnsi="Lucida Bright"/>
            </w:rPr>
            <w:t xml:space="preserve">The Executive Director has made a </w:t>
          </w:r>
          <w:r w:rsidR="008867DE">
            <w:rPr>
              <w:rFonts w:ascii="Lucida Bright" w:hAnsi="Lucida Bright"/>
            </w:rPr>
            <w:t>final</w:t>
          </w:r>
          <w:r w:rsidRPr="00D908F1">
            <w:rPr>
              <w:rFonts w:ascii="Lucida Bright" w:hAnsi="Lucida Bright"/>
            </w:rPr>
            <w:t xml:space="preserve"> decision that this permit, if issued, meets all statutory and regulatory requirements. It is proposed</w:t>
          </w:r>
          <w:r w:rsidR="004743CB" w:rsidRPr="00D908F1">
            <w:rPr>
              <w:rFonts w:ascii="Lucida Bright" w:hAnsi="Lucida Bright"/>
            </w:rPr>
            <w:t xml:space="preserve"> that</w:t>
          </w:r>
          <w:r w:rsidRPr="00D908F1">
            <w:rPr>
              <w:rFonts w:ascii="Lucida Bright" w:hAnsi="Lucida Bright"/>
            </w:rPr>
            <w:t xml:space="preserve"> the permit </w:t>
          </w:r>
          <w:r w:rsidR="004743CB" w:rsidRPr="00D908F1">
            <w:rPr>
              <w:rFonts w:ascii="Lucida Bright" w:hAnsi="Lucida Bright"/>
            </w:rPr>
            <w:t xml:space="preserve">will </w:t>
          </w:r>
          <w:r w:rsidRPr="00D908F1">
            <w:rPr>
              <w:rFonts w:ascii="Lucida Bright" w:hAnsi="Lucida Bright"/>
            </w:rPr>
            <w:t xml:space="preserve">expire five years from </w:t>
          </w:r>
          <w:r w:rsidR="004743CB" w:rsidRPr="00D908F1">
            <w:rPr>
              <w:rFonts w:ascii="Lucida Bright" w:hAnsi="Lucida Bright"/>
            </w:rPr>
            <w:t xml:space="preserve">the </w:t>
          </w:r>
          <w:r w:rsidR="004D5194" w:rsidRPr="00D908F1">
            <w:rPr>
              <w:rFonts w:ascii="Lucida Bright" w:hAnsi="Lucida Bright"/>
            </w:rPr>
            <w:t xml:space="preserve">effective </w:t>
          </w:r>
          <w:r w:rsidRPr="00D908F1">
            <w:rPr>
              <w:rFonts w:ascii="Lucida Bright" w:hAnsi="Lucida Bright"/>
            </w:rPr>
            <w:t xml:space="preserve">date </w:t>
          </w:r>
          <w:r w:rsidR="00DD61B4" w:rsidRPr="00D908F1">
            <w:rPr>
              <w:rFonts w:ascii="Lucida Bright" w:hAnsi="Lucida Bright"/>
            </w:rPr>
            <w:t>in accordance with</w:t>
          </w:r>
          <w:r w:rsidRPr="00D908F1">
            <w:rPr>
              <w:rFonts w:ascii="Lucida Bright" w:hAnsi="Lucida Bright"/>
            </w:rPr>
            <w:t xml:space="preserve"> the requirements of 30 T</w:t>
          </w:r>
          <w:r w:rsidR="002F491D" w:rsidRPr="00D908F1">
            <w:rPr>
              <w:rFonts w:ascii="Lucida Bright" w:hAnsi="Lucida Bright"/>
            </w:rPr>
            <w:t xml:space="preserve">exas </w:t>
          </w:r>
          <w:r w:rsidRPr="00D908F1">
            <w:rPr>
              <w:rFonts w:ascii="Lucida Bright" w:hAnsi="Lucida Bright"/>
            </w:rPr>
            <w:t>A</w:t>
          </w:r>
          <w:r w:rsidR="002F491D" w:rsidRPr="00D908F1">
            <w:rPr>
              <w:rFonts w:ascii="Lucida Bright" w:hAnsi="Lucida Bright"/>
            </w:rPr>
            <w:t xml:space="preserve">dministrative </w:t>
          </w:r>
          <w:r w:rsidRPr="00D908F1">
            <w:rPr>
              <w:rFonts w:ascii="Lucida Bright" w:hAnsi="Lucida Bright"/>
            </w:rPr>
            <w:t>C</w:t>
          </w:r>
          <w:r w:rsidR="002F491D" w:rsidRPr="00D908F1">
            <w:rPr>
              <w:rFonts w:ascii="Lucida Bright" w:hAnsi="Lucida Bright"/>
            </w:rPr>
            <w:t>ode (TAC)</w:t>
          </w:r>
          <w:r w:rsidRPr="00D908F1">
            <w:rPr>
              <w:rFonts w:ascii="Lucida Bright" w:hAnsi="Lucida Bright"/>
            </w:rPr>
            <w:t xml:space="preserve"> § 205.5(a).</w:t>
          </w:r>
        </w:p>
        <w:p w14:paraId="19587098" w14:textId="77777777" w:rsidR="002F491D" w:rsidRPr="00D908F1" w:rsidRDefault="002A5076" w:rsidP="00F5173B">
          <w:pPr>
            <w:pStyle w:val="Heading1"/>
          </w:pPr>
          <w:r w:rsidRPr="00D908F1">
            <w:t>III.</w:t>
          </w:r>
          <w:r w:rsidR="002F491D" w:rsidRPr="00D908F1">
            <w:tab/>
            <w:t>Permit Applicability</w:t>
          </w:r>
        </w:p>
        <w:p w14:paraId="70E4375B" w14:textId="04F247FD" w:rsidR="00EA3109" w:rsidRPr="00D908F1" w:rsidRDefault="002F491D" w:rsidP="00A8136D">
          <w:pPr>
            <w:pStyle w:val="ListNumber"/>
          </w:pPr>
          <w:r w:rsidRPr="00D908F1">
            <w:t xml:space="preserve">This general permit authorizes the discharge of </w:t>
          </w:r>
          <w:r w:rsidR="008C0EFC" w:rsidRPr="00D908F1">
            <w:t>wastewater generated as a result of conventional water treatment at water treatment facilities into or adjacent to water in the state</w:t>
          </w:r>
          <w:r w:rsidRPr="00D908F1">
            <w:t xml:space="preserve">. The permit specifies which facilities may be authorized under this general </w:t>
          </w:r>
          <w:r w:rsidRPr="00010202">
            <w:t>permit</w:t>
          </w:r>
          <w:r w:rsidRPr="00D908F1">
            <w:t xml:space="preserve"> and those </w:t>
          </w:r>
          <w:r w:rsidR="007724FF" w:rsidRPr="00D908F1">
            <w:t xml:space="preserve">that </w:t>
          </w:r>
          <w:r w:rsidRPr="00D908F1">
            <w:t>must be authorized by individual permit or another general permit.</w:t>
          </w:r>
        </w:p>
        <w:p w14:paraId="7E2C8A7A" w14:textId="77777777" w:rsidR="00EA3109" w:rsidRPr="00D908F1" w:rsidRDefault="002F491D" w:rsidP="00A8136D">
          <w:pPr>
            <w:pStyle w:val="ListNumber"/>
          </w:pPr>
          <w:r w:rsidRPr="00D908F1">
            <w:t>The following discharges are not eligible for general permit coverage:</w:t>
          </w:r>
        </w:p>
        <w:p w14:paraId="0DC9643B" w14:textId="413ABF4E" w:rsidR="008C0EFC" w:rsidRPr="00D908F1" w:rsidRDefault="00B57B11" w:rsidP="00A8136D">
          <w:pPr>
            <w:pStyle w:val="ListNumber2"/>
          </w:pPr>
          <w:r w:rsidRPr="00D908F1">
            <w:t>D</w:t>
          </w:r>
          <w:r w:rsidR="008C0EFC" w:rsidRPr="00D908F1">
            <w:t>ischarge</w:t>
          </w:r>
          <w:r w:rsidRPr="00D908F1">
            <w:t>s</w:t>
          </w:r>
          <w:r w:rsidR="008C0EFC" w:rsidRPr="00D908F1">
            <w:t xml:space="preserve"> of </w:t>
          </w:r>
          <w:r w:rsidR="0076662E" w:rsidRPr="00D908F1">
            <w:t>treated domestic wastewater</w:t>
          </w:r>
          <w:r w:rsidR="00B43B58" w:rsidRPr="00D908F1">
            <w:t>;</w:t>
          </w:r>
          <w:r w:rsidR="0076662E" w:rsidRPr="00D908F1">
            <w:t xml:space="preserve"> </w:t>
          </w:r>
          <w:r w:rsidR="008C0EFC" w:rsidRPr="00D908F1">
            <w:t>wastewater generated as a result of reverse osmosis</w:t>
          </w:r>
          <w:r w:rsidR="00136E5B" w:rsidRPr="00D908F1">
            <w:t>,</w:t>
          </w:r>
          <w:r w:rsidR="008C0EFC" w:rsidRPr="00D908F1">
            <w:t xml:space="preserve"> ion exchange</w:t>
          </w:r>
          <w:r w:rsidR="00136E5B" w:rsidRPr="00D908F1">
            <w:t xml:space="preserve">, </w:t>
          </w:r>
          <w:bookmarkStart w:id="2" w:name="_Hlk187657"/>
          <w:r w:rsidR="004C0410" w:rsidRPr="00D908F1">
            <w:t xml:space="preserve">any other </w:t>
          </w:r>
          <w:r w:rsidR="004C0410" w:rsidRPr="00010202">
            <w:t>desalination</w:t>
          </w:r>
          <w:r w:rsidR="004C0410" w:rsidRPr="00D908F1">
            <w:t xml:space="preserve"> process</w:t>
          </w:r>
          <w:r w:rsidR="00B43B58" w:rsidRPr="00D908F1">
            <w:t>;</w:t>
          </w:r>
          <w:r w:rsidR="004C0410" w:rsidRPr="00D908F1">
            <w:t xml:space="preserve"> or </w:t>
          </w:r>
          <w:r w:rsidR="00B43B58" w:rsidRPr="00D908F1">
            <w:t xml:space="preserve">wastewater generated as a result of </w:t>
          </w:r>
          <w:r w:rsidR="004C0410" w:rsidRPr="00D908F1">
            <w:t xml:space="preserve">water treatment processes </w:t>
          </w:r>
          <w:r w:rsidR="00B43B58" w:rsidRPr="00D908F1">
            <w:t>regulated in</w:t>
          </w:r>
          <w:r w:rsidR="004C0410" w:rsidRPr="00D908F1">
            <w:t xml:space="preserve"> 30 TAC §290.42(g)</w:t>
          </w:r>
          <w:r w:rsidR="00B43B58" w:rsidRPr="00D908F1">
            <w:t>, except for water treatment using ultraviolet light</w:t>
          </w:r>
          <w:r w:rsidR="004C0410" w:rsidRPr="00D908F1">
            <w:t>. An individual permit is required for the discharge of these types of wastewater</w:t>
          </w:r>
          <w:r w:rsidR="00D96270" w:rsidRPr="00D908F1">
            <w:t>.</w:t>
          </w:r>
        </w:p>
        <w:bookmarkEnd w:id="2"/>
        <w:p w14:paraId="0216F34B" w14:textId="2C6F8D9F" w:rsidR="00B57B11" w:rsidRPr="00D908F1" w:rsidRDefault="00B57B11" w:rsidP="00A8136D">
          <w:pPr>
            <w:pStyle w:val="ListNumber2"/>
          </w:pPr>
          <w:r w:rsidRPr="00D908F1">
            <w:t xml:space="preserve">Land application </w:t>
          </w:r>
          <w:r w:rsidR="00BC38A3" w:rsidRPr="00D908F1">
            <w:t xml:space="preserve">or disposal </w:t>
          </w:r>
          <w:r w:rsidRPr="00D908F1">
            <w:t xml:space="preserve">of water treatment </w:t>
          </w:r>
          <w:r w:rsidR="00014888">
            <w:t>residuals</w:t>
          </w:r>
          <w:r w:rsidRPr="00D908F1">
            <w:t xml:space="preserve">. This general permit does not authorize the distribution and marketing of water treatment </w:t>
          </w:r>
          <w:r w:rsidR="00014888">
            <w:t>residuals</w:t>
          </w:r>
          <w:r w:rsidRPr="00D908F1">
            <w:t>. A separate authorization is required for these activities.</w:t>
          </w:r>
        </w:p>
        <w:p w14:paraId="45803F24" w14:textId="176C2B75" w:rsidR="00EA3109" w:rsidRPr="00D908F1" w:rsidRDefault="002F491D" w:rsidP="00A8136D">
          <w:pPr>
            <w:pStyle w:val="ListNumber2"/>
          </w:pPr>
          <w:r w:rsidRPr="00D908F1">
            <w:t>Discharges prohibited by 30 TAC</w:t>
          </w:r>
          <w:r w:rsidR="00606E5E" w:rsidRPr="00D908F1">
            <w:t xml:space="preserve"> </w:t>
          </w:r>
          <w:r w:rsidR="00DD61B4" w:rsidRPr="00D908F1">
            <w:t xml:space="preserve">Chapter 213, </w:t>
          </w:r>
          <w:r w:rsidR="00606E5E" w:rsidRPr="00D908F1">
            <w:rPr>
              <w:i/>
            </w:rPr>
            <w:t>Edwards Aquifer</w:t>
          </w:r>
          <w:r w:rsidR="00385B3B" w:rsidRPr="00D908F1">
            <w:t>, or</w:t>
          </w:r>
          <w:r w:rsidR="00385B3B" w:rsidRPr="00D908F1">
            <w:rPr>
              <w:i/>
            </w:rPr>
            <w:t xml:space="preserve"> </w:t>
          </w:r>
          <w:r w:rsidR="00385B3B" w:rsidRPr="00D908F1">
            <w:t xml:space="preserve">30 TAC Chapter 311, </w:t>
          </w:r>
          <w:r w:rsidR="00385B3B" w:rsidRPr="00D908F1">
            <w:rPr>
              <w:i/>
            </w:rPr>
            <w:t>Watershed Protection</w:t>
          </w:r>
          <w:r w:rsidR="00606E5E" w:rsidRPr="00D908F1">
            <w:t>.</w:t>
          </w:r>
        </w:p>
        <w:p w14:paraId="64031913" w14:textId="3B900DCD" w:rsidR="00EA3109" w:rsidRPr="00D908F1" w:rsidRDefault="00DD61B4" w:rsidP="00A8136D">
          <w:pPr>
            <w:pStyle w:val="ListNumber2"/>
          </w:pPr>
          <w:r w:rsidRPr="00D908F1">
            <w:lastRenderedPageBreak/>
            <w:t xml:space="preserve">Discharges into or adjacent to water in the state </w:t>
          </w:r>
          <w:r w:rsidR="003858F4" w:rsidRPr="00D908F1">
            <w:t xml:space="preserve">(e.g., land application) </w:t>
          </w:r>
          <w:r w:rsidRPr="00D908F1">
            <w:t>from facilities that are regulated by the Railroad Commission of Texas, including crude oil facilities.</w:t>
          </w:r>
        </w:p>
        <w:p w14:paraId="65E5EC4E" w14:textId="5611348D" w:rsidR="00EA3109" w:rsidRPr="00D908F1" w:rsidRDefault="00DD61B4" w:rsidP="00A8136D">
          <w:pPr>
            <w:pStyle w:val="ListNumber2"/>
          </w:pPr>
          <w:r w:rsidRPr="00D908F1">
            <w:t>New sources or new discharges of the constituent(s) of concern to impaired waters are not authorized by this permit unless otherwise allowable under 30 TAC Chapter 305</w:t>
          </w:r>
          <w:r w:rsidR="00541359" w:rsidRPr="00D908F1">
            <w:t xml:space="preserve">, </w:t>
          </w:r>
          <w:r w:rsidR="00541359" w:rsidRPr="00D908F1">
            <w:rPr>
              <w:i/>
              <w:iCs/>
            </w:rPr>
            <w:t>Consolidated Permits</w:t>
          </w:r>
          <w:r w:rsidR="00541359" w:rsidRPr="00D908F1">
            <w:t>,</w:t>
          </w:r>
          <w:r w:rsidRPr="00D908F1">
            <w:t xml:space="preserve"> and applicable state law. Impaired waters are those that do not meet applicable water quality standard(s) and are listed </w:t>
          </w:r>
          <w:r w:rsidR="00541359" w:rsidRPr="00D908F1">
            <w:t xml:space="preserve">as category 4 or 5 in the current version of the Texas Integrated Report of Surface Water Quality, and waterbodies </w:t>
          </w:r>
          <w:r w:rsidRPr="00D908F1">
            <w:t>on the Clean Water Act (CWA) § 303(d) list. Constituents of concern are those for which the water body is listed as impaired.</w:t>
          </w:r>
        </w:p>
        <w:p w14:paraId="40A75696" w14:textId="48B20535" w:rsidR="00EA3109" w:rsidRPr="00D908F1" w:rsidRDefault="00F47109" w:rsidP="00A8136D">
          <w:pPr>
            <w:pStyle w:val="ListNumber2"/>
          </w:pPr>
          <w:r w:rsidRPr="00D908F1">
            <w:t>Discharges of the constituent(s) of concern to impaired water bodies for which there is a total maximum daily load (TMDL) implementation plan are not eligible for this</w:t>
          </w:r>
          <w:r w:rsidR="00541359" w:rsidRPr="00D908F1">
            <w:t xml:space="preserve"> general</w:t>
          </w:r>
          <w:r w:rsidRPr="00D908F1">
            <w:t xml:space="preserve"> permit unless they are consistent with the approved TMDL and the implementation plan. The </w:t>
          </w:r>
          <w:r w:rsidR="00687404" w:rsidRPr="00D908F1">
            <w:t>E</w:t>
          </w:r>
          <w:r w:rsidRPr="00D908F1">
            <w:t xml:space="preserve">xecutive </w:t>
          </w:r>
          <w:r w:rsidR="00687404" w:rsidRPr="00D908F1">
            <w:t>D</w:t>
          </w:r>
          <w:r w:rsidRPr="00D908F1">
            <w:t xml:space="preserve">irector may amend this general permit or develop a separate general permit for discharges to these water bodies. For discharges not eligible for coverage under this </w:t>
          </w:r>
          <w:r w:rsidR="00541359" w:rsidRPr="00D908F1">
            <w:t xml:space="preserve">general </w:t>
          </w:r>
          <w:r w:rsidRPr="00D908F1">
            <w:t>permit, the discharger must apply for and receive an individual permit or other applicable general permit prior to discharging.</w:t>
          </w:r>
        </w:p>
        <w:p w14:paraId="6EB181B2" w14:textId="0D9C6266" w:rsidR="00F47109" w:rsidRPr="00D908F1" w:rsidRDefault="00F47109" w:rsidP="00A8136D">
          <w:pPr>
            <w:pStyle w:val="ListNumber2"/>
          </w:pPr>
          <w:r w:rsidRPr="00D908F1">
            <w:t xml:space="preserve">Discharges that would adversely </w:t>
          </w:r>
          <w:r w:rsidR="0001346C" w:rsidRPr="00D908F1">
            <w:t>a</w:t>
          </w:r>
          <w:r w:rsidRPr="00D908F1">
            <w:t>ffect a listed endangered or threatened species or its critical habitat are not authorized by this permit. Federal requirements related to endangered species apply to all TPDES permitted activities, and site-specific controls may be required to ensure the protection of endangered or threatened species is achieved.</w:t>
          </w:r>
        </w:p>
        <w:p w14:paraId="2AC97543" w14:textId="77777777" w:rsidR="0001346C" w:rsidRPr="00D908F1" w:rsidRDefault="0001346C" w:rsidP="00A8136D">
          <w:pPr>
            <w:pStyle w:val="ListNumber"/>
          </w:pPr>
          <w:r w:rsidRPr="00D908F1">
            <w:t>Facilities that dispose of wastewater by any of the following practices are not required to obtain coverage under this general permit nor an individual wastewater permit:</w:t>
          </w:r>
        </w:p>
        <w:p w14:paraId="0DA45EE3" w14:textId="443156A6" w:rsidR="00EA3109" w:rsidRPr="00D908F1" w:rsidRDefault="00541359" w:rsidP="00A8136D">
          <w:pPr>
            <w:pStyle w:val="ListNumber2"/>
          </w:pPr>
          <w:r w:rsidRPr="00D908F1">
            <w:t>r</w:t>
          </w:r>
          <w:r w:rsidR="0001346C" w:rsidRPr="00D908F1">
            <w:t>ecycling of the wastewater with no resulting discharge into or</w:t>
          </w:r>
          <w:r w:rsidR="00031D59" w:rsidRPr="00D908F1">
            <w:t xml:space="preserve"> adjacent to water in the state;</w:t>
          </w:r>
        </w:p>
        <w:p w14:paraId="75D8F23E" w14:textId="33C867AA" w:rsidR="00EA3109" w:rsidRPr="00D908F1" w:rsidRDefault="00541359" w:rsidP="00A8136D">
          <w:pPr>
            <w:pStyle w:val="ListNumber2"/>
          </w:pPr>
          <w:r w:rsidRPr="00D908F1">
            <w:t>p</w:t>
          </w:r>
          <w:r w:rsidR="0001346C" w:rsidRPr="00D908F1">
            <w:t>umping and hauling of the wastewater to an authorized disposal facility</w:t>
          </w:r>
          <w:r w:rsidR="00031D59" w:rsidRPr="00D908F1">
            <w:t>;</w:t>
          </w:r>
        </w:p>
        <w:p w14:paraId="1ED2352D" w14:textId="1CB7916A" w:rsidR="00EA3109" w:rsidRPr="00D908F1" w:rsidRDefault="00541359" w:rsidP="00A8136D">
          <w:pPr>
            <w:pStyle w:val="ListNumber2"/>
          </w:pPr>
          <w:r w:rsidRPr="00D908F1">
            <w:t>d</w:t>
          </w:r>
          <w:r w:rsidR="0001346C" w:rsidRPr="00D908F1">
            <w:t>ischarge to a publicly owned treatment work (POTW)</w:t>
          </w:r>
          <w:r w:rsidR="00031D59" w:rsidRPr="00D908F1">
            <w:t>;</w:t>
          </w:r>
        </w:p>
        <w:p w14:paraId="014ED48C" w14:textId="51A28C18" w:rsidR="00EA3109" w:rsidRPr="00D908F1" w:rsidRDefault="00541359" w:rsidP="00A8136D">
          <w:pPr>
            <w:pStyle w:val="ListNumber2"/>
          </w:pPr>
          <w:r w:rsidRPr="00D908F1">
            <w:t>u</w:t>
          </w:r>
          <w:r w:rsidR="0001346C" w:rsidRPr="00D908F1">
            <w:t>nderground injection in accordance with 30 TAC Chapter 331</w:t>
          </w:r>
          <w:r w:rsidRPr="00D908F1">
            <w:t xml:space="preserve">, </w:t>
          </w:r>
          <w:r w:rsidRPr="00D908F1">
            <w:rPr>
              <w:i/>
              <w:iCs/>
            </w:rPr>
            <w:t>Underground Injection Control</w:t>
          </w:r>
          <w:r w:rsidR="00031D59" w:rsidRPr="00D908F1">
            <w:t>; or</w:t>
          </w:r>
        </w:p>
        <w:p w14:paraId="483CA021" w14:textId="1FEF3385" w:rsidR="0001346C" w:rsidRPr="00D908F1" w:rsidRDefault="00541359" w:rsidP="00A8136D">
          <w:pPr>
            <w:pStyle w:val="ListNumber2"/>
          </w:pPr>
          <w:r w:rsidRPr="00D908F1">
            <w:t>d</w:t>
          </w:r>
          <w:r w:rsidR="0001346C" w:rsidRPr="00D908F1">
            <w:t>ischarge to above ground storage tanks with no resulting discharge into or adjacent to water in the state</w:t>
          </w:r>
          <w:r w:rsidR="00031D59" w:rsidRPr="00D908F1">
            <w:t>.</w:t>
          </w:r>
          <w:r w:rsidR="0001346C" w:rsidRPr="00D908F1">
            <w:t xml:space="preserve"> </w:t>
          </w:r>
        </w:p>
        <w:p w14:paraId="58D7DE57" w14:textId="5A3BEAC8" w:rsidR="002A5076" w:rsidRPr="00D908F1" w:rsidRDefault="0001346C" w:rsidP="00F5173B">
          <w:pPr>
            <w:pStyle w:val="Heading1"/>
          </w:pPr>
          <w:r w:rsidRPr="00D908F1">
            <w:t>IV.</w:t>
          </w:r>
          <w:r w:rsidRPr="00D908F1">
            <w:tab/>
          </w:r>
          <w:r w:rsidR="002A5076" w:rsidRPr="00D908F1">
            <w:t xml:space="preserve">Permit </w:t>
          </w:r>
          <w:r w:rsidR="002D097C" w:rsidRPr="00D908F1">
            <w:t xml:space="preserve">Conditions and </w:t>
          </w:r>
          <w:r w:rsidR="002A5076" w:rsidRPr="00D908F1">
            <w:t>Effluent Limitations</w:t>
          </w:r>
        </w:p>
        <w:p w14:paraId="6C79986E" w14:textId="77777777" w:rsidR="002A5076" w:rsidRPr="00D908F1" w:rsidRDefault="00B67613" w:rsidP="00A8136D">
          <w:pPr>
            <w:pStyle w:val="ListParagraph"/>
            <w:numPr>
              <w:ilvl w:val="0"/>
              <w:numId w:val="28"/>
            </w:numPr>
            <w:ind w:hanging="720"/>
          </w:pPr>
          <w:r w:rsidRPr="00D908F1">
            <w:t>The following effluent limita</w:t>
          </w:r>
          <w:r w:rsidR="002A5076" w:rsidRPr="00D908F1">
            <w:t xml:space="preserve">tions apply to </w:t>
          </w:r>
          <w:r w:rsidR="00B57B11" w:rsidRPr="00D908F1">
            <w:t>wastewater discharged into water in the state</w:t>
          </w:r>
          <w:r w:rsidR="0001346C" w:rsidRPr="00D908F1">
            <w:t>:</w:t>
          </w:r>
        </w:p>
        <w:tbl>
          <w:tblPr>
            <w:tblStyle w:val="TableGrid"/>
            <w:tblW w:w="9000" w:type="dxa"/>
            <w:tblInd w:w="805" w:type="dxa"/>
            <w:tblLayout w:type="fixed"/>
            <w:tblLook w:val="01E0" w:firstRow="1" w:lastRow="1" w:firstColumn="1" w:lastColumn="1" w:noHBand="0" w:noVBand="0"/>
          </w:tblPr>
          <w:tblGrid>
            <w:gridCol w:w="4590"/>
            <w:gridCol w:w="2250"/>
            <w:gridCol w:w="2160"/>
          </w:tblGrid>
          <w:tr w:rsidR="00B57B11" w:rsidRPr="00D908F1" w14:paraId="374F7859" w14:textId="77777777" w:rsidTr="003B591B">
            <w:trPr>
              <w:tblHeader/>
            </w:trPr>
            <w:tc>
              <w:tcPr>
                <w:tcW w:w="4590" w:type="dxa"/>
              </w:tcPr>
              <w:p w14:paraId="0FD99239" w14:textId="77777777" w:rsidR="00B57B11" w:rsidRPr="00D908F1" w:rsidRDefault="00B57B11" w:rsidP="00305C0A">
                <w:pPr>
                  <w:pStyle w:val="Default"/>
                  <w:tabs>
                    <w:tab w:val="left" w:pos="720"/>
                    <w:tab w:val="left" w:pos="1080"/>
                  </w:tabs>
                  <w:ind w:left="60"/>
                  <w:rPr>
                    <w:rFonts w:ascii="Lucida Bright" w:hAnsi="Lucida Bright"/>
                    <w:b/>
                    <w:color w:val="auto"/>
                    <w:sz w:val="22"/>
                    <w:szCs w:val="22"/>
                  </w:rPr>
                </w:pPr>
                <w:r w:rsidRPr="00D908F1">
                  <w:rPr>
                    <w:rFonts w:ascii="Lucida Bright" w:hAnsi="Lucida Bright"/>
                    <w:b/>
                    <w:color w:val="auto"/>
                    <w:sz w:val="22"/>
                    <w:szCs w:val="22"/>
                  </w:rPr>
                  <w:t>Parameter</w:t>
                </w:r>
              </w:p>
            </w:tc>
            <w:tc>
              <w:tcPr>
                <w:tcW w:w="2250" w:type="dxa"/>
              </w:tcPr>
              <w:p w14:paraId="28CB5BAA" w14:textId="77777777" w:rsidR="00B57B11" w:rsidRPr="00D908F1" w:rsidRDefault="00B57B11" w:rsidP="00305C0A">
                <w:pPr>
                  <w:pStyle w:val="Default"/>
                  <w:tabs>
                    <w:tab w:val="left" w:pos="720"/>
                    <w:tab w:val="left" w:pos="1080"/>
                  </w:tabs>
                  <w:ind w:left="60"/>
                  <w:rPr>
                    <w:rFonts w:ascii="Lucida Bright" w:hAnsi="Lucida Bright"/>
                    <w:b/>
                    <w:color w:val="auto"/>
                    <w:sz w:val="22"/>
                    <w:szCs w:val="22"/>
                  </w:rPr>
                </w:pPr>
                <w:r w:rsidRPr="00D908F1">
                  <w:rPr>
                    <w:rFonts w:ascii="Lucida Bright" w:hAnsi="Lucida Bright"/>
                    <w:b/>
                    <w:color w:val="auto"/>
                    <w:sz w:val="22"/>
                    <w:szCs w:val="22"/>
                  </w:rPr>
                  <w:t>Daily Average Limitations</w:t>
                </w:r>
              </w:p>
            </w:tc>
            <w:tc>
              <w:tcPr>
                <w:tcW w:w="2160" w:type="dxa"/>
              </w:tcPr>
              <w:p w14:paraId="1C886320" w14:textId="77777777" w:rsidR="00B57B11" w:rsidRPr="00D908F1" w:rsidRDefault="00B57B11" w:rsidP="00305C0A">
                <w:pPr>
                  <w:pStyle w:val="Default"/>
                  <w:tabs>
                    <w:tab w:val="left" w:pos="720"/>
                    <w:tab w:val="left" w:pos="1080"/>
                  </w:tabs>
                  <w:ind w:left="60"/>
                  <w:rPr>
                    <w:rFonts w:ascii="Lucida Bright" w:hAnsi="Lucida Bright"/>
                    <w:b/>
                    <w:color w:val="auto"/>
                    <w:sz w:val="22"/>
                    <w:szCs w:val="22"/>
                  </w:rPr>
                </w:pPr>
                <w:r w:rsidRPr="00D908F1">
                  <w:rPr>
                    <w:rFonts w:ascii="Lucida Bright" w:hAnsi="Lucida Bright"/>
                    <w:b/>
                    <w:color w:val="auto"/>
                    <w:sz w:val="22"/>
                    <w:szCs w:val="22"/>
                  </w:rPr>
                  <w:t>Daily Maximum Limitations</w:t>
                </w:r>
              </w:p>
            </w:tc>
          </w:tr>
          <w:tr w:rsidR="00B57B11" w:rsidRPr="00D908F1" w14:paraId="1410CF63" w14:textId="77777777" w:rsidTr="003B591B">
            <w:tc>
              <w:tcPr>
                <w:tcW w:w="4590" w:type="dxa"/>
              </w:tcPr>
              <w:p w14:paraId="7EC8D13C" w14:textId="613F342F"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Flow</w:t>
                </w:r>
                <w:r w:rsidR="00B24B38" w:rsidRPr="00D908F1">
                  <w:rPr>
                    <w:rFonts w:ascii="Lucida Bright" w:hAnsi="Lucida Bright"/>
                    <w:color w:val="auto"/>
                    <w:sz w:val="22"/>
                    <w:szCs w:val="22"/>
                  </w:rPr>
                  <w:t>, million gallons per day (MGD)</w:t>
                </w:r>
              </w:p>
            </w:tc>
            <w:tc>
              <w:tcPr>
                <w:tcW w:w="2250" w:type="dxa"/>
              </w:tcPr>
              <w:p w14:paraId="715E4043" w14:textId="1D1EC154"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Report</w:t>
                </w:r>
              </w:p>
            </w:tc>
            <w:tc>
              <w:tcPr>
                <w:tcW w:w="2160" w:type="dxa"/>
              </w:tcPr>
              <w:p w14:paraId="3698841B" w14:textId="7EF93F0F"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Report</w:t>
                </w:r>
              </w:p>
            </w:tc>
          </w:tr>
          <w:tr w:rsidR="00B57B11" w:rsidRPr="00D908F1" w14:paraId="555487AB" w14:textId="77777777" w:rsidTr="003B591B">
            <w:tc>
              <w:tcPr>
                <w:tcW w:w="4590" w:type="dxa"/>
              </w:tcPr>
              <w:p w14:paraId="63F0B8B1"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Total Suspended Solids (TSS)</w:t>
                </w:r>
              </w:p>
            </w:tc>
            <w:tc>
              <w:tcPr>
                <w:tcW w:w="2250" w:type="dxa"/>
              </w:tcPr>
              <w:p w14:paraId="24EA5331"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25 mg/l</w:t>
                </w:r>
              </w:p>
            </w:tc>
            <w:tc>
              <w:tcPr>
                <w:tcW w:w="2160" w:type="dxa"/>
              </w:tcPr>
              <w:p w14:paraId="4C864010"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45 mg/l</w:t>
                </w:r>
              </w:p>
            </w:tc>
          </w:tr>
          <w:tr w:rsidR="00B57B11" w:rsidRPr="00D908F1" w14:paraId="7F46BB84" w14:textId="77777777" w:rsidTr="003B591B">
            <w:tc>
              <w:tcPr>
                <w:tcW w:w="4590" w:type="dxa"/>
              </w:tcPr>
              <w:p w14:paraId="26E58D81" w14:textId="3CD70279"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pH</w:t>
                </w:r>
                <w:r w:rsidR="009F5FD9" w:rsidRPr="00D908F1">
                  <w:rPr>
                    <w:rFonts w:ascii="Lucida Bright" w:hAnsi="Lucida Bright"/>
                    <w:color w:val="auto"/>
                    <w:sz w:val="22"/>
                    <w:szCs w:val="22"/>
                  </w:rPr>
                  <w:t>, Standard Units (S.U.)</w:t>
                </w:r>
              </w:p>
            </w:tc>
            <w:tc>
              <w:tcPr>
                <w:tcW w:w="2250" w:type="dxa"/>
              </w:tcPr>
              <w:p w14:paraId="4F72544C"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NA</w:t>
                </w:r>
              </w:p>
            </w:tc>
            <w:tc>
              <w:tcPr>
                <w:tcW w:w="2160" w:type="dxa"/>
              </w:tcPr>
              <w:p w14:paraId="7018B78E" w14:textId="083298DC"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 xml:space="preserve">6.0 – 9.0 </w:t>
                </w:r>
                <w:r w:rsidR="009F5FD9" w:rsidRPr="00D908F1">
                  <w:rPr>
                    <w:rFonts w:ascii="Lucida Bright" w:hAnsi="Lucida Bright"/>
                    <w:color w:val="auto"/>
                    <w:sz w:val="22"/>
                    <w:szCs w:val="22"/>
                  </w:rPr>
                  <w:t>S.U.</w:t>
                </w:r>
              </w:p>
            </w:tc>
          </w:tr>
          <w:tr w:rsidR="002900FE" w:rsidRPr="00D908F1" w14:paraId="2E1E1607" w14:textId="77777777" w:rsidTr="003B591B">
            <w:tc>
              <w:tcPr>
                <w:tcW w:w="4590" w:type="dxa"/>
                <w:vAlign w:val="center"/>
              </w:tcPr>
              <w:p w14:paraId="30799A78" w14:textId="3EF3E543" w:rsidR="002900FE" w:rsidRPr="00D908F1" w:rsidRDefault="002900FE" w:rsidP="002900FE">
                <w:pPr>
                  <w:pStyle w:val="Default"/>
                  <w:tabs>
                    <w:tab w:val="left" w:pos="720"/>
                    <w:tab w:val="left" w:pos="1080"/>
                  </w:tabs>
                  <w:ind w:left="60"/>
                  <w:rPr>
                    <w:rFonts w:ascii="Lucida Bright" w:hAnsi="Lucida Bright"/>
                    <w:color w:val="auto"/>
                    <w:sz w:val="22"/>
                    <w:szCs w:val="22"/>
                  </w:rPr>
                </w:pPr>
                <w:r w:rsidRPr="00D908F1">
                  <w:rPr>
                    <w:rFonts w:ascii="Lucida Bright" w:hAnsi="Lucida Bright"/>
                    <w:sz w:val="22"/>
                    <w:szCs w:val="22"/>
                  </w:rPr>
                  <w:t>Total Chlorine Residual</w:t>
                </w:r>
                <w:r w:rsidR="001C4AB7" w:rsidRPr="00D908F1">
                  <w:rPr>
                    <w:rFonts w:ascii="Lucida Bright" w:hAnsi="Lucida Bright"/>
                  </w:rPr>
                  <w:t xml:space="preserve"> </w:t>
                </w:r>
                <w:r w:rsidR="001C4AB7" w:rsidRPr="00D908F1">
                  <w:rPr>
                    <w:rFonts w:ascii="Lucida Bright" w:hAnsi="Lucida Bright"/>
                    <w:vertAlign w:val="superscript"/>
                  </w:rPr>
                  <w:t>1</w:t>
                </w:r>
              </w:p>
            </w:tc>
            <w:tc>
              <w:tcPr>
                <w:tcW w:w="2250" w:type="dxa"/>
                <w:vAlign w:val="center"/>
              </w:tcPr>
              <w:p w14:paraId="4427C76F" w14:textId="30AF0BFC" w:rsidR="002900FE" w:rsidRPr="00D908F1" w:rsidRDefault="002900FE" w:rsidP="002900FE">
                <w:pPr>
                  <w:pStyle w:val="Default"/>
                  <w:tabs>
                    <w:tab w:val="left" w:pos="720"/>
                    <w:tab w:val="left" w:pos="1080"/>
                  </w:tabs>
                  <w:ind w:left="60"/>
                  <w:rPr>
                    <w:rFonts w:ascii="Lucida Bright" w:hAnsi="Lucida Bright"/>
                    <w:color w:val="auto"/>
                    <w:sz w:val="22"/>
                    <w:szCs w:val="22"/>
                  </w:rPr>
                </w:pPr>
                <w:r w:rsidRPr="00D908F1">
                  <w:rPr>
                    <w:rFonts w:ascii="Lucida Bright" w:hAnsi="Lucida Bright"/>
                    <w:sz w:val="22"/>
                    <w:szCs w:val="22"/>
                  </w:rPr>
                  <w:t>NA</w:t>
                </w:r>
              </w:p>
            </w:tc>
            <w:tc>
              <w:tcPr>
                <w:tcW w:w="2160" w:type="dxa"/>
                <w:vAlign w:val="center"/>
              </w:tcPr>
              <w:p w14:paraId="451ABEFF" w14:textId="466B7F77" w:rsidR="002900FE" w:rsidRPr="00D908F1" w:rsidRDefault="002900FE" w:rsidP="002900FE">
                <w:pPr>
                  <w:pStyle w:val="Default"/>
                  <w:tabs>
                    <w:tab w:val="left" w:pos="720"/>
                    <w:tab w:val="left" w:pos="1080"/>
                  </w:tabs>
                  <w:ind w:left="60"/>
                  <w:rPr>
                    <w:rFonts w:ascii="Lucida Bright" w:hAnsi="Lucida Bright"/>
                    <w:color w:val="auto"/>
                    <w:sz w:val="22"/>
                    <w:szCs w:val="22"/>
                  </w:rPr>
                </w:pPr>
                <w:r w:rsidRPr="00D908F1">
                  <w:rPr>
                    <w:rFonts w:ascii="Lucida Bright" w:hAnsi="Lucida Bright"/>
                    <w:sz w:val="22"/>
                    <w:szCs w:val="22"/>
                  </w:rPr>
                  <w:t>0.1 mg/l</w:t>
                </w:r>
              </w:p>
            </w:tc>
          </w:tr>
        </w:tbl>
        <w:p w14:paraId="3F70860C" w14:textId="4A012640" w:rsidR="001C4AB7" w:rsidRPr="00A8136D" w:rsidRDefault="001C4AB7" w:rsidP="00A8136D">
          <w:pPr>
            <w:ind w:left="810"/>
            <w:rPr>
              <w:rFonts w:ascii="Lucida Bright" w:hAnsi="Lucida Bright"/>
            </w:rPr>
          </w:pPr>
          <w:r w:rsidRPr="00A8136D">
            <w:rPr>
              <w:rFonts w:ascii="Lucida Bright" w:hAnsi="Lucida Bright"/>
              <w:b/>
              <w:bCs/>
              <w:vertAlign w:val="superscript"/>
            </w:rPr>
            <w:t>1</w:t>
          </w:r>
          <w:r w:rsidRPr="00A8136D">
            <w:rPr>
              <w:rFonts w:ascii="Lucida Bright" w:hAnsi="Lucida Bright"/>
            </w:rPr>
            <w:t xml:space="preserve"> When chlorinating.</w:t>
          </w:r>
        </w:p>
        <w:p w14:paraId="7ED1DC95" w14:textId="4F1E488F" w:rsidR="002D097C" w:rsidRPr="00A8136D" w:rsidRDefault="00B57B11" w:rsidP="00A8136D">
          <w:pPr>
            <w:spacing w:before="240"/>
            <w:ind w:left="810"/>
            <w:rPr>
              <w:rFonts w:ascii="Lucida Bright" w:hAnsi="Lucida Bright"/>
            </w:rPr>
          </w:pPr>
          <w:r w:rsidRPr="00A8136D">
            <w:rPr>
              <w:rFonts w:ascii="Lucida Bright" w:hAnsi="Lucida Bright"/>
            </w:rPr>
            <w:t>Monitoring Frequency and Sample Type are based on outfall Daily Average Flow, as follows:</w:t>
          </w:r>
        </w:p>
        <w:tbl>
          <w:tblPr>
            <w:tblStyle w:val="TableGrid"/>
            <w:tblW w:w="8993" w:type="dxa"/>
            <w:tblInd w:w="828" w:type="dxa"/>
            <w:tblLook w:val="04A0" w:firstRow="1" w:lastRow="0" w:firstColumn="1" w:lastColumn="0" w:noHBand="0" w:noVBand="1"/>
          </w:tblPr>
          <w:tblGrid>
            <w:gridCol w:w="3037"/>
            <w:gridCol w:w="1999"/>
            <w:gridCol w:w="1977"/>
            <w:gridCol w:w="1980"/>
          </w:tblGrid>
          <w:tr w:rsidR="002D097C" w:rsidRPr="00D908F1" w14:paraId="41E8DDB7" w14:textId="77777777" w:rsidTr="003B591B">
            <w:trPr>
              <w:tblHeader/>
            </w:trPr>
            <w:tc>
              <w:tcPr>
                <w:tcW w:w="3037" w:type="dxa"/>
              </w:tcPr>
              <w:p w14:paraId="23D397E7" w14:textId="77777777"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Parameter</w:t>
                </w:r>
              </w:p>
            </w:tc>
            <w:tc>
              <w:tcPr>
                <w:tcW w:w="1999" w:type="dxa"/>
              </w:tcPr>
              <w:p w14:paraId="0777305E" w14:textId="6DB39E9F"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Daily Avg Flow &lt; 1</w:t>
                </w:r>
                <w:r w:rsidR="00113DF6" w:rsidRPr="00D908F1">
                  <w:rPr>
                    <w:rFonts w:ascii="Lucida Bright" w:hAnsi="Lucida Bright"/>
                    <w:b/>
                  </w:rPr>
                  <w:t>.0</w:t>
                </w:r>
                <w:r w:rsidRPr="00D908F1">
                  <w:rPr>
                    <w:rFonts w:ascii="Lucida Bright" w:hAnsi="Lucida Bright"/>
                    <w:b/>
                  </w:rPr>
                  <w:t xml:space="preserve"> MGD</w:t>
                </w:r>
              </w:p>
            </w:tc>
            <w:tc>
              <w:tcPr>
                <w:tcW w:w="1977" w:type="dxa"/>
              </w:tcPr>
              <w:p w14:paraId="02874983" w14:textId="0E860AFF"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Daily Avg Flow ≥ 1</w:t>
                </w:r>
                <w:r w:rsidR="00113DF6" w:rsidRPr="00D908F1">
                  <w:rPr>
                    <w:rFonts w:ascii="Lucida Bright" w:hAnsi="Lucida Bright"/>
                    <w:b/>
                  </w:rPr>
                  <w:t>.0</w:t>
                </w:r>
                <w:r w:rsidRPr="00D908F1">
                  <w:rPr>
                    <w:rFonts w:ascii="Lucida Bright" w:hAnsi="Lucida Bright"/>
                    <w:b/>
                  </w:rPr>
                  <w:t xml:space="preserve"> MGD and </w:t>
                </w:r>
              </w:p>
              <w:p w14:paraId="1B1BE562" w14:textId="615E7E81"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&lt; 5</w:t>
                </w:r>
                <w:r w:rsidR="00113DF6" w:rsidRPr="00D908F1">
                  <w:rPr>
                    <w:rFonts w:ascii="Lucida Bright" w:hAnsi="Lucida Bright"/>
                    <w:b/>
                  </w:rPr>
                  <w:t>.0</w:t>
                </w:r>
                <w:r w:rsidRPr="00D908F1">
                  <w:rPr>
                    <w:rFonts w:ascii="Lucida Bright" w:hAnsi="Lucida Bright"/>
                    <w:b/>
                  </w:rPr>
                  <w:t xml:space="preserve"> MGD</w:t>
                </w:r>
              </w:p>
            </w:tc>
            <w:tc>
              <w:tcPr>
                <w:tcW w:w="1980" w:type="dxa"/>
              </w:tcPr>
              <w:p w14:paraId="183B9C53" w14:textId="74F1CE6A"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Daily Avg Flow ≥ 5</w:t>
                </w:r>
                <w:r w:rsidR="00113DF6" w:rsidRPr="00D908F1">
                  <w:rPr>
                    <w:rFonts w:ascii="Lucida Bright" w:hAnsi="Lucida Bright"/>
                    <w:b/>
                  </w:rPr>
                  <w:t>.0</w:t>
                </w:r>
                <w:r w:rsidRPr="00D908F1">
                  <w:rPr>
                    <w:rFonts w:ascii="Lucida Bright" w:hAnsi="Lucida Bright"/>
                    <w:b/>
                  </w:rPr>
                  <w:t xml:space="preserve"> MGD</w:t>
                </w:r>
              </w:p>
            </w:tc>
          </w:tr>
          <w:tr w:rsidR="002D097C" w:rsidRPr="00D908F1" w14:paraId="65F5D4D9" w14:textId="77777777" w:rsidTr="003B591B">
            <w:tc>
              <w:tcPr>
                <w:tcW w:w="3037" w:type="dxa"/>
                <w:vAlign w:val="center"/>
              </w:tcPr>
              <w:p w14:paraId="1D8E8CD9" w14:textId="4AC5F51A"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Flow</w:t>
                </w:r>
                <w:r w:rsidR="00541359" w:rsidRPr="00D908F1">
                  <w:rPr>
                    <w:rFonts w:ascii="Lucida Bright" w:hAnsi="Lucida Bright"/>
                  </w:rPr>
                  <w:t xml:space="preserve"> </w:t>
                </w:r>
                <w:bookmarkStart w:id="3" w:name="_Hlk170816576"/>
                <w:r w:rsidR="00541359" w:rsidRPr="00D908F1">
                  <w:rPr>
                    <w:rFonts w:ascii="Lucida Bright" w:hAnsi="Lucida Bright"/>
                    <w:b/>
                    <w:bCs/>
                    <w:vertAlign w:val="superscript"/>
                  </w:rPr>
                  <w:t>1</w:t>
                </w:r>
                <w:bookmarkEnd w:id="3"/>
              </w:p>
            </w:tc>
            <w:tc>
              <w:tcPr>
                <w:tcW w:w="1999" w:type="dxa"/>
              </w:tcPr>
              <w:p w14:paraId="00BE32BC" w14:textId="2ACA1BF2"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1BACF7DE"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Instantaneous</w:t>
                </w:r>
              </w:p>
            </w:tc>
            <w:tc>
              <w:tcPr>
                <w:tcW w:w="1977" w:type="dxa"/>
              </w:tcPr>
              <w:p w14:paraId="55ADC183" w14:textId="37E53132"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05E596F9"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Totalizing Meter</w:t>
                </w:r>
              </w:p>
            </w:tc>
            <w:tc>
              <w:tcPr>
                <w:tcW w:w="1980" w:type="dxa"/>
              </w:tcPr>
              <w:p w14:paraId="53DD781E" w14:textId="1A5CEEAC"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7255F06F"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Totalizing Meter</w:t>
                </w:r>
              </w:p>
            </w:tc>
          </w:tr>
          <w:tr w:rsidR="002D097C" w:rsidRPr="00D908F1" w14:paraId="1481687B" w14:textId="77777777" w:rsidTr="003B591B">
            <w:tc>
              <w:tcPr>
                <w:tcW w:w="3037" w:type="dxa"/>
                <w:vAlign w:val="center"/>
              </w:tcPr>
              <w:p w14:paraId="22F372DC" w14:textId="10ECD82E"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TSS</w:t>
                </w:r>
                <w:r w:rsidR="00541359" w:rsidRPr="00D908F1">
                  <w:rPr>
                    <w:rFonts w:ascii="Lucida Bright" w:hAnsi="Lucida Bright"/>
                  </w:rPr>
                  <w:t xml:space="preserve"> </w:t>
                </w:r>
                <w:r w:rsidR="00541359" w:rsidRPr="00D908F1">
                  <w:rPr>
                    <w:rFonts w:ascii="Lucida Bright" w:hAnsi="Lucida Bright"/>
                    <w:b/>
                    <w:bCs/>
                    <w:vertAlign w:val="superscript"/>
                  </w:rPr>
                  <w:t>1</w:t>
                </w:r>
              </w:p>
            </w:tc>
            <w:tc>
              <w:tcPr>
                <w:tcW w:w="1999" w:type="dxa"/>
              </w:tcPr>
              <w:p w14:paraId="708A1638" w14:textId="214E1DCF"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One/week</w:t>
                </w:r>
              </w:p>
              <w:p w14:paraId="7C835A4D"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Composite</w:t>
                </w:r>
              </w:p>
            </w:tc>
            <w:tc>
              <w:tcPr>
                <w:tcW w:w="1977" w:type="dxa"/>
              </w:tcPr>
              <w:p w14:paraId="562C34D5" w14:textId="7082E890"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Two/week</w:t>
                </w:r>
              </w:p>
              <w:p w14:paraId="78F3A8C4"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Composite</w:t>
                </w:r>
              </w:p>
            </w:tc>
            <w:tc>
              <w:tcPr>
                <w:tcW w:w="1980" w:type="dxa"/>
              </w:tcPr>
              <w:p w14:paraId="369E5BCB" w14:textId="103E717D"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Two/week</w:t>
                </w:r>
              </w:p>
              <w:p w14:paraId="7434467F"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Composite</w:t>
                </w:r>
              </w:p>
            </w:tc>
          </w:tr>
          <w:tr w:rsidR="002D097C" w:rsidRPr="00D908F1" w14:paraId="378BE263" w14:textId="77777777" w:rsidTr="003B591B">
            <w:tc>
              <w:tcPr>
                <w:tcW w:w="3037" w:type="dxa"/>
                <w:vAlign w:val="center"/>
              </w:tcPr>
              <w:p w14:paraId="4391F15A" w14:textId="289FC28F"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pH</w:t>
                </w:r>
                <w:r w:rsidR="00541359" w:rsidRPr="00D908F1">
                  <w:rPr>
                    <w:rFonts w:ascii="Lucida Bright" w:hAnsi="Lucida Bright"/>
                  </w:rPr>
                  <w:t xml:space="preserve"> </w:t>
                </w:r>
                <w:r w:rsidR="00541359" w:rsidRPr="00D908F1">
                  <w:rPr>
                    <w:rFonts w:ascii="Lucida Bright" w:hAnsi="Lucida Bright"/>
                    <w:b/>
                    <w:bCs/>
                    <w:vertAlign w:val="superscript"/>
                  </w:rPr>
                  <w:t>1</w:t>
                </w:r>
              </w:p>
            </w:tc>
            <w:tc>
              <w:tcPr>
                <w:tcW w:w="1999" w:type="dxa"/>
              </w:tcPr>
              <w:p w14:paraId="50E4EC26" w14:textId="45BB470E"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One/month</w:t>
                </w:r>
              </w:p>
              <w:p w14:paraId="79446191"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Grab</w:t>
                </w:r>
              </w:p>
            </w:tc>
            <w:tc>
              <w:tcPr>
                <w:tcW w:w="1977" w:type="dxa"/>
              </w:tcPr>
              <w:p w14:paraId="4F5FE9DE" w14:textId="294E6F7C"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One/week</w:t>
                </w:r>
              </w:p>
              <w:p w14:paraId="2D9BBC98"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Grab</w:t>
                </w:r>
              </w:p>
            </w:tc>
            <w:tc>
              <w:tcPr>
                <w:tcW w:w="1980" w:type="dxa"/>
              </w:tcPr>
              <w:p w14:paraId="4A9EEFFB" w14:textId="31BF7932"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4E694514"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Grab</w:t>
                </w:r>
              </w:p>
            </w:tc>
          </w:tr>
          <w:tr w:rsidR="00CC2B62" w:rsidRPr="00D908F1" w14:paraId="1E784D66" w14:textId="77777777" w:rsidTr="003B591B">
            <w:tc>
              <w:tcPr>
                <w:tcW w:w="3037" w:type="dxa"/>
                <w:vAlign w:val="center"/>
              </w:tcPr>
              <w:p w14:paraId="087493C0" w14:textId="5ADF45DB"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 xml:space="preserve">Total Chlorine Residual </w:t>
                </w:r>
                <w:r w:rsidRPr="00D908F1">
                  <w:rPr>
                    <w:rFonts w:ascii="Lucida Bright" w:hAnsi="Lucida Bright"/>
                    <w:vertAlign w:val="superscript"/>
                  </w:rPr>
                  <w:t>1</w:t>
                </w:r>
              </w:p>
            </w:tc>
            <w:tc>
              <w:tcPr>
                <w:tcW w:w="1999" w:type="dxa"/>
                <w:vAlign w:val="center"/>
              </w:tcPr>
              <w:p w14:paraId="4287BAC0" w14:textId="77777777" w:rsidR="00CC2B62" w:rsidRPr="00D908F1" w:rsidRDefault="00CC2B62" w:rsidP="00CC2B62">
                <w:pPr>
                  <w:pStyle w:val="BodyText1"/>
                  <w:rPr>
                    <w:rFonts w:ascii="Lucida Bright" w:hAnsi="Lucida Bright"/>
                  </w:rPr>
                </w:pPr>
                <w:r w:rsidRPr="00D908F1">
                  <w:rPr>
                    <w:rFonts w:ascii="Lucida Bright" w:hAnsi="Lucida Bright"/>
                  </w:rPr>
                  <w:t>Five/week</w:t>
                </w:r>
              </w:p>
              <w:p w14:paraId="7B54DA9A" w14:textId="6C142992"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Grab</w:t>
                </w:r>
              </w:p>
            </w:tc>
            <w:tc>
              <w:tcPr>
                <w:tcW w:w="1977" w:type="dxa"/>
                <w:vAlign w:val="center"/>
              </w:tcPr>
              <w:p w14:paraId="5C8BAD5D" w14:textId="77777777" w:rsidR="00CC2B62" w:rsidRPr="00D908F1" w:rsidRDefault="00CC2B62" w:rsidP="00CC2B62">
                <w:pPr>
                  <w:pStyle w:val="BodyText1"/>
                  <w:rPr>
                    <w:rFonts w:ascii="Lucida Bright" w:hAnsi="Lucida Bright"/>
                  </w:rPr>
                </w:pPr>
                <w:r w:rsidRPr="00D908F1">
                  <w:rPr>
                    <w:rFonts w:ascii="Lucida Bright" w:hAnsi="Lucida Bright"/>
                  </w:rPr>
                  <w:t>One/day</w:t>
                </w:r>
              </w:p>
              <w:p w14:paraId="01534C72" w14:textId="7586B534"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Grab</w:t>
                </w:r>
              </w:p>
            </w:tc>
            <w:tc>
              <w:tcPr>
                <w:tcW w:w="1980" w:type="dxa"/>
                <w:vAlign w:val="center"/>
              </w:tcPr>
              <w:p w14:paraId="4BE285B9" w14:textId="77777777" w:rsidR="00CC2B62" w:rsidRPr="00D908F1" w:rsidRDefault="00CC2B62" w:rsidP="00CC2B62">
                <w:pPr>
                  <w:pStyle w:val="BodyText1"/>
                  <w:rPr>
                    <w:rFonts w:ascii="Lucida Bright" w:hAnsi="Lucida Bright"/>
                  </w:rPr>
                </w:pPr>
                <w:r w:rsidRPr="00D908F1">
                  <w:rPr>
                    <w:rFonts w:ascii="Lucida Bright" w:hAnsi="Lucida Bright"/>
                  </w:rPr>
                  <w:t>One/day</w:t>
                </w:r>
              </w:p>
              <w:p w14:paraId="73A866AF" w14:textId="4C30F188"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Grab</w:t>
                </w:r>
              </w:p>
            </w:tc>
          </w:tr>
        </w:tbl>
        <w:p w14:paraId="5C38BCB0" w14:textId="77ED8B28" w:rsidR="00931931" w:rsidRPr="00A8136D" w:rsidRDefault="00541359" w:rsidP="00A8136D">
          <w:pPr>
            <w:ind w:left="810"/>
            <w:rPr>
              <w:rFonts w:ascii="Lucida Bright" w:hAnsi="Lucida Bright"/>
            </w:rPr>
          </w:pPr>
          <w:r w:rsidRPr="00A8136D">
            <w:rPr>
              <w:rFonts w:ascii="Lucida Bright" w:hAnsi="Lucida Bright"/>
              <w:b/>
              <w:bCs/>
              <w:vertAlign w:val="superscript"/>
            </w:rPr>
            <w:t>1</w:t>
          </w:r>
          <w:r w:rsidR="00931931" w:rsidRPr="00A8136D">
            <w:rPr>
              <w:rFonts w:ascii="Lucida Bright" w:hAnsi="Lucida Bright"/>
            </w:rPr>
            <w:t xml:space="preserve"> When </w:t>
          </w:r>
          <w:r w:rsidR="001C4AB7" w:rsidRPr="00A8136D">
            <w:rPr>
              <w:rFonts w:ascii="Lucida Bright" w:hAnsi="Lucida Bright"/>
            </w:rPr>
            <w:t>d</w:t>
          </w:r>
          <w:r w:rsidR="00931931" w:rsidRPr="00A8136D">
            <w:rPr>
              <w:rFonts w:ascii="Lucida Bright" w:hAnsi="Lucida Bright"/>
            </w:rPr>
            <w:t>ischarging</w:t>
          </w:r>
          <w:r w:rsidR="001C4AB7" w:rsidRPr="00A8136D">
            <w:rPr>
              <w:rFonts w:ascii="Lucida Bright" w:hAnsi="Lucida Bright"/>
            </w:rPr>
            <w:t>.</w:t>
          </w:r>
        </w:p>
        <w:p w14:paraId="38CACDF1" w14:textId="0DF12AB2" w:rsidR="002D097C" w:rsidRPr="00D908F1" w:rsidRDefault="002D097C" w:rsidP="00A8136D">
          <w:pPr>
            <w:pStyle w:val="ListNumber"/>
          </w:pPr>
          <w:r w:rsidRPr="00D908F1">
            <w:t>The general permit require</w:t>
          </w:r>
          <w:r w:rsidR="00305C0A" w:rsidRPr="00D908F1">
            <w:t>s</w:t>
          </w:r>
          <w:r w:rsidRPr="00D908F1">
            <w:t xml:space="preserve"> permittees to handle and dispose of water treatment </w:t>
          </w:r>
          <w:r w:rsidR="008E0844">
            <w:t>residuals</w:t>
          </w:r>
          <w:r w:rsidRPr="00D908F1">
            <w:t xml:space="preserve"> in accordance with 30 TAC Chapter 312 Subchapter F or 30 TAC Chapter 330, depending on the method of final disposition, and all other applicable state and federal regulations. Water treatment </w:t>
          </w:r>
          <w:r w:rsidR="008E0844">
            <w:t>residuals</w:t>
          </w:r>
          <w:r w:rsidRPr="00D908F1">
            <w:t xml:space="preserve"> must be analyzed for Toxicity Characteristic Leaching Procedure prior to disposal but not more than once per year.</w:t>
          </w:r>
        </w:p>
        <w:p w14:paraId="005DA975" w14:textId="77777777" w:rsidR="002D097C" w:rsidRPr="00D908F1" w:rsidRDefault="002D097C" w:rsidP="00A8136D">
          <w:pPr>
            <w:pStyle w:val="ListNumber"/>
          </w:pPr>
          <w:r w:rsidRPr="00D908F1">
            <w:t>Discharges adjacent to water in the state (ie. land application of wastewater) must comply with the following:</w:t>
          </w:r>
        </w:p>
        <w:p w14:paraId="243AA421" w14:textId="07EC1B3F" w:rsidR="002D097C" w:rsidRPr="00D908F1" w:rsidRDefault="002D097C" w:rsidP="00A8136D">
          <w:pPr>
            <w:pStyle w:val="ListNumber2"/>
          </w:pPr>
          <w:r w:rsidRPr="00D908F1">
            <w:t xml:space="preserve">Land application shall not occur when the ground is frozen, the ground has standing water, the ground is saturated, during rainfall events, or within 24 hours </w:t>
          </w:r>
          <w:r w:rsidR="00385B3B" w:rsidRPr="00D908F1">
            <w:t>after</w:t>
          </w:r>
          <w:r w:rsidRPr="00D908F1">
            <w:t xml:space="preserve"> a rainfall event of 0.5 inch or greater during a 24-hour period.</w:t>
          </w:r>
        </w:p>
        <w:p w14:paraId="78B7496C" w14:textId="77777777" w:rsidR="002D097C" w:rsidRPr="00D908F1" w:rsidRDefault="002D097C" w:rsidP="00A8136D">
          <w:pPr>
            <w:pStyle w:val="ListNumber2"/>
          </w:pPr>
          <w:r w:rsidRPr="00D908F1">
            <w:t>Land application shall not result in runoff, ponding of effluent, contamination of ground and surface waters, or occurrence of nuisance conditions in the area.</w:t>
          </w:r>
        </w:p>
        <w:p w14:paraId="2A88AEBE" w14:textId="77777777" w:rsidR="002D097C" w:rsidRPr="00D908F1" w:rsidRDefault="002D097C" w:rsidP="00A8136D">
          <w:pPr>
            <w:pStyle w:val="ListNumber2"/>
          </w:pPr>
          <w:r w:rsidRPr="00D908F1">
            <w:t xml:space="preserve">Land application rates shall not exceed 1.6 acre-feet per year per acre irrigated. </w:t>
          </w:r>
        </w:p>
        <w:p w14:paraId="3B0C58FE" w14:textId="38E3D060" w:rsidR="002D097C" w:rsidRPr="00D908F1" w:rsidRDefault="002D097C" w:rsidP="00A8136D">
          <w:pPr>
            <w:pStyle w:val="ListNumber2"/>
          </w:pPr>
          <w:r w:rsidRPr="00D908F1">
            <w:t xml:space="preserve">The permittee is responsible for providing equipment to determine application rates and maintaining accurate records of the volume of wastewater applied. </w:t>
          </w:r>
        </w:p>
        <w:p w14:paraId="63BEDC44" w14:textId="7B0CEC33" w:rsidR="002D097C" w:rsidRPr="00D908F1" w:rsidRDefault="002D097C" w:rsidP="00A8136D">
          <w:pPr>
            <w:pStyle w:val="ListNumber2"/>
          </w:pPr>
          <w:r w:rsidRPr="00D908F1">
            <w:t>The permittee shall annually collect a representative soil sample from each irrigation area</w:t>
          </w:r>
          <w:r w:rsidR="00385B3B" w:rsidRPr="00D908F1">
            <w:t xml:space="preserve"> that received wastewater application during the year</w:t>
          </w:r>
          <w:r w:rsidRPr="00D908F1">
            <w:t xml:space="preserve">. Soil samples shall be analyzed for pH, </w:t>
          </w:r>
          <w:r w:rsidR="00385B3B" w:rsidRPr="00D908F1">
            <w:t xml:space="preserve">conductivity, nitrate-nitrogen, total </w:t>
          </w:r>
          <w:r w:rsidR="002D108F">
            <w:t>K</w:t>
          </w:r>
          <w:r w:rsidR="00385B3B" w:rsidRPr="00D908F1">
            <w:t xml:space="preserve">jeldahl nitrogen, </w:t>
          </w:r>
          <w:r w:rsidRPr="00D908F1">
            <w:t xml:space="preserve">total nitrogen, </w:t>
          </w:r>
          <w:r w:rsidR="00385B3B" w:rsidRPr="00D908F1">
            <w:t xml:space="preserve">phosphorus, and </w:t>
          </w:r>
          <w:r w:rsidRPr="00D908F1">
            <w:t xml:space="preserve">potassium. </w:t>
          </w:r>
        </w:p>
        <w:p w14:paraId="2C150E4C" w14:textId="77A9AAE1" w:rsidR="002D097C" w:rsidRPr="00D908F1" w:rsidRDefault="002D097C" w:rsidP="00A8136D">
          <w:pPr>
            <w:pStyle w:val="ListNumber2"/>
          </w:pPr>
          <w:r w:rsidRPr="00D908F1">
            <w:t xml:space="preserve">The permittee shall own the land application </w:t>
          </w:r>
          <w:r w:rsidR="00385B3B" w:rsidRPr="00D908F1">
            <w:t>area</w:t>
          </w:r>
          <w:r w:rsidRPr="00D908F1">
            <w:t xml:space="preserve"> or maintain a long-term contract with the owner(s) of the land application </w:t>
          </w:r>
          <w:r w:rsidR="00385B3B" w:rsidRPr="00D908F1">
            <w:t>area</w:t>
          </w:r>
          <w:r w:rsidRPr="00D908F1">
            <w:t>.</w:t>
          </w:r>
        </w:p>
        <w:p w14:paraId="3ED23B2C" w14:textId="77777777" w:rsidR="002D097C" w:rsidRPr="00D908F1" w:rsidRDefault="002D097C" w:rsidP="00A8136D">
          <w:pPr>
            <w:pStyle w:val="ListNumber2"/>
          </w:pPr>
          <w:r w:rsidRPr="00D908F1">
            <w:t xml:space="preserve">Adequate signs shall be erected stating that the irrigation water is from a non-potable water supply. </w:t>
          </w:r>
        </w:p>
        <w:p w14:paraId="2234DE5A" w14:textId="77777777" w:rsidR="002D097C" w:rsidRPr="00D908F1" w:rsidRDefault="002D097C" w:rsidP="00A8136D">
          <w:pPr>
            <w:pStyle w:val="ListNumber2"/>
          </w:pPr>
          <w:r w:rsidRPr="00D908F1">
            <w:t>Spray fixtures for the irrigation system shall be of such design that they cannot be operated by unauthorized personnel.</w:t>
          </w:r>
        </w:p>
        <w:p w14:paraId="6142F497" w14:textId="77777777" w:rsidR="002D097C" w:rsidRPr="00D908F1" w:rsidRDefault="002D097C" w:rsidP="00A8136D">
          <w:pPr>
            <w:pStyle w:val="ListNumber2"/>
          </w:pPr>
          <w:r w:rsidRPr="00D908F1">
            <w:t>Land application shall be accomplished only when the irrigation area is not in use.</w:t>
          </w:r>
        </w:p>
        <w:p w14:paraId="60AE3326" w14:textId="77777777" w:rsidR="002D097C" w:rsidRPr="00D908F1" w:rsidRDefault="002D097C" w:rsidP="00A8136D">
          <w:pPr>
            <w:pStyle w:val="ListNumber2"/>
          </w:pPr>
          <w:r w:rsidRPr="00D908F1">
            <w:t>Permanent transmission lines shall be installed from the holding pond to each tract of land to be irrigated from that pond.</w:t>
          </w:r>
        </w:p>
        <w:p w14:paraId="15ED2108" w14:textId="67EDD28B" w:rsidR="002D097C" w:rsidRPr="00D908F1" w:rsidRDefault="002D097C" w:rsidP="00A8136D">
          <w:pPr>
            <w:pStyle w:val="ListNumber2"/>
          </w:pPr>
          <w:r w:rsidRPr="00D908F1">
            <w:t>Wastewater shall not be land applied within 1</w:t>
          </w:r>
          <w:r w:rsidR="00385B3B" w:rsidRPr="00D908F1">
            <w:t>5</w:t>
          </w:r>
          <w:r w:rsidRPr="00D908F1">
            <w:t xml:space="preserve">0 feet of any private water well or within 500 feet of a public water supply well. </w:t>
          </w:r>
        </w:p>
        <w:p w14:paraId="4518FCC8" w14:textId="546A0430" w:rsidR="002D097C" w:rsidRPr="00D908F1" w:rsidRDefault="002D097C" w:rsidP="00A8136D">
          <w:pPr>
            <w:pStyle w:val="ListNumber2"/>
          </w:pPr>
          <w:r w:rsidRPr="00D908F1">
            <w:t xml:space="preserve">The permittee shall maintain </w:t>
          </w:r>
          <w:r w:rsidR="00385B3B" w:rsidRPr="00D908F1">
            <w:t xml:space="preserve">actively growing </w:t>
          </w:r>
          <w:r w:rsidRPr="00D908F1">
            <w:t>vegetation in the land application area.</w:t>
          </w:r>
        </w:p>
        <w:p w14:paraId="044FC824" w14:textId="728A9465" w:rsidR="002D097C" w:rsidRPr="00D908F1" w:rsidRDefault="002D097C" w:rsidP="00A8136D">
          <w:pPr>
            <w:pStyle w:val="ListNumber2"/>
          </w:pPr>
          <w:r w:rsidRPr="00D908F1">
            <w:t>The permittee shall take all steps necessary to prevent any adverse effect to human health or safety, or to the environment. The permittee shall immediately cease land application whenever it is discovered that land application activities may endanger human health or safety, or the environment.</w:t>
          </w:r>
        </w:p>
        <w:p w14:paraId="1AEC891A" w14:textId="1B7AE0BA" w:rsidR="003858F4" w:rsidRPr="00D908F1" w:rsidRDefault="003858F4" w:rsidP="00F5173B">
          <w:pPr>
            <w:pStyle w:val="Heading1"/>
          </w:pPr>
          <w:r w:rsidRPr="00D908F1">
            <w:t>V.</w:t>
          </w:r>
          <w:r w:rsidRPr="00D908F1">
            <w:tab/>
            <w:t>Change From Existing General Permit</w:t>
          </w:r>
        </w:p>
        <w:p w14:paraId="7E7FD5AB" w14:textId="3AE26282" w:rsidR="00D908F1" w:rsidRPr="00D908F1" w:rsidRDefault="00D908F1" w:rsidP="00A8136D">
          <w:pPr>
            <w:pStyle w:val="ListParagraph"/>
            <w:numPr>
              <w:ilvl w:val="0"/>
              <w:numId w:val="29"/>
            </w:numPr>
            <w:ind w:hanging="720"/>
          </w:pPr>
          <w:r w:rsidRPr="00D908F1">
            <w:t>Added a daily maximum effluent limitation</w:t>
          </w:r>
          <w:r w:rsidR="003D0D7C">
            <w:t xml:space="preserve"> under Part III, Section A.1.,</w:t>
          </w:r>
          <w:r w:rsidRPr="00D908F1">
            <w:t xml:space="preserve"> </w:t>
          </w:r>
          <w:r w:rsidR="001C4AB7">
            <w:t xml:space="preserve">that </w:t>
          </w:r>
          <w:r w:rsidR="001C4AB7" w:rsidRPr="001C4AB7">
            <w:t>require</w:t>
          </w:r>
          <w:r w:rsidR="001C4AB7">
            <w:t>s</w:t>
          </w:r>
          <w:r w:rsidR="001C4AB7" w:rsidRPr="001C4AB7">
            <w:t xml:space="preserve"> discharge</w:t>
          </w:r>
          <w:r w:rsidR="001C4AB7">
            <w:t>s</w:t>
          </w:r>
          <w:r w:rsidR="001C4AB7" w:rsidRPr="001C4AB7">
            <w:t xml:space="preserve"> be dechlorinated to less than 0.1 mg/L total chlorine </w:t>
          </w:r>
          <w:r w:rsidR="00CF6F03">
            <w:t xml:space="preserve">residual </w:t>
          </w:r>
          <w:r w:rsidR="001C4AB7" w:rsidRPr="001C4AB7">
            <w:t>prior to discharge</w:t>
          </w:r>
          <w:r w:rsidR="001C4AB7">
            <w:t>, when chlorination is used for disinfection p</w:t>
          </w:r>
          <w:r w:rsidR="001C4AB7" w:rsidRPr="00D805C1">
            <w:t>urposes</w:t>
          </w:r>
          <w:r w:rsidR="00EE048C" w:rsidRPr="00D805C1">
            <w:rPr>
              <w:rFonts w:cs="Arial"/>
            </w:rPr>
            <w:t>, as well as a monitoring frequency and sample type</w:t>
          </w:r>
          <w:r w:rsidR="001C4AB7" w:rsidRPr="00D805C1">
            <w:t>.</w:t>
          </w:r>
        </w:p>
        <w:p w14:paraId="4B578A21" w14:textId="5949FC08" w:rsidR="007A0CB9" w:rsidRDefault="007A0CB9" w:rsidP="00A8136D">
          <w:pPr>
            <w:pStyle w:val="ListNumber"/>
          </w:pPr>
          <w:r w:rsidRPr="00D908F1">
            <w:t xml:space="preserve">Revised </w:t>
          </w:r>
          <w:r>
            <w:t xml:space="preserve">the </w:t>
          </w:r>
          <w:r w:rsidRPr="00D908F1">
            <w:t xml:space="preserve">term </w:t>
          </w:r>
          <w:r>
            <w:t>‘</w:t>
          </w:r>
          <w:r w:rsidRPr="00014888">
            <w:t>sludge’</w:t>
          </w:r>
          <w:r w:rsidRPr="00D908F1">
            <w:t xml:space="preserve"> to </w:t>
          </w:r>
          <w:r>
            <w:t>‘</w:t>
          </w:r>
          <w:r w:rsidRPr="00014888">
            <w:t>water treatment residuals’</w:t>
          </w:r>
          <w:r w:rsidRPr="00D908F1">
            <w:t xml:space="preserve"> </w:t>
          </w:r>
          <w:r>
            <w:t xml:space="preserve">or ‘residuals’ under Part III, Section C, </w:t>
          </w:r>
          <w:r w:rsidRPr="00D908F1">
            <w:t>for consistency with</w:t>
          </w:r>
          <w:r>
            <w:t xml:space="preserve"> </w:t>
          </w:r>
          <w:r w:rsidRPr="00D908F1">
            <w:t>terms currently used in individual permits for conventional water treatment facilities.</w:t>
          </w:r>
          <w:r w:rsidR="001A1000">
            <w:t xml:space="preserve"> A</w:t>
          </w:r>
          <w:r w:rsidR="001A1000" w:rsidRPr="001A1000">
            <w:t xml:space="preserve"> definition for the term ‘water treatment residuals’ was </w:t>
          </w:r>
          <w:r w:rsidR="001A1000">
            <w:t xml:space="preserve">also </w:t>
          </w:r>
          <w:r w:rsidR="001A1000" w:rsidRPr="001A1000">
            <w:t xml:space="preserve">added for clarification </w:t>
          </w:r>
          <w:r w:rsidR="001A1000">
            <w:t>and</w:t>
          </w:r>
          <w:r w:rsidR="001A1000" w:rsidRPr="001A1000">
            <w:t xml:space="preserve"> references 30 TAC § 312.8(105) relating to </w:t>
          </w:r>
          <w:r w:rsidR="001A1000" w:rsidRPr="00010202">
            <w:rPr>
              <w:i/>
              <w:iCs/>
            </w:rPr>
            <w:t>General Definitions</w:t>
          </w:r>
          <w:r w:rsidR="001A1000" w:rsidRPr="001A1000">
            <w:t>.</w:t>
          </w:r>
        </w:p>
        <w:p w14:paraId="35BF036E" w14:textId="659D6685" w:rsidR="00010202" w:rsidRDefault="00010202" w:rsidP="00010202">
          <w:pPr>
            <w:pStyle w:val="ListNumber"/>
          </w:pPr>
          <w:r>
            <w:t xml:space="preserve">Revised Part II, Section B.5 </w:t>
          </w:r>
          <w:r w:rsidR="005A2283">
            <w:t xml:space="preserve">to clarify that the Railroad Commission of Texas no longer regulates discharges into or adjacent to water in the state from crude oil facilities, effective September 1, 2025.  </w:t>
          </w:r>
        </w:p>
        <w:p w14:paraId="0F77D8BA" w14:textId="4E1FD1C3" w:rsidR="003858F4" w:rsidRDefault="003858F4" w:rsidP="00A8136D">
          <w:pPr>
            <w:pStyle w:val="ListNumber"/>
          </w:pPr>
          <w:r w:rsidRPr="00D908F1">
            <w:t>Revise</w:t>
          </w:r>
          <w:r w:rsidR="00014690">
            <w:t>d</w:t>
          </w:r>
          <w:r w:rsidRPr="00D908F1">
            <w:t xml:space="preserve"> </w:t>
          </w:r>
          <w:r w:rsidRPr="00014690">
            <w:t>Part II, Section B.</w:t>
          </w:r>
          <w:r w:rsidR="00014690" w:rsidRPr="00014690">
            <w:t>7</w:t>
          </w:r>
          <w:r w:rsidR="00014690">
            <w:t>,</w:t>
          </w:r>
          <w:r w:rsidRPr="00D908F1">
            <w:t xml:space="preserve"> to specify home-rule municipality as established in ‘Texas statute’ instead of the specific rule to ensure flexibility to accommodate future rule and citation changes.</w:t>
          </w:r>
        </w:p>
        <w:p w14:paraId="3E8EDA4F" w14:textId="612D67D1" w:rsidR="00014690" w:rsidRPr="00D908F1" w:rsidRDefault="00014690" w:rsidP="00A8136D">
          <w:pPr>
            <w:pStyle w:val="ListNumber"/>
          </w:pPr>
          <w:r>
            <w:t xml:space="preserve">Updated Part II, Section C.5, with current contact information for the Edwards Aquifer Protection Program and corrected the counties listed in the general permit for consistency with requirements under 30 TAC Chapter 213, </w:t>
          </w:r>
          <w:r w:rsidRPr="00010202">
            <w:rPr>
              <w:i/>
              <w:iCs/>
            </w:rPr>
            <w:t>Edwards Aquifer</w:t>
          </w:r>
          <w:r>
            <w:t>.</w:t>
          </w:r>
        </w:p>
        <w:p w14:paraId="0FA3420D" w14:textId="5C30B849" w:rsidR="003D0D7C" w:rsidRPr="00D908F1" w:rsidRDefault="003D0D7C" w:rsidP="00A8136D">
          <w:pPr>
            <w:pStyle w:val="ListNumber"/>
          </w:pPr>
          <w:r w:rsidRPr="00D908F1">
            <w:t xml:space="preserve">Added </w:t>
          </w:r>
          <w:r>
            <w:t>a statement under Part III, Section A.1</w:t>
          </w:r>
          <w:r w:rsidRPr="003D0D7C">
            <w:t xml:space="preserve"> </w:t>
          </w:r>
          <w:r>
            <w:t>to clarify that wastewater</w:t>
          </w:r>
          <w:r w:rsidRPr="003D0D7C">
            <w:t xml:space="preserve"> discharged adjacent to the water in the state (i.e., land applied) does not need to meet the effluent limitations</w:t>
          </w:r>
          <w:r>
            <w:t xml:space="preserve"> of the section.</w:t>
          </w:r>
        </w:p>
        <w:p w14:paraId="03C208F4" w14:textId="357D1EDF" w:rsidR="003858F4" w:rsidRDefault="00014690" w:rsidP="00010202">
          <w:pPr>
            <w:pStyle w:val="ListNumber"/>
          </w:pPr>
          <w:r>
            <w:t xml:space="preserve">Updated </w:t>
          </w:r>
          <w:r w:rsidR="003858F4" w:rsidRPr="00014690">
            <w:t>Part III, Section B.</w:t>
          </w:r>
          <w:r w:rsidRPr="00014690">
            <w:t>8</w:t>
          </w:r>
          <w:r w:rsidR="003858F4" w:rsidRPr="00014690">
            <w:t>.a</w:t>
          </w:r>
          <w:r>
            <w:t>,</w:t>
          </w:r>
          <w:r w:rsidR="003858F4" w:rsidRPr="00D908F1">
            <w:t xml:space="preserve"> </w:t>
          </w:r>
          <w:r>
            <w:t xml:space="preserve">to </w:t>
          </w:r>
          <w:r w:rsidR="00387153" w:rsidRPr="00387153">
            <w:t>add the option for email and clarify the mailing address for submission of written reports</w:t>
          </w:r>
          <w:r w:rsidR="003858F4" w:rsidRPr="00D908F1">
            <w:t>.</w:t>
          </w:r>
        </w:p>
        <w:p w14:paraId="0FA57E42" w14:textId="4705EC33" w:rsidR="00B10E16" w:rsidRDefault="00014690" w:rsidP="00010202">
          <w:pPr>
            <w:pStyle w:val="ListNumber"/>
          </w:pPr>
          <w:r>
            <w:t xml:space="preserve">Updated Part III, Section </w:t>
          </w:r>
          <w:r w:rsidR="00014888">
            <w:t>B.8.b</w:t>
          </w:r>
          <w:r>
            <w:t xml:space="preserve">, to clarify </w:t>
          </w:r>
          <w:r w:rsidR="00014888">
            <w:t>discharge monitoring report (DMR)</w:t>
          </w:r>
          <w:r>
            <w:t xml:space="preserve"> </w:t>
          </w:r>
          <w:r w:rsidR="00014888">
            <w:t xml:space="preserve">submittal </w:t>
          </w:r>
          <w:r>
            <w:t xml:space="preserve">requirements for </w:t>
          </w:r>
          <w:r w:rsidR="00014888">
            <w:t>effluent limitation violations using the NetDMR reporting system or an approved DMR form by obtaining an electronic reporting waiver.</w:t>
          </w:r>
        </w:p>
        <w:p w14:paraId="69AECBF9" w14:textId="344B95C7" w:rsidR="00B10E16" w:rsidRPr="00B10E16" w:rsidRDefault="0084379B" w:rsidP="00010202">
          <w:pPr>
            <w:pStyle w:val="ListNumber"/>
          </w:pPr>
          <w:r w:rsidRPr="00B10E16">
            <w:t>Modified</w:t>
          </w:r>
          <w:r w:rsidR="001D3D44" w:rsidRPr="00B10E16">
            <w:t xml:space="preserve"> Part III, Section D,</w:t>
          </w:r>
          <w:r w:rsidR="00923707" w:rsidRPr="00B10E16">
            <w:t xml:space="preserve"> item 11</w:t>
          </w:r>
          <w:r w:rsidR="001D3D44" w:rsidRPr="00B10E16">
            <w:t xml:space="preserve"> to </w:t>
          </w:r>
          <w:r w:rsidRPr="00B10E16">
            <w:t xml:space="preserve">remove repeated provision language and </w:t>
          </w:r>
          <w:r w:rsidR="006915CB" w:rsidRPr="00B10E16">
            <w:t>clarify that the permittee is responsible for providing equipment to determine the application rate.</w:t>
          </w:r>
        </w:p>
        <w:p w14:paraId="056892D6" w14:textId="787CDCFC" w:rsidR="003574E7" w:rsidRDefault="001A1000" w:rsidP="00010202">
          <w:pPr>
            <w:pStyle w:val="ListNumber"/>
          </w:pPr>
          <w:r w:rsidRPr="00B10E16">
            <w:t>Revised Part III, Section C.1.d(1) to include an option for facilities to recycle excess water from the water treatment residuals lagoon(s) in a manner consistent with 30 TAC § 290.42(d)(3)(A), related to Water Treatment, instead of maintaining a minimum of two feet of freeboard.</w:t>
          </w:r>
        </w:p>
        <w:p w14:paraId="3784AABE" w14:textId="7D39B5D1" w:rsidR="00B10E16" w:rsidRPr="00B10E16" w:rsidRDefault="003574E7" w:rsidP="00010202">
          <w:pPr>
            <w:pStyle w:val="ListNumber"/>
          </w:pPr>
          <w:r>
            <w:t xml:space="preserve">Updated Part III, Section C.4 to specify </w:t>
          </w:r>
          <w:r w:rsidR="009D0D28">
            <w:t>TCEQ’s Waste Permits Division for submittal of the written report for water treatment residuals. The division previously listed for receipt of this report no longer exists.</w:t>
          </w:r>
        </w:p>
        <w:p w14:paraId="305BBB2E" w14:textId="76E0A06B" w:rsidR="001D3D44" w:rsidRPr="00B10E16" w:rsidRDefault="001D3D44" w:rsidP="00010202">
          <w:pPr>
            <w:pStyle w:val="ListNumber"/>
          </w:pPr>
          <w:r w:rsidRPr="00B10E16">
            <w:t>Revised Part III, Section D, to include the following requirements (III.D.12 and III.D.13) were previously identified in the fact sheet for the issued permit but omitted from the permit itself:</w:t>
          </w:r>
        </w:p>
        <w:p w14:paraId="4A288FE1" w14:textId="77777777" w:rsidR="001D3D44" w:rsidRPr="00AC09F1" w:rsidRDefault="001D3D44" w:rsidP="00010202">
          <w:pPr>
            <w:pStyle w:val="ListParagraph"/>
            <w:numPr>
              <w:ilvl w:val="0"/>
              <w:numId w:val="27"/>
            </w:numPr>
          </w:pPr>
          <w:r w:rsidRPr="00AC09F1">
            <w:t>Land application rates shall not exceed 1.6 acre-feet per year per acre irrigated.</w:t>
          </w:r>
        </w:p>
        <w:p w14:paraId="11247F1C" w14:textId="77777777" w:rsidR="001D3D44" w:rsidRPr="00AC09F1" w:rsidRDefault="001D3D44" w:rsidP="00010202">
          <w:pPr>
            <w:pStyle w:val="ListParagraph"/>
            <w:numPr>
              <w:ilvl w:val="0"/>
              <w:numId w:val="27"/>
            </w:numPr>
          </w:pPr>
          <w:r w:rsidRPr="00AC09F1">
            <w:t>The permittee shall annually collect a representative soil sample from each irrigation area that received wastewater application during the year. Soil samples shall be analyzed for pH [2:1 (v/v) water/soil mixture]; electrical conductivity [2:1 (v/v) water/soil mixture]; total Kjeldahl nitrogen (TKN); total nitrogen (organic-nitrogen + nitrate-nitrogen + ammonium-nitrogen); nitrate-nitrogen (from a 1 N KCl soil extract); plant-available phosphorus [Mehlich III with inductively coupled plasma], and plant-available potassium [Mehlich III].  The nutrient parameters shall be reported on a dry weight basis in mg/kg; electrical conductivity, in mmho/cm [same as deciSiemens/meter (dS/m)]; and pH, in standard units.</w:t>
          </w:r>
        </w:p>
        <w:p w14:paraId="4C853147" w14:textId="70432BB2" w:rsidR="00014888" w:rsidRPr="00D805C1" w:rsidRDefault="00014888" w:rsidP="00010202">
          <w:pPr>
            <w:pStyle w:val="ListNumber"/>
          </w:pPr>
          <w:r w:rsidRPr="000A2163">
            <w:t>Revi</w:t>
          </w:r>
          <w:r>
            <w:t>se</w:t>
          </w:r>
          <w:r w:rsidR="001C4AB7">
            <w:t>d</w:t>
          </w:r>
          <w:r w:rsidRPr="000A2163">
            <w:t xml:space="preserve"> Part IV.7.f to clarify reporting and signature requirements for annual test</w:t>
          </w:r>
          <w:r w:rsidRPr="00D805C1">
            <w:t>s</w:t>
          </w:r>
          <w:r w:rsidR="00EE048C" w:rsidRPr="00D805C1">
            <w:rPr>
              <w:rFonts w:cs="Arial"/>
            </w:rPr>
            <w:t>, and use of DMR form (EPA No. 3320-1)</w:t>
          </w:r>
          <w:r w:rsidRPr="00D805C1">
            <w:t>.</w:t>
          </w:r>
        </w:p>
        <w:p w14:paraId="3CFEED90" w14:textId="178F5C49" w:rsidR="003858F4" w:rsidRDefault="00014888" w:rsidP="00010202">
          <w:pPr>
            <w:pStyle w:val="ListNumber"/>
          </w:pPr>
          <w:r w:rsidRPr="000A2163">
            <w:t>Revis</w:t>
          </w:r>
          <w:r>
            <w:t>e</w:t>
          </w:r>
          <w:r w:rsidR="001C4AB7">
            <w:t>d</w:t>
          </w:r>
          <w:r w:rsidRPr="000A2163">
            <w:t xml:space="preserve"> Part IV.8 to clarify signature requirements for </w:t>
          </w:r>
          <w:r>
            <w:t>other information requested by the executive director</w:t>
          </w:r>
          <w:r w:rsidRPr="000A2163">
            <w:t>.</w:t>
          </w:r>
        </w:p>
        <w:p w14:paraId="71E91F1D" w14:textId="13BE5FFF" w:rsidR="00797D2F" w:rsidRDefault="00797D2F" w:rsidP="00010202">
          <w:pPr>
            <w:pStyle w:val="ListNumber"/>
          </w:pPr>
          <w:r w:rsidRPr="00797D2F">
            <w:t>Update the definition of Water in the State to specify the “Gulf of America.”</w:t>
          </w:r>
        </w:p>
        <w:p w14:paraId="38A3390C" w14:textId="312E8091" w:rsidR="00285045" w:rsidRPr="00014888" w:rsidRDefault="00285045" w:rsidP="00010202">
          <w:pPr>
            <w:pStyle w:val="ListNumber"/>
          </w:pPr>
          <w:r>
            <w:t>Other non-substantive editorial corrections and updates.</w:t>
          </w:r>
        </w:p>
        <w:p w14:paraId="44C56DFA" w14:textId="0C7C45F0" w:rsidR="005E0763" w:rsidRPr="00D908F1" w:rsidRDefault="005E0763" w:rsidP="00F5173B">
          <w:pPr>
            <w:pStyle w:val="Heading1"/>
          </w:pPr>
          <w:r w:rsidRPr="00D908F1">
            <w:t>V</w:t>
          </w:r>
          <w:r w:rsidR="00D908F1" w:rsidRPr="00D908F1">
            <w:t>I</w:t>
          </w:r>
          <w:r w:rsidRPr="00D908F1">
            <w:t>.</w:t>
          </w:r>
          <w:r w:rsidRPr="00D908F1">
            <w:tab/>
            <w:t>Addresses</w:t>
          </w:r>
        </w:p>
        <w:p w14:paraId="6518E7EF" w14:textId="77777777" w:rsidR="005E0763" w:rsidRPr="00D908F1" w:rsidRDefault="005E0763" w:rsidP="00A00848">
          <w:pPr>
            <w:rPr>
              <w:rFonts w:ascii="Lucida Bright" w:hAnsi="Lucida Bright"/>
              <w:szCs w:val="22"/>
            </w:rPr>
          </w:pPr>
          <w:r w:rsidRPr="00D908F1">
            <w:rPr>
              <w:rFonts w:ascii="Lucida Bright" w:hAnsi="Lucida Bright"/>
              <w:szCs w:val="22"/>
            </w:rPr>
            <w:t xml:space="preserve">Comments on this </w:t>
          </w:r>
          <w:r w:rsidR="00D67211" w:rsidRPr="00D908F1">
            <w:rPr>
              <w:rFonts w:ascii="Lucida Bright" w:hAnsi="Lucida Bright"/>
              <w:szCs w:val="22"/>
            </w:rPr>
            <w:t>draft</w:t>
          </w:r>
          <w:r w:rsidRPr="00D908F1">
            <w:rPr>
              <w:rFonts w:ascii="Lucida Bright" w:hAnsi="Lucida Bright"/>
              <w:szCs w:val="22"/>
            </w:rPr>
            <w:t xml:space="preserve"> general permit should be sent to:</w:t>
          </w:r>
        </w:p>
        <w:p w14:paraId="0786AD0B" w14:textId="77777777" w:rsidR="005E0763" w:rsidRPr="00D908F1" w:rsidRDefault="005E0763" w:rsidP="00B67613">
          <w:pPr>
            <w:spacing w:before="240"/>
            <w:rPr>
              <w:rFonts w:ascii="Lucida Bright" w:hAnsi="Lucida Bright"/>
              <w:szCs w:val="22"/>
            </w:rPr>
          </w:pPr>
          <w:r w:rsidRPr="00D908F1">
            <w:rPr>
              <w:rFonts w:ascii="Lucida Bright" w:hAnsi="Lucida Bright"/>
              <w:szCs w:val="22"/>
            </w:rPr>
            <w:t>Office of the Chief Clerk (MC-105)</w:t>
          </w:r>
        </w:p>
        <w:p w14:paraId="54A94414" w14:textId="77777777" w:rsidR="005E0763" w:rsidRPr="00D908F1" w:rsidRDefault="005E0763" w:rsidP="00A00848">
          <w:pPr>
            <w:rPr>
              <w:rFonts w:ascii="Lucida Bright" w:hAnsi="Lucida Bright"/>
              <w:szCs w:val="22"/>
            </w:rPr>
          </w:pPr>
          <w:r w:rsidRPr="00D908F1">
            <w:rPr>
              <w:rFonts w:ascii="Lucida Bright" w:hAnsi="Lucida Bright"/>
              <w:szCs w:val="22"/>
            </w:rPr>
            <w:t xml:space="preserve">TCEQ </w:t>
          </w:r>
        </w:p>
        <w:p w14:paraId="7CA59F3C" w14:textId="77777777" w:rsidR="005E0763" w:rsidRPr="00D908F1" w:rsidRDefault="005E0763" w:rsidP="00A00848">
          <w:pPr>
            <w:rPr>
              <w:rFonts w:ascii="Lucida Bright" w:hAnsi="Lucida Bright"/>
              <w:szCs w:val="22"/>
            </w:rPr>
          </w:pPr>
          <w:r w:rsidRPr="00D908F1">
            <w:rPr>
              <w:rFonts w:ascii="Lucida Bright" w:hAnsi="Lucida Bright"/>
              <w:szCs w:val="22"/>
            </w:rPr>
            <w:t>P.O. Box 13087</w:t>
          </w:r>
        </w:p>
        <w:p w14:paraId="78DAB72E" w14:textId="77777777" w:rsidR="005E0763" w:rsidRPr="00D908F1" w:rsidRDefault="005E0763" w:rsidP="00A00848">
          <w:pPr>
            <w:rPr>
              <w:rFonts w:ascii="Lucida Bright" w:hAnsi="Lucida Bright"/>
              <w:szCs w:val="22"/>
            </w:rPr>
          </w:pPr>
          <w:r w:rsidRPr="00D908F1">
            <w:rPr>
              <w:rFonts w:ascii="Lucida Bright" w:hAnsi="Lucida Bright"/>
              <w:szCs w:val="22"/>
            </w:rPr>
            <w:t>Austin, TX 78711-3087</w:t>
          </w:r>
        </w:p>
        <w:p w14:paraId="79B25F9C" w14:textId="77777777" w:rsidR="005E0763" w:rsidRPr="00D908F1" w:rsidRDefault="005E0763" w:rsidP="00A00848">
          <w:pPr>
            <w:rPr>
              <w:rFonts w:ascii="Lucida Bright" w:hAnsi="Lucida Bright"/>
              <w:szCs w:val="22"/>
            </w:rPr>
          </w:pPr>
          <w:r w:rsidRPr="00D908F1">
            <w:rPr>
              <w:rFonts w:ascii="Lucida Bright" w:hAnsi="Lucida Bright"/>
              <w:szCs w:val="22"/>
            </w:rPr>
            <w:t>(512) 239-3300</w:t>
          </w:r>
        </w:p>
        <w:p w14:paraId="4B0AE646" w14:textId="77777777" w:rsidR="005E0763" w:rsidRPr="00D908F1" w:rsidRDefault="005E0763" w:rsidP="00B67613">
          <w:pPr>
            <w:spacing w:before="240"/>
            <w:rPr>
              <w:rFonts w:ascii="Lucida Bright" w:hAnsi="Lucida Bright"/>
              <w:szCs w:val="22"/>
            </w:rPr>
          </w:pPr>
          <w:r w:rsidRPr="00D908F1">
            <w:rPr>
              <w:rFonts w:ascii="Lucida Bright" w:hAnsi="Lucida Bright"/>
              <w:szCs w:val="22"/>
            </w:rPr>
            <w:t>Questions concerning this draft general permit should be directed to:</w:t>
          </w:r>
        </w:p>
        <w:p w14:paraId="7C30D5FB" w14:textId="4B474D50" w:rsidR="005E0763" w:rsidRPr="00D908F1" w:rsidRDefault="00541359" w:rsidP="00B67613">
          <w:pPr>
            <w:spacing w:before="240"/>
            <w:rPr>
              <w:rFonts w:ascii="Lucida Bright" w:hAnsi="Lucida Bright"/>
              <w:szCs w:val="22"/>
            </w:rPr>
          </w:pPr>
          <w:r w:rsidRPr="00D908F1">
            <w:rPr>
              <w:rFonts w:ascii="Lucida Bright" w:hAnsi="Lucida Bright"/>
              <w:szCs w:val="22"/>
            </w:rPr>
            <w:t>Shannon Gibson</w:t>
          </w:r>
        </w:p>
        <w:p w14:paraId="78DB1F80" w14:textId="0ABA4EB7" w:rsidR="00E20DAD" w:rsidRPr="00D908F1" w:rsidRDefault="005E0763" w:rsidP="00A00848">
          <w:pPr>
            <w:rPr>
              <w:rFonts w:ascii="Lucida Bright" w:hAnsi="Lucida Bright"/>
              <w:szCs w:val="22"/>
            </w:rPr>
          </w:pPr>
          <w:r w:rsidRPr="00D908F1">
            <w:rPr>
              <w:rFonts w:ascii="Lucida Bright" w:hAnsi="Lucida Bright"/>
              <w:szCs w:val="22"/>
            </w:rPr>
            <w:t>TCEQ</w:t>
          </w:r>
          <w:r w:rsidR="00E20DAD" w:rsidRPr="00D908F1">
            <w:rPr>
              <w:rFonts w:ascii="Lucida Bright" w:hAnsi="Lucida Bright"/>
              <w:szCs w:val="22"/>
            </w:rPr>
            <w:t xml:space="preserve">, </w:t>
          </w:r>
          <w:r w:rsidRPr="00D908F1">
            <w:rPr>
              <w:rFonts w:ascii="Lucida Bright" w:hAnsi="Lucida Bright"/>
              <w:szCs w:val="22"/>
            </w:rPr>
            <w:t>Water Quality Division</w:t>
          </w:r>
          <w:r w:rsidR="00E20DAD" w:rsidRPr="00D908F1">
            <w:rPr>
              <w:rFonts w:ascii="Lucida Bright" w:hAnsi="Lucida Bright"/>
              <w:szCs w:val="22"/>
            </w:rPr>
            <w:t xml:space="preserve"> (MC-148)</w:t>
          </w:r>
        </w:p>
        <w:p w14:paraId="09547467" w14:textId="77777777" w:rsidR="00E20DAD" w:rsidRPr="00D908F1" w:rsidRDefault="005E0763" w:rsidP="00A00848">
          <w:pPr>
            <w:rPr>
              <w:rFonts w:ascii="Lucida Bright" w:hAnsi="Lucida Bright"/>
              <w:szCs w:val="22"/>
            </w:rPr>
          </w:pPr>
          <w:r w:rsidRPr="00D908F1">
            <w:rPr>
              <w:rFonts w:ascii="Lucida Bright" w:hAnsi="Lucida Bright"/>
              <w:szCs w:val="22"/>
            </w:rPr>
            <w:t>P.O. Box 13087</w:t>
          </w:r>
        </w:p>
        <w:p w14:paraId="0802537C" w14:textId="77777777" w:rsidR="005E0763" w:rsidRPr="00D908F1" w:rsidRDefault="005E0763" w:rsidP="00A00848">
          <w:pPr>
            <w:rPr>
              <w:rFonts w:ascii="Lucida Bright" w:hAnsi="Lucida Bright"/>
              <w:szCs w:val="22"/>
            </w:rPr>
          </w:pPr>
          <w:r w:rsidRPr="00D908F1">
            <w:rPr>
              <w:rFonts w:ascii="Lucida Bright" w:hAnsi="Lucida Bright"/>
              <w:szCs w:val="22"/>
            </w:rPr>
            <w:t xml:space="preserve">Austin, TX 78711-3087 </w:t>
          </w:r>
        </w:p>
        <w:p w14:paraId="5C497B23" w14:textId="5C5B83BD" w:rsidR="005E0763" w:rsidRPr="00D908F1" w:rsidRDefault="005E0763" w:rsidP="00A00848">
          <w:pPr>
            <w:rPr>
              <w:rFonts w:ascii="Lucida Bright" w:hAnsi="Lucida Bright"/>
              <w:szCs w:val="22"/>
            </w:rPr>
          </w:pPr>
          <w:r w:rsidRPr="00D908F1">
            <w:rPr>
              <w:rFonts w:ascii="Lucida Bright" w:hAnsi="Lucida Bright"/>
              <w:szCs w:val="22"/>
            </w:rPr>
            <w:t>(512) 239-</w:t>
          </w:r>
          <w:r w:rsidR="00362856">
            <w:rPr>
              <w:rFonts w:ascii="Lucida Bright" w:hAnsi="Lucida Bright"/>
              <w:szCs w:val="22"/>
            </w:rPr>
            <w:t>4284</w:t>
          </w:r>
        </w:p>
        <w:p w14:paraId="0A05C54F" w14:textId="77777777" w:rsidR="005E0763" w:rsidRPr="00D908F1" w:rsidRDefault="005E0763" w:rsidP="00B67613">
          <w:pPr>
            <w:spacing w:before="240"/>
            <w:rPr>
              <w:rFonts w:ascii="Lucida Bright" w:hAnsi="Lucida Bright"/>
              <w:szCs w:val="22"/>
            </w:rPr>
          </w:pPr>
          <w:r w:rsidRPr="00D908F1">
            <w:rPr>
              <w:rFonts w:ascii="Lucida Bright" w:hAnsi="Lucida Bright"/>
              <w:szCs w:val="22"/>
            </w:rPr>
            <w:t>Supplementary information on this fact sheet is organized as follows:</w:t>
          </w:r>
        </w:p>
        <w:p w14:paraId="1A6F2824" w14:textId="77777777" w:rsidR="005E0763" w:rsidRPr="00D908F1" w:rsidRDefault="00DE1E2F" w:rsidP="00B67613">
          <w:pPr>
            <w:tabs>
              <w:tab w:val="left" w:pos="720"/>
            </w:tabs>
            <w:spacing w:before="240"/>
            <w:rPr>
              <w:rFonts w:ascii="Lucida Bright" w:hAnsi="Lucida Bright"/>
              <w:szCs w:val="22"/>
            </w:rPr>
          </w:pPr>
          <w:r w:rsidRPr="00D908F1">
            <w:rPr>
              <w:rFonts w:ascii="Lucida Bright" w:hAnsi="Lucida Bright"/>
              <w:szCs w:val="22"/>
            </w:rPr>
            <w:t>VI</w:t>
          </w:r>
          <w:r w:rsidR="005E0763" w:rsidRPr="00D908F1">
            <w:rPr>
              <w:rFonts w:ascii="Lucida Bright" w:hAnsi="Lucida Bright"/>
              <w:szCs w:val="22"/>
            </w:rPr>
            <w:t>.</w:t>
          </w:r>
          <w:r w:rsidR="005E0763" w:rsidRPr="00D908F1">
            <w:rPr>
              <w:rFonts w:ascii="Lucida Bright" w:hAnsi="Lucida Bright"/>
              <w:szCs w:val="22"/>
            </w:rPr>
            <w:tab/>
            <w:t xml:space="preserve">Legal Basis </w:t>
          </w:r>
        </w:p>
        <w:p w14:paraId="3563A8A6"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VII</w:t>
          </w:r>
          <w:r w:rsidR="005E0763" w:rsidRPr="00D908F1">
            <w:rPr>
              <w:rFonts w:ascii="Lucida Bright" w:hAnsi="Lucida Bright"/>
              <w:szCs w:val="22"/>
            </w:rPr>
            <w:t>.</w:t>
          </w:r>
          <w:r w:rsidR="005E0763" w:rsidRPr="00D908F1">
            <w:rPr>
              <w:rFonts w:ascii="Lucida Bright" w:hAnsi="Lucida Bright"/>
              <w:szCs w:val="22"/>
            </w:rPr>
            <w:tab/>
            <w:t xml:space="preserve">Regulatory Background </w:t>
          </w:r>
        </w:p>
        <w:p w14:paraId="4B49AB4A"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VII</w:t>
          </w:r>
          <w:r w:rsidR="005E0763" w:rsidRPr="00D908F1">
            <w:rPr>
              <w:rFonts w:ascii="Lucida Bright" w:hAnsi="Lucida Bright"/>
              <w:szCs w:val="22"/>
            </w:rPr>
            <w:t>.</w:t>
          </w:r>
          <w:r w:rsidR="005E0763" w:rsidRPr="00D908F1">
            <w:rPr>
              <w:rFonts w:ascii="Lucida Bright" w:hAnsi="Lucida Bright"/>
              <w:szCs w:val="22"/>
            </w:rPr>
            <w:tab/>
            <w:t xml:space="preserve">Permit Coverage </w:t>
          </w:r>
        </w:p>
        <w:p w14:paraId="643D1E8E"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I</w:t>
          </w:r>
          <w:r w:rsidR="005E0763" w:rsidRPr="00D908F1">
            <w:rPr>
              <w:rFonts w:ascii="Lucida Bright" w:hAnsi="Lucida Bright"/>
              <w:szCs w:val="22"/>
            </w:rPr>
            <w:t>X.</w:t>
          </w:r>
          <w:r w:rsidR="005E0763" w:rsidRPr="00D908F1">
            <w:rPr>
              <w:rFonts w:ascii="Lucida Bright" w:hAnsi="Lucida Bright"/>
              <w:szCs w:val="22"/>
            </w:rPr>
            <w:tab/>
            <w:t xml:space="preserve">Technology-based Requirements </w:t>
          </w:r>
        </w:p>
        <w:p w14:paraId="17CA2446"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X</w:t>
          </w:r>
          <w:r w:rsidR="005E0763" w:rsidRPr="00D908F1">
            <w:rPr>
              <w:rFonts w:ascii="Lucida Bright" w:hAnsi="Lucida Bright"/>
              <w:szCs w:val="22"/>
            </w:rPr>
            <w:t>.</w:t>
          </w:r>
          <w:r w:rsidR="005E0763" w:rsidRPr="00D908F1">
            <w:rPr>
              <w:rFonts w:ascii="Lucida Bright" w:hAnsi="Lucida Bright"/>
              <w:szCs w:val="22"/>
            </w:rPr>
            <w:tab/>
            <w:t>Water Quality-based Requirements</w:t>
          </w:r>
        </w:p>
        <w:p w14:paraId="40DE607B"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XI</w:t>
          </w:r>
          <w:r w:rsidR="005E0763" w:rsidRPr="00D908F1">
            <w:rPr>
              <w:rFonts w:ascii="Lucida Bright" w:hAnsi="Lucida Bright"/>
              <w:szCs w:val="22"/>
            </w:rPr>
            <w:t>.</w:t>
          </w:r>
          <w:r w:rsidR="005E0763" w:rsidRPr="00D908F1">
            <w:rPr>
              <w:rFonts w:ascii="Lucida Bright" w:hAnsi="Lucida Bright"/>
              <w:szCs w:val="22"/>
            </w:rPr>
            <w:tab/>
            <w:t xml:space="preserve">Monitoring </w:t>
          </w:r>
        </w:p>
        <w:p w14:paraId="2E281A5D" w14:textId="77777777" w:rsidR="005E0763" w:rsidRPr="00D908F1" w:rsidRDefault="00DE1E2F" w:rsidP="00A00848">
          <w:pPr>
            <w:rPr>
              <w:rFonts w:ascii="Lucida Bright" w:hAnsi="Lucida Bright"/>
              <w:szCs w:val="22"/>
            </w:rPr>
          </w:pPr>
          <w:r w:rsidRPr="00D908F1">
            <w:rPr>
              <w:rFonts w:ascii="Lucida Bright" w:hAnsi="Lucida Bright"/>
              <w:szCs w:val="22"/>
            </w:rPr>
            <w:t>XII</w:t>
          </w:r>
          <w:r w:rsidR="005E0763" w:rsidRPr="00D908F1">
            <w:rPr>
              <w:rFonts w:ascii="Lucida Bright" w:hAnsi="Lucida Bright"/>
              <w:szCs w:val="22"/>
            </w:rPr>
            <w:t>.</w:t>
          </w:r>
          <w:r w:rsidR="005E0763" w:rsidRPr="00D908F1">
            <w:rPr>
              <w:rFonts w:ascii="Lucida Bright" w:hAnsi="Lucida Bright"/>
              <w:szCs w:val="22"/>
            </w:rPr>
            <w:tab/>
            <w:t xml:space="preserve">Procedures for Final Decision </w:t>
          </w:r>
        </w:p>
        <w:p w14:paraId="538826CB" w14:textId="77777777" w:rsidR="005E0763" w:rsidRPr="00D908F1" w:rsidRDefault="00DE1E2F" w:rsidP="00A00848">
          <w:pPr>
            <w:rPr>
              <w:rFonts w:ascii="Lucida Bright" w:hAnsi="Lucida Bright"/>
              <w:szCs w:val="22"/>
            </w:rPr>
          </w:pPr>
          <w:r w:rsidRPr="00D908F1">
            <w:rPr>
              <w:rFonts w:ascii="Lucida Bright" w:hAnsi="Lucida Bright"/>
              <w:szCs w:val="22"/>
            </w:rPr>
            <w:t>XIII</w:t>
          </w:r>
          <w:r w:rsidR="005E0763" w:rsidRPr="00D908F1">
            <w:rPr>
              <w:rFonts w:ascii="Lucida Bright" w:hAnsi="Lucida Bright"/>
              <w:szCs w:val="22"/>
            </w:rPr>
            <w:t>.</w:t>
          </w:r>
          <w:r w:rsidR="005E0763" w:rsidRPr="00D908F1">
            <w:rPr>
              <w:rFonts w:ascii="Lucida Bright" w:hAnsi="Lucida Bright"/>
              <w:szCs w:val="22"/>
            </w:rPr>
            <w:tab/>
            <w:t>Administrative Record</w:t>
          </w:r>
        </w:p>
        <w:p w14:paraId="29451EC0" w14:textId="1693B825" w:rsidR="005E0763" w:rsidRPr="00D908F1" w:rsidRDefault="005E0763" w:rsidP="00F5173B">
          <w:pPr>
            <w:pStyle w:val="Heading1"/>
          </w:pPr>
          <w:r w:rsidRPr="00D908F1">
            <w:t>VI</w:t>
          </w:r>
          <w:r w:rsidR="00D908F1" w:rsidRPr="00D908F1">
            <w:t>I</w:t>
          </w:r>
          <w:r w:rsidRPr="00D908F1">
            <w:t>.</w:t>
          </w:r>
          <w:r w:rsidRPr="00D908F1">
            <w:tab/>
            <w:t xml:space="preserve">Legal Basis </w:t>
          </w:r>
        </w:p>
        <w:p w14:paraId="5BB97FE5" w14:textId="705770C5" w:rsidR="00B64A39" w:rsidRPr="00D908F1" w:rsidRDefault="00D67211" w:rsidP="00DE1E2F">
          <w:pPr>
            <w:spacing w:after="240"/>
            <w:rPr>
              <w:rFonts w:ascii="Lucida Bright" w:hAnsi="Lucida Bright"/>
              <w:szCs w:val="22"/>
            </w:rPr>
          </w:pPr>
          <w:r w:rsidRPr="00D908F1">
            <w:rPr>
              <w:rFonts w:ascii="Lucida Bright" w:hAnsi="Lucida Bright" w:cs="Times New Roman"/>
              <w:szCs w:val="22"/>
            </w:rPr>
            <w:t>Texas Water Code (TWC)</w:t>
          </w:r>
          <w:r w:rsidR="00807D00" w:rsidRPr="00D908F1">
            <w:rPr>
              <w:rFonts w:ascii="Lucida Bright" w:hAnsi="Lucida Bright" w:cs="Times New Roman"/>
              <w:szCs w:val="22"/>
            </w:rPr>
            <w:t>,</w:t>
          </w:r>
          <w:r w:rsidRPr="00D908F1">
            <w:rPr>
              <w:rFonts w:ascii="Lucida Bright" w:hAnsi="Lucida Bright" w:cs="Times New Roman"/>
              <w:szCs w:val="22"/>
            </w:rPr>
            <w:t xml:space="preserve"> </w:t>
          </w:r>
          <w:r w:rsidR="00E20DAD" w:rsidRPr="00D908F1">
            <w:rPr>
              <w:rFonts w:ascii="Lucida Bright" w:hAnsi="Lucida Bright" w:cs="Times New Roman"/>
              <w:szCs w:val="22"/>
            </w:rPr>
            <w:t xml:space="preserve">§ </w:t>
          </w:r>
          <w:r w:rsidR="005E0763" w:rsidRPr="00D908F1">
            <w:rPr>
              <w:rFonts w:ascii="Lucida Bright" w:hAnsi="Lucida Bright"/>
              <w:szCs w:val="22"/>
            </w:rPr>
            <w:t xml:space="preserve">26.121 makes it unlawful to discharge pollutants into or adjacent to water in the state except as authorized by a rule, permit, or order issued by the </w:t>
          </w:r>
          <w:r w:rsidR="00014690">
            <w:rPr>
              <w:rFonts w:ascii="Lucida Bright" w:hAnsi="Lucida Bright"/>
              <w:szCs w:val="22"/>
            </w:rPr>
            <w:t>c</w:t>
          </w:r>
          <w:r w:rsidR="005E0763" w:rsidRPr="00D908F1">
            <w:rPr>
              <w:rFonts w:ascii="Lucida Bright" w:hAnsi="Lucida Bright"/>
              <w:szCs w:val="22"/>
            </w:rPr>
            <w:t>ommission. TWC</w:t>
          </w:r>
          <w:r w:rsidR="00177B46">
            <w:rPr>
              <w:rFonts w:ascii="Lucida Bright" w:hAnsi="Lucida Bright"/>
              <w:szCs w:val="22"/>
            </w:rPr>
            <w:t>,</w:t>
          </w:r>
          <w:r w:rsidR="005E0763" w:rsidRPr="00D908F1">
            <w:rPr>
              <w:rFonts w:ascii="Lucida Bright" w:hAnsi="Lucida Bright"/>
              <w:szCs w:val="22"/>
            </w:rPr>
            <w:t xml:space="preserve"> §</w:t>
          </w:r>
          <w:r w:rsidR="00E20DAD" w:rsidRPr="00D908F1">
            <w:rPr>
              <w:rFonts w:ascii="Lucida Bright" w:hAnsi="Lucida Bright"/>
              <w:szCs w:val="22"/>
            </w:rPr>
            <w:t xml:space="preserve"> </w:t>
          </w:r>
          <w:r w:rsidR="005E0763" w:rsidRPr="00D908F1">
            <w:rPr>
              <w:rFonts w:ascii="Lucida Bright" w:hAnsi="Lucida Bright"/>
              <w:szCs w:val="22"/>
            </w:rPr>
            <w:t xml:space="preserve">26.027 authorizes the </w:t>
          </w:r>
          <w:r w:rsidR="00014690">
            <w:rPr>
              <w:rFonts w:ascii="Lucida Bright" w:hAnsi="Lucida Bright"/>
              <w:szCs w:val="22"/>
            </w:rPr>
            <w:t>c</w:t>
          </w:r>
          <w:r w:rsidR="005E0763" w:rsidRPr="00D908F1">
            <w:rPr>
              <w:rFonts w:ascii="Lucida Bright" w:hAnsi="Lucida Bright"/>
              <w:szCs w:val="22"/>
            </w:rPr>
            <w:t>ommission to issue permits and amendments to permits for the discharge of waste or pollutants into or adjacent to water in the state. TWC</w:t>
          </w:r>
          <w:r w:rsidR="00807D00" w:rsidRPr="00D908F1">
            <w:rPr>
              <w:rFonts w:ascii="Lucida Bright" w:hAnsi="Lucida Bright"/>
              <w:szCs w:val="22"/>
            </w:rPr>
            <w:t>,</w:t>
          </w:r>
          <w:r w:rsidR="005E0763" w:rsidRPr="00D908F1">
            <w:rPr>
              <w:rFonts w:ascii="Lucida Bright" w:hAnsi="Lucida Bright"/>
              <w:szCs w:val="22"/>
            </w:rPr>
            <w:t xml:space="preserve"> §</w:t>
          </w:r>
          <w:r w:rsidR="00E20DAD" w:rsidRPr="00D908F1">
            <w:rPr>
              <w:rFonts w:ascii="Lucida Bright" w:hAnsi="Lucida Bright"/>
              <w:szCs w:val="22"/>
            </w:rPr>
            <w:t xml:space="preserve"> </w:t>
          </w:r>
          <w:r w:rsidR="005E0763" w:rsidRPr="00D908F1">
            <w:rPr>
              <w:rFonts w:ascii="Lucida Bright" w:hAnsi="Lucida Bright"/>
              <w:szCs w:val="22"/>
            </w:rPr>
            <w:t xml:space="preserve">26.040 provides the </w:t>
          </w:r>
          <w:r w:rsidR="00014690">
            <w:rPr>
              <w:rFonts w:ascii="Lucida Bright" w:hAnsi="Lucida Bright"/>
              <w:szCs w:val="22"/>
            </w:rPr>
            <w:t>c</w:t>
          </w:r>
          <w:r w:rsidR="005E0763" w:rsidRPr="00D908F1">
            <w:rPr>
              <w:rFonts w:ascii="Lucida Bright" w:hAnsi="Lucida Bright"/>
              <w:szCs w:val="22"/>
            </w:rPr>
            <w:t xml:space="preserve">ommission with </w:t>
          </w:r>
          <w:r w:rsidR="00E20DAD" w:rsidRPr="00D908F1">
            <w:rPr>
              <w:rFonts w:ascii="Lucida Bright" w:hAnsi="Lucida Bright"/>
              <w:szCs w:val="22"/>
            </w:rPr>
            <w:t xml:space="preserve">the </w:t>
          </w:r>
          <w:r w:rsidR="005E0763" w:rsidRPr="00D908F1">
            <w:rPr>
              <w:rFonts w:ascii="Lucida Bright" w:hAnsi="Lucida Bright"/>
              <w:szCs w:val="22"/>
            </w:rPr>
            <w:t xml:space="preserve">authority to </w:t>
          </w:r>
          <w:r w:rsidR="00B64A39" w:rsidRPr="00D908F1">
            <w:rPr>
              <w:rFonts w:ascii="Lucida Bright" w:hAnsi="Lucida Bright"/>
              <w:szCs w:val="22"/>
            </w:rPr>
            <w:t>develop and issue</w:t>
          </w:r>
          <w:r w:rsidR="005E0763" w:rsidRPr="00D908F1">
            <w:rPr>
              <w:rFonts w:ascii="Lucida Bright" w:hAnsi="Lucida Bright"/>
              <w:szCs w:val="22"/>
            </w:rPr>
            <w:t xml:space="preserve"> general permit</w:t>
          </w:r>
          <w:r w:rsidR="00B64A39" w:rsidRPr="00D908F1">
            <w:rPr>
              <w:rFonts w:ascii="Lucida Bright" w:hAnsi="Lucida Bright"/>
              <w:szCs w:val="22"/>
            </w:rPr>
            <w:t>s</w:t>
          </w:r>
          <w:r w:rsidR="005E0763" w:rsidRPr="00D908F1">
            <w:rPr>
              <w:rFonts w:ascii="Lucida Bright" w:hAnsi="Lucida Bright"/>
              <w:szCs w:val="22"/>
            </w:rPr>
            <w:t>.</w:t>
          </w:r>
        </w:p>
        <w:p w14:paraId="766C4D5A" w14:textId="24E62A3B" w:rsidR="005E0763" w:rsidRPr="00D908F1" w:rsidRDefault="005E0763" w:rsidP="00230F41">
          <w:pPr>
            <w:rPr>
              <w:rFonts w:ascii="Lucida Bright" w:hAnsi="Lucida Bright"/>
              <w:szCs w:val="22"/>
            </w:rPr>
          </w:pPr>
          <w:r w:rsidRPr="00D908F1">
            <w:rPr>
              <w:rFonts w:ascii="Lucida Bright" w:hAnsi="Lucida Bright"/>
              <w:szCs w:val="22"/>
            </w:rPr>
            <w:t xml:space="preserve">On September 14, 1998, TCEQ received authority from the United States Environmental Protection Agency (EPA) to administer the </w:t>
          </w:r>
          <w:r w:rsidR="00807D00" w:rsidRPr="00D908F1">
            <w:rPr>
              <w:rFonts w:ascii="Lucida Bright" w:hAnsi="Lucida Bright"/>
              <w:szCs w:val="22"/>
            </w:rPr>
            <w:t>TPDES</w:t>
          </w:r>
          <w:r w:rsidR="00A435E8">
            <w:rPr>
              <w:rFonts w:ascii="Lucida Bright" w:hAnsi="Lucida Bright"/>
              <w:szCs w:val="22"/>
            </w:rPr>
            <w:t xml:space="preserve"> Program</w:t>
          </w:r>
          <w:r w:rsidRPr="00D908F1">
            <w:rPr>
              <w:rFonts w:ascii="Lucida Bright" w:hAnsi="Lucida Bright"/>
              <w:szCs w:val="22"/>
            </w:rPr>
            <w:t>. TCEQ and EPA signed a Memorandum of Agreement which authorizes the administration of the National Pollutant Discharge Elimination System (NPDES) program to TCEQ as it applies to the State of Texas.</w:t>
          </w:r>
        </w:p>
        <w:p w14:paraId="33E07BBE" w14:textId="2C604E2F" w:rsidR="005E0763" w:rsidRPr="00D908F1" w:rsidRDefault="005E0763" w:rsidP="00230F41">
          <w:pPr>
            <w:spacing w:before="240"/>
            <w:rPr>
              <w:rFonts w:ascii="Lucida Bright" w:hAnsi="Lucida Bright"/>
              <w:szCs w:val="22"/>
            </w:rPr>
          </w:pPr>
          <w:r w:rsidRPr="00D908F1">
            <w:rPr>
              <w:rFonts w:ascii="Lucida Bright" w:hAnsi="Lucida Bright"/>
              <w:szCs w:val="22"/>
            </w:rPr>
            <w:t>CWA</w:t>
          </w:r>
          <w:r w:rsidR="00807D00" w:rsidRPr="00D908F1">
            <w:rPr>
              <w:rFonts w:ascii="Lucida Bright" w:hAnsi="Lucida Bright"/>
              <w:szCs w:val="22"/>
            </w:rPr>
            <w:t>,</w:t>
          </w:r>
          <w:r w:rsidRPr="00D908F1">
            <w:rPr>
              <w:rFonts w:ascii="Lucida Bright" w:hAnsi="Lucida Bright"/>
              <w:szCs w:val="22"/>
            </w:rPr>
            <w:t xml:space="preserve"> §§</w:t>
          </w:r>
          <w:r w:rsidR="00E20DAD" w:rsidRPr="00D908F1">
            <w:rPr>
              <w:rFonts w:ascii="Lucida Bright" w:hAnsi="Lucida Bright"/>
              <w:szCs w:val="22"/>
            </w:rPr>
            <w:t xml:space="preserve"> </w:t>
          </w:r>
          <w:r w:rsidRPr="00D908F1">
            <w:rPr>
              <w:rFonts w:ascii="Lucida Bright" w:hAnsi="Lucida Bright"/>
              <w:szCs w:val="22"/>
            </w:rPr>
            <w:t>301, 304, and 401 (33 United States Code (USC), §§</w:t>
          </w:r>
          <w:r w:rsidR="00E20DAD" w:rsidRPr="00D908F1">
            <w:rPr>
              <w:rFonts w:ascii="Lucida Bright" w:hAnsi="Lucida Bright"/>
              <w:szCs w:val="22"/>
            </w:rPr>
            <w:t xml:space="preserve"> </w:t>
          </w:r>
          <w:r w:rsidRPr="00D908F1">
            <w:rPr>
              <w:rFonts w:ascii="Lucida Bright" w:hAnsi="Lucida Bright"/>
              <w:szCs w:val="22"/>
            </w:rPr>
            <w:t>1331, 1314, and 1341) include provisions which state that NPDES permits must include effluent limitations requiring authorized discharges to: (1) meet standards reflecting levels of technological capability; (2) comply with EPA-approved state water quality standards; and (3) comply with other state requirements adopted under authority retained by states under CWA</w:t>
          </w:r>
          <w:r w:rsidR="00807D00" w:rsidRPr="00D908F1">
            <w:rPr>
              <w:rFonts w:ascii="Lucida Bright" w:hAnsi="Lucida Bright"/>
              <w:szCs w:val="22"/>
            </w:rPr>
            <w:t>,</w:t>
          </w:r>
          <w:r w:rsidRPr="00D908F1">
            <w:rPr>
              <w:rFonts w:ascii="Lucida Bright" w:hAnsi="Lucida Bright"/>
              <w:szCs w:val="22"/>
            </w:rPr>
            <w:t xml:space="preserve"> §</w:t>
          </w:r>
          <w:r w:rsidR="00E20DAD" w:rsidRPr="00D908F1">
            <w:rPr>
              <w:rFonts w:ascii="Lucida Bright" w:hAnsi="Lucida Bright"/>
              <w:szCs w:val="22"/>
            </w:rPr>
            <w:t xml:space="preserve"> </w:t>
          </w:r>
          <w:r w:rsidRPr="00D908F1">
            <w:rPr>
              <w:rFonts w:ascii="Lucida Bright" w:hAnsi="Lucida Bright"/>
              <w:szCs w:val="22"/>
            </w:rPr>
            <w:t>510, 33 USC §</w:t>
          </w:r>
          <w:r w:rsidR="00E20DAD" w:rsidRPr="00D908F1">
            <w:rPr>
              <w:rFonts w:ascii="Lucida Bright" w:hAnsi="Lucida Bright"/>
              <w:szCs w:val="22"/>
            </w:rPr>
            <w:t xml:space="preserve"> </w:t>
          </w:r>
          <w:r w:rsidRPr="00D908F1">
            <w:rPr>
              <w:rFonts w:ascii="Lucida Bright" w:hAnsi="Lucida Bright"/>
              <w:szCs w:val="22"/>
            </w:rPr>
            <w:t>1370.</w:t>
          </w:r>
        </w:p>
        <w:p w14:paraId="45F80037" w14:textId="30FFDFFB" w:rsidR="005E0763" w:rsidRPr="00D908F1" w:rsidRDefault="005E0763" w:rsidP="00230F41">
          <w:pPr>
            <w:spacing w:before="240"/>
            <w:rPr>
              <w:rFonts w:ascii="Lucida Bright" w:hAnsi="Lucida Bright"/>
              <w:szCs w:val="22"/>
            </w:rPr>
          </w:pPr>
          <w:r w:rsidRPr="00D908F1">
            <w:rPr>
              <w:rFonts w:ascii="Lucida Bright" w:hAnsi="Lucida Bright"/>
              <w:szCs w:val="22"/>
            </w:rPr>
            <w:t xml:space="preserve">EPA </w:t>
          </w:r>
          <w:r w:rsidR="00A435E8">
            <w:rPr>
              <w:rFonts w:ascii="Lucida Bright" w:hAnsi="Lucida Bright"/>
              <w:szCs w:val="22"/>
            </w:rPr>
            <w:t xml:space="preserve">frequently </w:t>
          </w:r>
          <w:r w:rsidRPr="00D908F1">
            <w:rPr>
              <w:rFonts w:ascii="Lucida Bright" w:hAnsi="Lucida Bright"/>
              <w:szCs w:val="22"/>
            </w:rPr>
            <w:t>adopts nationally applicable guidelines identifying the</w:t>
          </w:r>
          <w:r w:rsidR="004F2DB8" w:rsidRPr="00D908F1">
            <w:rPr>
              <w:rFonts w:ascii="Lucida Bright" w:hAnsi="Lucida Bright"/>
              <w:szCs w:val="22"/>
            </w:rPr>
            <w:t xml:space="preserve"> best practicable control technology (</w:t>
          </w:r>
          <w:r w:rsidRPr="00D908F1">
            <w:rPr>
              <w:rFonts w:ascii="Lucida Bright" w:hAnsi="Lucida Bright"/>
              <w:szCs w:val="22"/>
            </w:rPr>
            <w:t>BPT</w:t>
          </w:r>
          <w:r w:rsidR="004F2DB8" w:rsidRPr="00D908F1">
            <w:rPr>
              <w:rFonts w:ascii="Lucida Bright" w:hAnsi="Lucida Bright"/>
              <w:szCs w:val="22"/>
            </w:rPr>
            <w:t>)</w:t>
          </w:r>
          <w:r w:rsidRPr="00D908F1">
            <w:rPr>
              <w:rFonts w:ascii="Lucida Bright" w:hAnsi="Lucida Bright"/>
              <w:szCs w:val="22"/>
            </w:rPr>
            <w:t>,</w:t>
          </w:r>
          <w:r w:rsidR="004F2DB8" w:rsidRPr="00D908F1">
            <w:rPr>
              <w:rFonts w:ascii="Lucida Bright" w:hAnsi="Lucida Bright"/>
              <w:szCs w:val="22"/>
            </w:rPr>
            <w:t xml:space="preserve"> best conventional pollutant control technology</w:t>
          </w:r>
          <w:r w:rsidRPr="00D908F1">
            <w:rPr>
              <w:rFonts w:ascii="Lucida Bright" w:hAnsi="Lucida Bright"/>
              <w:szCs w:val="22"/>
            </w:rPr>
            <w:t xml:space="preserve"> </w:t>
          </w:r>
          <w:r w:rsidR="004F2DB8" w:rsidRPr="00D908F1">
            <w:rPr>
              <w:rFonts w:ascii="Lucida Bright" w:hAnsi="Lucida Bright"/>
              <w:szCs w:val="22"/>
            </w:rPr>
            <w:t>(</w:t>
          </w:r>
          <w:r w:rsidRPr="00D908F1">
            <w:rPr>
              <w:rFonts w:ascii="Lucida Bright" w:hAnsi="Lucida Bright"/>
              <w:szCs w:val="22"/>
            </w:rPr>
            <w:t>BCT</w:t>
          </w:r>
          <w:r w:rsidR="004F2DB8" w:rsidRPr="00D908F1">
            <w:rPr>
              <w:rFonts w:ascii="Lucida Bright" w:hAnsi="Lucida Bright"/>
              <w:szCs w:val="22"/>
            </w:rPr>
            <w:t>)</w:t>
          </w:r>
          <w:r w:rsidRPr="00D908F1">
            <w:rPr>
              <w:rFonts w:ascii="Lucida Bright" w:hAnsi="Lucida Bright"/>
              <w:szCs w:val="22"/>
            </w:rPr>
            <w:t xml:space="preserve">, and </w:t>
          </w:r>
          <w:r w:rsidR="004F2DB8" w:rsidRPr="00D908F1">
            <w:rPr>
              <w:rFonts w:ascii="Lucida Bright" w:hAnsi="Lucida Bright"/>
              <w:szCs w:val="22"/>
            </w:rPr>
            <w:t>best available technology economically achievable (</w:t>
          </w:r>
          <w:r w:rsidRPr="00D908F1">
            <w:rPr>
              <w:rFonts w:ascii="Lucida Bright" w:hAnsi="Lucida Bright"/>
              <w:szCs w:val="22"/>
            </w:rPr>
            <w:t>BAT</w:t>
          </w:r>
          <w:r w:rsidR="004F2DB8" w:rsidRPr="00D908F1">
            <w:rPr>
              <w:rFonts w:ascii="Lucida Bright" w:hAnsi="Lucida Bright"/>
              <w:szCs w:val="22"/>
            </w:rPr>
            <w:t>)</w:t>
          </w:r>
          <w:r w:rsidRPr="00D908F1">
            <w:rPr>
              <w:rFonts w:ascii="Lucida Bright" w:hAnsi="Lucida Bright"/>
              <w:szCs w:val="22"/>
            </w:rPr>
            <w:t xml:space="preserve"> standards to which specific industrial categories and subcategories are subject. Until such guidelines are published, however, CWA</w:t>
          </w:r>
          <w:r w:rsidR="00807D00" w:rsidRPr="00D908F1">
            <w:rPr>
              <w:rFonts w:ascii="Lucida Bright" w:hAnsi="Lucida Bright"/>
              <w:szCs w:val="22"/>
            </w:rPr>
            <w:t>,</w:t>
          </w:r>
          <w:r w:rsidRPr="00D908F1">
            <w:rPr>
              <w:rFonts w:ascii="Lucida Bright" w:hAnsi="Lucida Bright"/>
              <w:szCs w:val="22"/>
            </w:rPr>
            <w:t xml:space="preserve"> §</w:t>
          </w:r>
          <w:r w:rsidR="00E20DAD" w:rsidRPr="00D908F1">
            <w:rPr>
              <w:rFonts w:ascii="Lucida Bright" w:hAnsi="Lucida Bright"/>
              <w:szCs w:val="22"/>
            </w:rPr>
            <w:t xml:space="preserve"> </w:t>
          </w:r>
          <w:r w:rsidRPr="00D908F1">
            <w:rPr>
              <w:rFonts w:ascii="Lucida Bright" w:hAnsi="Lucida Bright"/>
              <w:szCs w:val="22"/>
            </w:rPr>
            <w:t xml:space="preserve">402(a)(1) requires that appropriate BCT and BAT effluent limitations be included in permitting actions </w:t>
          </w:r>
          <w:r w:rsidR="004D5194" w:rsidRPr="00D908F1">
            <w:rPr>
              <w:rFonts w:ascii="Lucida Bright" w:hAnsi="Lucida Bright"/>
              <w:szCs w:val="22"/>
            </w:rPr>
            <w:t>based on</w:t>
          </w:r>
          <w:r w:rsidRPr="00D908F1">
            <w:rPr>
              <w:rFonts w:ascii="Lucida Bright" w:hAnsi="Lucida Bright"/>
              <w:szCs w:val="22"/>
            </w:rPr>
            <w:t xml:space="preserve"> best professional judgment (BPJ).</w:t>
          </w:r>
        </w:p>
        <w:p w14:paraId="562D0FCD" w14:textId="3C0C2082" w:rsidR="005E0763" w:rsidRPr="00D908F1" w:rsidRDefault="005E0763" w:rsidP="00F5173B">
          <w:pPr>
            <w:pStyle w:val="Heading1"/>
          </w:pPr>
          <w:r w:rsidRPr="00D908F1">
            <w:t>VII</w:t>
          </w:r>
          <w:r w:rsidR="00D908F1" w:rsidRPr="00D908F1">
            <w:t>I</w:t>
          </w:r>
          <w:r w:rsidRPr="00D908F1">
            <w:t xml:space="preserve">. </w:t>
          </w:r>
          <w:r w:rsidRPr="00D908F1">
            <w:rPr>
              <w:i/>
            </w:rPr>
            <w:tab/>
          </w:r>
          <w:r w:rsidRPr="00D908F1">
            <w:t>Regulatory Background</w:t>
          </w:r>
        </w:p>
        <w:p w14:paraId="19C412CD" w14:textId="6D446F58" w:rsidR="00B64A39" w:rsidRPr="00D908F1" w:rsidRDefault="00B64A39" w:rsidP="00DE1E2F">
          <w:pPr>
            <w:spacing w:after="240"/>
            <w:rPr>
              <w:rFonts w:ascii="Lucida Bright" w:hAnsi="Lucida Bright"/>
              <w:szCs w:val="22"/>
            </w:rPr>
          </w:pPr>
          <w:r w:rsidRPr="00D908F1">
            <w:rPr>
              <w:rFonts w:ascii="Lucida Bright" w:hAnsi="Lucida Bright"/>
              <w:szCs w:val="22"/>
            </w:rPr>
            <w:t xml:space="preserve">The executive director proposes to issue the </w:t>
          </w:r>
          <w:r w:rsidR="00060329" w:rsidRPr="00D908F1">
            <w:rPr>
              <w:rFonts w:ascii="Lucida Bright" w:hAnsi="Lucida Bright"/>
              <w:szCs w:val="22"/>
            </w:rPr>
            <w:t>draft</w:t>
          </w:r>
          <w:r w:rsidRPr="00D908F1">
            <w:rPr>
              <w:rFonts w:ascii="Lucida Bright" w:hAnsi="Lucida Bright"/>
              <w:szCs w:val="22"/>
            </w:rPr>
            <w:t xml:space="preserve"> general permit which would authorize the discharge of wastewater generated as a result of conventional water treatment at water treatment facilities into or adjacent to water in the state.</w:t>
          </w:r>
        </w:p>
        <w:p w14:paraId="58DB3D01" w14:textId="12175FF9" w:rsidR="005E0763" w:rsidRPr="00D908F1" w:rsidRDefault="00D908F1" w:rsidP="00F5173B">
          <w:pPr>
            <w:pStyle w:val="Heading1"/>
          </w:pPr>
          <w:r w:rsidRPr="00D908F1">
            <w:t>IX</w:t>
          </w:r>
          <w:r w:rsidR="005E0763" w:rsidRPr="00D908F1">
            <w:t xml:space="preserve">. </w:t>
          </w:r>
          <w:r w:rsidR="005E0763" w:rsidRPr="00D908F1">
            <w:tab/>
            <w:t xml:space="preserve">Permit Coverage </w:t>
          </w:r>
        </w:p>
        <w:p w14:paraId="6DC03AA8" w14:textId="55F2D566" w:rsidR="00EC6BE6" w:rsidRPr="00D908F1" w:rsidRDefault="00EC6BE6" w:rsidP="00F5173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rPr>
              <w:rFonts w:ascii="Lucida Bright" w:hAnsi="Lucida Bright" w:cs="Times New Roman"/>
              <w:szCs w:val="22"/>
            </w:rPr>
          </w:pPr>
          <w:r w:rsidRPr="00D908F1">
            <w:rPr>
              <w:rFonts w:ascii="Lucida Bright" w:hAnsi="Lucida Bright" w:cs="Times New Roman"/>
              <w:szCs w:val="22"/>
            </w:rPr>
            <w:t xml:space="preserve">The purpose of this general permit is to regulate the discharge of </w:t>
          </w:r>
          <w:r w:rsidR="005335D2" w:rsidRPr="00D908F1">
            <w:rPr>
              <w:rFonts w:ascii="Lucida Bright" w:hAnsi="Lucida Bright" w:cs="Times New Roman"/>
              <w:szCs w:val="22"/>
            </w:rPr>
            <w:t>wastewater from conventional water treatment facilities</w:t>
          </w:r>
          <w:r w:rsidRPr="00D908F1">
            <w:rPr>
              <w:rFonts w:ascii="Lucida Bright" w:hAnsi="Lucida Bright" w:cs="Times New Roman"/>
              <w:szCs w:val="22"/>
            </w:rPr>
            <w:t xml:space="preserve">. </w:t>
          </w:r>
          <w:r w:rsidR="005335D2" w:rsidRPr="00D908F1">
            <w:rPr>
              <w:rFonts w:ascii="Lucida Bright" w:hAnsi="Lucida Bright" w:cs="Times New Roman"/>
              <w:szCs w:val="22"/>
            </w:rPr>
            <w:t>Conventional water treatment is the process of treating raw water using coagulation, flocculation, clarification, filtration, and disinfection. This general permit does not authorize the discharge of domestic sewage or wastewater generated as a result of reverse osmosis</w:t>
          </w:r>
          <w:r w:rsidR="004C3FFD" w:rsidRPr="00D908F1">
            <w:rPr>
              <w:rFonts w:ascii="Lucida Bright" w:hAnsi="Lucida Bright" w:cs="Times New Roman"/>
              <w:szCs w:val="22"/>
            </w:rPr>
            <w:t>,</w:t>
          </w:r>
          <w:r w:rsidR="005335D2" w:rsidRPr="00D908F1">
            <w:rPr>
              <w:rFonts w:ascii="Lucida Bright" w:hAnsi="Lucida Bright" w:cs="Times New Roman"/>
              <w:szCs w:val="22"/>
            </w:rPr>
            <w:t xml:space="preserve"> ion exchange</w:t>
          </w:r>
          <w:r w:rsidR="004C3FFD" w:rsidRPr="00D908F1">
            <w:rPr>
              <w:rFonts w:ascii="Lucida Bright" w:hAnsi="Lucida Bright" w:cs="Times New Roman"/>
              <w:szCs w:val="22"/>
            </w:rPr>
            <w:t>, or any other desalination process</w:t>
          </w:r>
          <w:r w:rsidR="005335D2" w:rsidRPr="00D908F1">
            <w:rPr>
              <w:rFonts w:ascii="Lucida Bright" w:hAnsi="Lucida Bright" w:cs="Times New Roman"/>
              <w:szCs w:val="22"/>
            </w:rPr>
            <w:t xml:space="preserve"> because those wastewaters may require site-specific water quality</w:t>
          </w:r>
          <w:r w:rsidR="00541359" w:rsidRPr="00D908F1">
            <w:rPr>
              <w:rFonts w:ascii="Lucida Bright" w:hAnsi="Lucida Bright" w:cs="Times New Roman"/>
              <w:szCs w:val="22"/>
            </w:rPr>
            <w:t>-</w:t>
          </w:r>
          <w:r w:rsidR="005335D2" w:rsidRPr="00D908F1">
            <w:rPr>
              <w:rFonts w:ascii="Lucida Bright" w:hAnsi="Lucida Bright" w:cs="Times New Roman"/>
              <w:szCs w:val="22"/>
            </w:rPr>
            <w:t>based effluent limitations.</w:t>
          </w:r>
        </w:p>
        <w:p w14:paraId="0297436F" w14:textId="08873F30" w:rsidR="00EC6BE6" w:rsidRPr="00D908F1" w:rsidRDefault="005335D2" w:rsidP="00A8136D">
          <w:pPr>
            <w:pStyle w:val="ListParagraph"/>
            <w:numPr>
              <w:ilvl w:val="0"/>
              <w:numId w:val="30"/>
            </w:numPr>
            <w:ind w:hanging="720"/>
          </w:pPr>
          <w:r w:rsidRPr="00D908F1">
            <w:t>Facilities that discharge adjacent to water in the state (i</w:t>
          </w:r>
          <w:r w:rsidR="00A435E8">
            <w:t>.</w:t>
          </w:r>
          <w:r w:rsidRPr="00D908F1">
            <w:t>e.</w:t>
          </w:r>
          <w:r w:rsidR="00A435E8">
            <w:t>,</w:t>
          </w:r>
          <w:r w:rsidRPr="00D908F1">
            <w:t xml:space="preserve"> exclusively use land application of wastewater) are not required to submit a Notice of Intent (NOI) to obtain authorization under this general permit. These facilities must comply with all other requirements of this general permit.</w:t>
          </w:r>
        </w:p>
        <w:p w14:paraId="0002AB4E" w14:textId="69BF07A4" w:rsidR="005335D2" w:rsidRPr="00D908F1" w:rsidRDefault="006510BA" w:rsidP="00A8136D">
          <w:pPr>
            <w:pStyle w:val="ListNumber"/>
          </w:pPr>
          <w:r w:rsidRPr="00D908F1">
            <w:t xml:space="preserve">Facilities that discharge into water in the state shall submit a completed NOI on a form approved by the executive director. </w:t>
          </w:r>
          <w:r w:rsidR="00C41C23">
            <w:t xml:space="preserve">The </w:t>
          </w:r>
          <w:r w:rsidRPr="00D908F1">
            <w:t>NOI must be submitted via the online e-permitting system available through TCEQ</w:t>
          </w:r>
          <w:r w:rsidR="00305C0A" w:rsidRPr="00D908F1">
            <w:t>’s</w:t>
          </w:r>
          <w:r w:rsidRPr="00D908F1">
            <w:t xml:space="preserve"> website unless the applicant requests and obtains an electronic reporting waiver. </w:t>
          </w:r>
          <w:r w:rsidR="00833FF4" w:rsidRPr="00D908F1">
            <w:t>Electronic reporting waivers are not transferable and expire on the same date as the authorization to discharge. The NOI shall include at a minimum the legal name and address of the owner and operator, the facility name and address, specific description of the location, wastewater design flow, outfall information, and the name of the receiving water(s).</w:t>
          </w:r>
        </w:p>
        <w:p w14:paraId="017288BD" w14:textId="1CF5A5C4" w:rsidR="00EC6BE6" w:rsidRPr="00D908F1" w:rsidRDefault="00833FF4" w:rsidP="00A8136D">
          <w:pPr>
            <w:pStyle w:val="ListNumber"/>
          </w:pPr>
          <w:r w:rsidRPr="00D908F1">
            <w:t>Submission of a</w:t>
          </w:r>
          <w:r w:rsidR="00B131AA">
            <w:t>n</w:t>
          </w:r>
          <w:r w:rsidRPr="00D908F1">
            <w:t xml:space="preserve"> NOI is an acknowledgment that the conditions of this general permit are applicable to the proposed discharge, and that the applicant agrees to comply with the conditions of this general permit. For electronic submittal of NOIs, provisional authorization to discharge under the terms and conditions of the general permit begins immediately after TCEQ confirms receipt of the electronic NOI. For paper NOIs, provisional authorization begins 48 hours after a completed NOI is postmarked for delivery to TCEQ. The NOI shall be submitted to the address indicated on the NOI form. </w:t>
          </w:r>
          <w:r w:rsidR="003C283D" w:rsidRPr="00D908F1">
            <w:t xml:space="preserve">Following review of the NOI, the Executive Director shall either acknowledge coverage by providing an authorization number to the applicant or notify the applicant that coverage under this general permit is denied. </w:t>
          </w:r>
          <w:r w:rsidR="00EC6BE6" w:rsidRPr="00D908F1">
            <w:t>Applicants seeking authorization to discharge to a municipal separate storm sewer system</w:t>
          </w:r>
          <w:r w:rsidR="001A3C2A" w:rsidRPr="00D908F1">
            <w:t xml:space="preserve"> (MS4)</w:t>
          </w:r>
          <w:r w:rsidR="00EC6BE6" w:rsidRPr="00D908F1">
            <w:t xml:space="preserve"> must provide a copy of the NOI to the operator of the system at the same time an NOI is submitted to TCEQ.</w:t>
          </w:r>
        </w:p>
        <w:p w14:paraId="21F46404" w14:textId="3780EA9E" w:rsidR="00EC6BE6" w:rsidRPr="00D908F1" w:rsidRDefault="001A3C2A" w:rsidP="00A8136D">
          <w:pPr>
            <w:pStyle w:val="ListNumber"/>
          </w:pPr>
          <w:r w:rsidRPr="00D908F1">
            <w:t xml:space="preserve">For discharges located in areas regulated by 30 TAC Chapter 213, </w:t>
          </w:r>
          <w:r w:rsidRPr="00D908F1">
            <w:rPr>
              <w:i/>
            </w:rPr>
            <w:t>Edwards Aquifer</w:t>
          </w:r>
          <w:r w:rsidRPr="00D908F1">
            <w:t xml:space="preserve">, this authorization to discharge is separate from the requirements of the applicant’s responsibilities under that rule. Discharge may not commence for sites regulated under 30 TAC Chapter 213 until all applicable requirements of that </w:t>
          </w:r>
          <w:r w:rsidR="00566167" w:rsidRPr="00D908F1">
            <w:t xml:space="preserve">chapter </w:t>
          </w:r>
          <w:r w:rsidRPr="00D908F1">
            <w:t xml:space="preserve">are met. </w:t>
          </w:r>
          <w:r w:rsidR="00EC6BE6" w:rsidRPr="00D908F1">
            <w:t xml:space="preserve">For discharges located </w:t>
          </w:r>
          <w:r w:rsidR="00E20DAD" w:rsidRPr="00D908F1">
            <w:t>o</w:t>
          </w:r>
          <w:r w:rsidR="00DB3AE1" w:rsidRPr="00D908F1">
            <w:t xml:space="preserve">n or </w:t>
          </w:r>
          <w:r w:rsidR="00EC6BE6" w:rsidRPr="00D908F1">
            <w:t>within ten stream miles upstream of the Edwards Aquifer recharge zone, applicants must also submit a copy of the NOI to the appropriate TCEQ regional office.</w:t>
          </w:r>
        </w:p>
        <w:p w14:paraId="414835F8" w14:textId="512519DA" w:rsidR="00145E91" w:rsidRPr="00D908F1" w:rsidRDefault="00145E91" w:rsidP="009F5FD9">
          <w:pPr>
            <w:spacing w:before="240"/>
            <w:ind w:left="2880" w:hanging="1440"/>
            <w:rPr>
              <w:rFonts w:ascii="Lucida Bright" w:hAnsi="Lucida Bright" w:cs="Times New Roman"/>
              <w:szCs w:val="22"/>
            </w:rPr>
          </w:pPr>
          <w:r w:rsidRPr="00D908F1">
            <w:rPr>
              <w:rFonts w:ascii="Lucida Bright" w:hAnsi="Lucida Bright" w:cs="Times New Roman"/>
              <w:szCs w:val="22"/>
            </w:rPr>
            <w:t xml:space="preserve">Counties: </w:t>
          </w:r>
          <w:r w:rsidR="009F5FD9" w:rsidRPr="00D908F1">
            <w:rPr>
              <w:rFonts w:ascii="Lucida Bright" w:hAnsi="Lucida Bright" w:cs="Times New Roman"/>
              <w:szCs w:val="22"/>
            </w:rPr>
            <w:tab/>
            <w:t>Bexar, Comal, Hays, Kinney, Medina, Travis, Uvalde, and Williamson</w:t>
          </w:r>
        </w:p>
        <w:p w14:paraId="04ABD5FC" w14:textId="51752A69" w:rsidR="00145E91" w:rsidRPr="00D908F1" w:rsidRDefault="00145E91" w:rsidP="00CE523F">
          <w:pPr>
            <w:ind w:left="2160" w:hanging="720"/>
            <w:rPr>
              <w:rFonts w:ascii="Lucida Bright" w:hAnsi="Lucida Bright" w:cs="Times New Roman"/>
              <w:szCs w:val="22"/>
            </w:rPr>
          </w:pPr>
          <w:r w:rsidRPr="00D908F1">
            <w:rPr>
              <w:rFonts w:ascii="Lucida Bright" w:hAnsi="Lucida Bright" w:cs="Times New Roman"/>
              <w:szCs w:val="22"/>
            </w:rPr>
            <w:t xml:space="preserve">Contact: </w:t>
          </w:r>
          <w:r w:rsidR="009F5FD9" w:rsidRPr="00D908F1">
            <w:rPr>
              <w:rFonts w:ascii="Lucida Bright" w:hAnsi="Lucida Bright" w:cs="Times New Roman"/>
              <w:szCs w:val="22"/>
            </w:rPr>
            <w:tab/>
          </w:r>
          <w:r w:rsidRPr="00D908F1">
            <w:rPr>
              <w:rFonts w:ascii="Lucida Bright" w:hAnsi="Lucida Bright" w:cs="Times New Roman"/>
              <w:szCs w:val="22"/>
            </w:rPr>
            <w:t>TCEQ</w:t>
          </w:r>
          <w:r w:rsidR="00CE523F" w:rsidRPr="00D908F1">
            <w:rPr>
              <w:rFonts w:ascii="Lucida Bright" w:hAnsi="Lucida Bright" w:cs="Times New Roman"/>
              <w:szCs w:val="22"/>
            </w:rPr>
            <w:t xml:space="preserve"> </w:t>
          </w:r>
          <w:r w:rsidR="009F5FD9" w:rsidRPr="00D908F1">
            <w:rPr>
              <w:rFonts w:ascii="Lucida Bright" w:hAnsi="Lucida Bright" w:cs="Times New Roman"/>
              <w:szCs w:val="22"/>
            </w:rPr>
            <w:t>Edwards Aquifer Protection</w:t>
          </w:r>
          <w:r w:rsidRPr="00D908F1">
            <w:rPr>
              <w:rFonts w:ascii="Lucida Bright" w:hAnsi="Lucida Bright" w:cs="Times New Roman"/>
              <w:szCs w:val="22"/>
            </w:rPr>
            <w:t xml:space="preserve"> Program Manager</w:t>
          </w:r>
        </w:p>
        <w:p w14:paraId="4F3CC717" w14:textId="560E9763" w:rsidR="00145E91" w:rsidRPr="00D908F1" w:rsidRDefault="009F5FD9"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szCs w:val="22"/>
            </w:rPr>
          </w:pPr>
          <w:r w:rsidRPr="00D908F1">
            <w:rPr>
              <w:rFonts w:ascii="Lucida Bright" w:hAnsi="Lucida Bright" w:cs="Times New Roman"/>
              <w:szCs w:val="22"/>
            </w:rPr>
            <w:tab/>
          </w:r>
          <w:r w:rsidR="00145E91" w:rsidRPr="00D908F1">
            <w:rPr>
              <w:rFonts w:ascii="Lucida Bright" w:hAnsi="Lucida Bright" w:cs="Times New Roman"/>
              <w:szCs w:val="22"/>
            </w:rPr>
            <w:t>Austin Regional Office</w:t>
          </w:r>
        </w:p>
        <w:p w14:paraId="69AE8D14" w14:textId="26564129" w:rsidR="00145E91" w:rsidRPr="00D908F1" w:rsidRDefault="009F5FD9"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bCs/>
              <w:color w:val="000000"/>
              <w:szCs w:val="22"/>
            </w:rPr>
          </w:pPr>
          <w:r w:rsidRPr="00D908F1">
            <w:rPr>
              <w:rFonts w:ascii="Lucida Bright" w:hAnsi="Lucida Bright" w:cs="Times New Roman"/>
              <w:bCs/>
              <w:color w:val="000000"/>
              <w:szCs w:val="22"/>
            </w:rPr>
            <w:tab/>
          </w:r>
          <w:r w:rsidR="00145E91" w:rsidRPr="00D908F1">
            <w:rPr>
              <w:rFonts w:ascii="Lucida Bright" w:hAnsi="Lucida Bright" w:cs="Times New Roman"/>
              <w:bCs/>
              <w:color w:val="000000"/>
              <w:szCs w:val="22"/>
            </w:rPr>
            <w:t>P.O. Box 13087</w:t>
          </w:r>
        </w:p>
        <w:p w14:paraId="68671C4B" w14:textId="08D29479" w:rsidR="00145E91" w:rsidRPr="00D908F1" w:rsidRDefault="009F5FD9"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b/>
              <w:szCs w:val="22"/>
            </w:rPr>
          </w:pPr>
          <w:r w:rsidRPr="00D908F1">
            <w:rPr>
              <w:rFonts w:ascii="Lucida Bright" w:hAnsi="Lucida Bright" w:cs="Times New Roman"/>
              <w:bCs/>
              <w:color w:val="000000"/>
              <w:szCs w:val="22"/>
            </w:rPr>
            <w:tab/>
          </w:r>
          <w:r w:rsidR="00145E91" w:rsidRPr="00D908F1">
            <w:rPr>
              <w:rFonts w:ascii="Lucida Bright" w:hAnsi="Lucida Bright" w:cs="Times New Roman"/>
              <w:bCs/>
              <w:color w:val="000000"/>
              <w:szCs w:val="22"/>
            </w:rPr>
            <w:t>Austin, TX 78711-3087</w:t>
          </w:r>
        </w:p>
        <w:p w14:paraId="56B555E4" w14:textId="77777777" w:rsidR="00145E91" w:rsidRPr="00D908F1" w:rsidRDefault="00145E91" w:rsidP="009F5FD9">
          <w:pPr>
            <w:spacing w:after="240"/>
            <w:ind w:left="2434" w:firstLine="446"/>
            <w:rPr>
              <w:rFonts w:ascii="Lucida Bright" w:hAnsi="Lucida Bright" w:cs="Times New Roman"/>
              <w:szCs w:val="22"/>
            </w:rPr>
          </w:pPr>
          <w:r w:rsidRPr="00D908F1">
            <w:rPr>
              <w:rFonts w:ascii="Lucida Bright" w:hAnsi="Lucida Bright" w:cs="Times New Roman"/>
              <w:szCs w:val="22"/>
            </w:rPr>
            <w:t>512-339-2929</w:t>
          </w:r>
        </w:p>
        <w:p w14:paraId="05ACF435" w14:textId="5C1B50A7" w:rsidR="00EC6BE6" w:rsidRPr="00D908F1" w:rsidRDefault="00E20DAD" w:rsidP="00A8136D">
          <w:pPr>
            <w:pStyle w:val="ListNumber"/>
          </w:pPr>
          <w:r w:rsidRPr="00D908F1">
            <w:t>Authorization under this general permit is not transferable. If either the owner or operator of the regulated entity changes, then both the present owner and operator must submit a Notice of Termination (NOT) and the new owner and operator must submit an NOI. The NOT and NOI must be submitted no later than 10 days before the change. Permittees discharging to a MS4 must submit a copy of the NOT to the operator of the system at the same time the NOT is submitted to TCEQ.</w:t>
          </w:r>
        </w:p>
        <w:p w14:paraId="572149B4" w14:textId="16E50B66" w:rsidR="00EC6BE6" w:rsidRPr="00D908F1" w:rsidRDefault="00EC6BE6" w:rsidP="00A8136D">
          <w:pPr>
            <w:pStyle w:val="ListNumber"/>
          </w:pPr>
          <w:r w:rsidRPr="00D908F1">
            <w:t xml:space="preserve">If the </w:t>
          </w:r>
          <w:r w:rsidR="00E20DAD" w:rsidRPr="00D908F1">
            <w:t xml:space="preserve">owner or </w:t>
          </w:r>
          <w:r w:rsidRPr="00D908F1">
            <w:t xml:space="preserve">operator becomes aware that </w:t>
          </w:r>
          <w:r w:rsidR="004D5408" w:rsidRPr="00D908F1">
            <w:t xml:space="preserve">he or she </w:t>
          </w:r>
          <w:r w:rsidRPr="00D908F1">
            <w:t xml:space="preserve">failed to submit any relevant facts or submitted incorrect information in an NOI, the correct information must be provided to the Executive Director in a Notice of Change (NOC) </w:t>
          </w:r>
          <w:r w:rsidR="00B131AA">
            <w:t>within</w:t>
          </w:r>
          <w:r w:rsidRPr="00D908F1">
            <w:t xml:space="preserve"> 14 days </w:t>
          </w:r>
          <w:r w:rsidR="00B131AA">
            <w:t>of</w:t>
          </w:r>
          <w:r w:rsidRPr="00D908F1">
            <w:t xml:space="preserve"> discovery</w:t>
          </w:r>
          <w:r w:rsidR="00A435E8">
            <w:t xml:space="preserve"> </w:t>
          </w:r>
          <w:r w:rsidR="00B131AA">
            <w:t>of the error</w:t>
          </w:r>
          <w:r w:rsidRPr="00D908F1">
            <w:t>. If relevant information provided in the NOI changes (</w:t>
          </w:r>
          <w:r w:rsidR="00012D43" w:rsidRPr="00D908F1">
            <w:t>e.g.</w:t>
          </w:r>
          <w:r w:rsidRPr="00D908F1">
            <w:t xml:space="preserve">, </w:t>
          </w:r>
          <w:r w:rsidR="00012D43" w:rsidRPr="00D908F1">
            <w:t>permittee address, phone number, outfall information, design flow, D</w:t>
          </w:r>
          <w:r w:rsidR="00EC0989" w:rsidRPr="00D908F1">
            <w:t xml:space="preserve">ischarge </w:t>
          </w:r>
          <w:r w:rsidR="00012D43" w:rsidRPr="00D908F1">
            <w:t>M</w:t>
          </w:r>
          <w:r w:rsidR="00EC0989" w:rsidRPr="00D908F1">
            <w:t xml:space="preserve">onitoring </w:t>
          </w:r>
          <w:r w:rsidR="00012D43" w:rsidRPr="00D908F1">
            <w:t>R</w:t>
          </w:r>
          <w:r w:rsidR="00EC0989" w:rsidRPr="00D908F1">
            <w:t>eport (DMR)</w:t>
          </w:r>
          <w:r w:rsidR="00012D43" w:rsidRPr="00D908F1">
            <w:t xml:space="preserve"> contact, or billing contact</w:t>
          </w:r>
          <w:r w:rsidRPr="00D908F1">
            <w:t xml:space="preserve">) </w:t>
          </w:r>
          <w:r w:rsidR="00833FF4" w:rsidRPr="00D908F1">
            <w:t>a</w:t>
          </w:r>
          <w:r w:rsidR="00B131AA">
            <w:t>n</w:t>
          </w:r>
          <w:r w:rsidRPr="00D908F1">
            <w:t xml:space="preserve"> NOC must be submitted within 14 days of the change. Permittees discharging to a MS4 must submit a copy of any NOC to the operator of the system at the same time the NOC is submitted to TCEQ.</w:t>
          </w:r>
        </w:p>
        <w:p w14:paraId="33155DED" w14:textId="25C98224" w:rsidR="002A5076" w:rsidRPr="00D908F1" w:rsidRDefault="00743951" w:rsidP="00F5173B">
          <w:pPr>
            <w:pStyle w:val="Heading1"/>
          </w:pPr>
          <w:r w:rsidRPr="00D908F1">
            <w:t>X</w:t>
          </w:r>
          <w:r w:rsidR="002A5076" w:rsidRPr="00D908F1">
            <w:t>.</w:t>
          </w:r>
          <w:r w:rsidR="002A5076" w:rsidRPr="00D908F1">
            <w:tab/>
            <w:t>Technology-Based Requirements</w:t>
          </w:r>
        </w:p>
        <w:p w14:paraId="55C11747" w14:textId="4208153F" w:rsidR="002A5076" w:rsidRPr="00D908F1" w:rsidRDefault="002A5076" w:rsidP="00F5173B">
          <w:pPr>
            <w:spacing w:before="120"/>
            <w:rPr>
              <w:rFonts w:ascii="Lucida Bright" w:hAnsi="Lucida Bright"/>
            </w:rPr>
          </w:pPr>
          <w:r w:rsidRPr="00D908F1">
            <w:rPr>
              <w:rFonts w:ascii="Lucida Bright" w:hAnsi="Lucida Bright"/>
            </w:rPr>
            <w:t xml:space="preserve">The </w:t>
          </w:r>
          <w:r w:rsidR="00BD0F3B" w:rsidRPr="00D908F1">
            <w:rPr>
              <w:rFonts w:ascii="Lucida Bright" w:hAnsi="Lucida Bright"/>
            </w:rPr>
            <w:t xml:space="preserve">existing effluent </w:t>
          </w:r>
          <w:r w:rsidRPr="00D908F1">
            <w:rPr>
              <w:rFonts w:ascii="Lucida Bright" w:hAnsi="Lucida Bright"/>
            </w:rPr>
            <w:t xml:space="preserve">limitations and conditions of the </w:t>
          </w:r>
          <w:r w:rsidR="001A3C2A" w:rsidRPr="00D908F1">
            <w:rPr>
              <w:rFonts w:ascii="Lucida Bright" w:hAnsi="Lucida Bright"/>
            </w:rPr>
            <w:t>draft</w:t>
          </w:r>
          <w:r w:rsidRPr="00D908F1">
            <w:rPr>
              <w:rFonts w:ascii="Lucida Bright" w:hAnsi="Lucida Bright"/>
            </w:rPr>
            <w:t xml:space="preserve"> general permit </w:t>
          </w:r>
          <w:r w:rsidR="00305C0A" w:rsidRPr="00D908F1">
            <w:rPr>
              <w:rFonts w:ascii="Lucida Bright" w:hAnsi="Lucida Bright"/>
            </w:rPr>
            <w:t>were originally</w:t>
          </w:r>
          <w:r w:rsidRPr="00D908F1">
            <w:rPr>
              <w:rFonts w:ascii="Lucida Bright" w:hAnsi="Lucida Bright"/>
            </w:rPr>
            <w:t xml:space="preserve"> developed to comply with the technology-based standards of the </w:t>
          </w:r>
          <w:r w:rsidR="00807D00" w:rsidRPr="00D908F1">
            <w:rPr>
              <w:rFonts w:ascii="Lucida Bright" w:hAnsi="Lucida Bright"/>
            </w:rPr>
            <w:t>CWA</w:t>
          </w:r>
          <w:r w:rsidRPr="00D908F1">
            <w:rPr>
              <w:rFonts w:ascii="Lucida Bright" w:hAnsi="Lucida Bright"/>
            </w:rPr>
            <w:t xml:space="preserve">. </w:t>
          </w:r>
          <w:r w:rsidR="0088454E" w:rsidRPr="00D908F1">
            <w:rPr>
              <w:rFonts w:ascii="Lucida Bright" w:hAnsi="Lucida Bright"/>
            </w:rPr>
            <w:t xml:space="preserve">There are currently no nationally applicable guidelines identifying the BPT, BCT, </w:t>
          </w:r>
          <w:r w:rsidR="004D5408" w:rsidRPr="00D908F1">
            <w:rPr>
              <w:rFonts w:ascii="Lucida Bright" w:hAnsi="Lucida Bright"/>
            </w:rPr>
            <w:t xml:space="preserve">or </w:t>
          </w:r>
          <w:r w:rsidR="0088454E" w:rsidRPr="00D908F1">
            <w:rPr>
              <w:rFonts w:ascii="Lucida Bright" w:hAnsi="Lucida Bright"/>
            </w:rPr>
            <w:t>BAT standards for discharges authorized by this general permit, therefore</w:t>
          </w:r>
          <w:r w:rsidR="009578E2" w:rsidRPr="00D908F1">
            <w:rPr>
              <w:rFonts w:ascii="Lucida Bright" w:hAnsi="Lucida Bright"/>
            </w:rPr>
            <w:t>,</w:t>
          </w:r>
          <w:r w:rsidR="0088454E" w:rsidRPr="00D908F1">
            <w:rPr>
              <w:rFonts w:ascii="Lucida Bright" w:hAnsi="Lucida Bright"/>
            </w:rPr>
            <w:t xml:space="preserve"> the technology-based effluent limitations </w:t>
          </w:r>
          <w:r w:rsidR="00305C0A" w:rsidRPr="00D908F1">
            <w:rPr>
              <w:rFonts w:ascii="Lucida Bright" w:hAnsi="Lucida Bright"/>
            </w:rPr>
            <w:t>were originally</w:t>
          </w:r>
          <w:r w:rsidR="0088454E" w:rsidRPr="00D908F1">
            <w:rPr>
              <w:rFonts w:ascii="Lucida Bright" w:hAnsi="Lucida Bright"/>
            </w:rPr>
            <w:t xml:space="preserve"> based on BPJ. </w:t>
          </w:r>
          <w:r w:rsidRPr="00D908F1">
            <w:rPr>
              <w:rFonts w:ascii="Lucida Bright" w:hAnsi="Lucida Bright"/>
            </w:rPr>
            <w:t xml:space="preserve">The </w:t>
          </w:r>
          <w:r w:rsidR="00BD0F3B" w:rsidRPr="00D908F1">
            <w:rPr>
              <w:rFonts w:ascii="Lucida Bright" w:hAnsi="Lucida Bright"/>
            </w:rPr>
            <w:t xml:space="preserve">existing </w:t>
          </w:r>
          <w:r w:rsidRPr="00D908F1">
            <w:rPr>
              <w:rFonts w:ascii="Lucida Bright" w:hAnsi="Lucida Bright"/>
            </w:rPr>
            <w:t>parameters selected for BCT/BAT limits</w:t>
          </w:r>
          <w:r w:rsidR="00BD0F3B" w:rsidRPr="00D908F1">
            <w:rPr>
              <w:rFonts w:ascii="Lucida Bright" w:hAnsi="Lucida Bright"/>
            </w:rPr>
            <w:t>, including flow, total suspended solids, and pH</w:t>
          </w:r>
          <w:r w:rsidRPr="00D908F1">
            <w:rPr>
              <w:rFonts w:ascii="Lucida Bright" w:hAnsi="Lucida Bright"/>
            </w:rPr>
            <w:t xml:space="preserve"> are</w:t>
          </w:r>
          <w:r w:rsidR="00305C0A" w:rsidRPr="00D908F1">
            <w:rPr>
              <w:rFonts w:ascii="Lucida Bright" w:hAnsi="Lucida Bright"/>
            </w:rPr>
            <w:t xml:space="preserve"> still</w:t>
          </w:r>
          <w:r w:rsidRPr="00D908F1">
            <w:rPr>
              <w:rFonts w:ascii="Lucida Bright" w:hAnsi="Lucida Bright"/>
            </w:rPr>
            <w:t xml:space="preserve"> </w:t>
          </w:r>
          <w:r w:rsidR="00012D43" w:rsidRPr="00D908F1">
            <w:rPr>
              <w:rFonts w:ascii="Lucida Bright" w:hAnsi="Lucida Bright"/>
            </w:rPr>
            <w:t>consistent with individual permits issued to conventional water treatment plants</w:t>
          </w:r>
          <w:r w:rsidR="00305C0A" w:rsidRPr="00D908F1">
            <w:rPr>
              <w:rFonts w:ascii="Lucida Bright" w:hAnsi="Lucida Bright"/>
            </w:rPr>
            <w:t>, and have been carried forward in the draft general permit</w:t>
          </w:r>
          <w:r w:rsidRPr="00D908F1">
            <w:rPr>
              <w:rFonts w:ascii="Lucida Bright" w:hAnsi="Lucida Bright"/>
            </w:rPr>
            <w:t>.</w:t>
          </w:r>
        </w:p>
        <w:p w14:paraId="58FE7DDD" w14:textId="28FD6AC4" w:rsidR="001C4AB7" w:rsidRDefault="00B131AA" w:rsidP="00230F41">
          <w:pPr>
            <w:spacing w:before="240"/>
            <w:rPr>
              <w:rFonts w:ascii="Lucida Bright" w:hAnsi="Lucida Bright"/>
            </w:rPr>
          </w:pPr>
          <w:r>
            <w:rPr>
              <w:rFonts w:ascii="Lucida Bright" w:hAnsi="Lucida Bright"/>
            </w:rPr>
            <w:t>W</w:t>
          </w:r>
          <w:r w:rsidR="001C4AB7">
            <w:rPr>
              <w:rFonts w:ascii="Lucida Bright" w:hAnsi="Lucida Bright"/>
            </w:rPr>
            <w:t>astewater discharge</w:t>
          </w:r>
          <w:r>
            <w:rPr>
              <w:rFonts w:ascii="Lucida Bright" w:hAnsi="Lucida Bright"/>
            </w:rPr>
            <w:t>s</w:t>
          </w:r>
          <w:r w:rsidR="001C4AB7">
            <w:rPr>
              <w:rFonts w:ascii="Lucida Bright" w:hAnsi="Lucida Bright"/>
            </w:rPr>
            <w:t xml:space="preserve"> from conventional water treatment plants</w:t>
          </w:r>
          <w:r w:rsidR="001C4AB7" w:rsidRPr="001C4AB7">
            <w:rPr>
              <w:rFonts w:ascii="Lucida Bright" w:hAnsi="Lucida Bright"/>
            </w:rPr>
            <w:t xml:space="preserve"> </w:t>
          </w:r>
          <w:r w:rsidR="001C4AB7">
            <w:rPr>
              <w:rFonts w:ascii="Lucida Bright" w:hAnsi="Lucida Bright"/>
            </w:rPr>
            <w:t>may be</w:t>
          </w:r>
          <w:r w:rsidR="001C4AB7" w:rsidRPr="001C4AB7">
            <w:rPr>
              <w:rFonts w:ascii="Lucida Bright" w:hAnsi="Lucida Bright"/>
            </w:rPr>
            <w:t xml:space="preserve"> chlorinat</w:t>
          </w:r>
          <w:r w:rsidR="001C4AB7">
            <w:rPr>
              <w:rFonts w:ascii="Lucida Bright" w:hAnsi="Lucida Bright"/>
            </w:rPr>
            <w:t>ed</w:t>
          </w:r>
          <w:r w:rsidR="001C4AB7" w:rsidRPr="001C4AB7">
            <w:rPr>
              <w:rFonts w:ascii="Lucida Bright" w:hAnsi="Lucida Bright"/>
            </w:rPr>
            <w:t xml:space="preserve"> for disinfection purposes. In these instances, </w:t>
          </w:r>
          <w:r w:rsidR="001C4AB7">
            <w:rPr>
              <w:rFonts w:ascii="Lucida Bright" w:hAnsi="Lucida Bright"/>
            </w:rPr>
            <w:t>an effluent limitation was added to the draft</w:t>
          </w:r>
          <w:r w:rsidR="001C4AB7" w:rsidRPr="001C4AB7">
            <w:rPr>
              <w:rFonts w:ascii="Lucida Bright" w:hAnsi="Lucida Bright"/>
            </w:rPr>
            <w:t xml:space="preserve"> general permit </w:t>
          </w:r>
          <w:r w:rsidR="001C4AB7">
            <w:rPr>
              <w:rFonts w:ascii="Lucida Bright" w:hAnsi="Lucida Bright"/>
            </w:rPr>
            <w:t xml:space="preserve">that </w:t>
          </w:r>
          <w:r w:rsidR="001C4AB7" w:rsidRPr="001C4AB7">
            <w:rPr>
              <w:rFonts w:ascii="Lucida Bright" w:hAnsi="Lucida Bright"/>
            </w:rPr>
            <w:t>require</w:t>
          </w:r>
          <w:r w:rsidR="001C4AB7">
            <w:rPr>
              <w:rFonts w:ascii="Lucida Bright" w:hAnsi="Lucida Bright"/>
            </w:rPr>
            <w:t>s</w:t>
          </w:r>
          <w:r w:rsidR="001C4AB7" w:rsidRPr="001C4AB7">
            <w:rPr>
              <w:rFonts w:ascii="Lucida Bright" w:hAnsi="Lucida Bright"/>
            </w:rPr>
            <w:t xml:space="preserve"> discharge</w:t>
          </w:r>
          <w:r w:rsidR="001C4AB7">
            <w:rPr>
              <w:rFonts w:ascii="Lucida Bright" w:hAnsi="Lucida Bright"/>
            </w:rPr>
            <w:t>s</w:t>
          </w:r>
          <w:r w:rsidR="001C4AB7" w:rsidRPr="001C4AB7">
            <w:rPr>
              <w:rFonts w:ascii="Lucida Bright" w:hAnsi="Lucida Bright"/>
            </w:rPr>
            <w:t xml:space="preserve"> be dechlorinated to less than 0.1 mg/L total chlorine </w:t>
          </w:r>
          <w:r>
            <w:rPr>
              <w:rFonts w:ascii="Lucida Bright" w:hAnsi="Lucida Bright"/>
            </w:rPr>
            <w:t xml:space="preserve">residual </w:t>
          </w:r>
          <w:r w:rsidR="001C4AB7" w:rsidRPr="001C4AB7">
            <w:rPr>
              <w:rFonts w:ascii="Lucida Bright" w:hAnsi="Lucida Bright"/>
            </w:rPr>
            <w:t>prior to discharge</w:t>
          </w:r>
          <w:r w:rsidR="001C4AB7">
            <w:rPr>
              <w:rFonts w:ascii="Lucida Bright" w:hAnsi="Lucida Bright"/>
            </w:rPr>
            <w:t>.</w:t>
          </w:r>
        </w:p>
        <w:p w14:paraId="6BA6D1E3" w14:textId="3E9258C6" w:rsidR="002A5076" w:rsidRPr="00D908F1" w:rsidRDefault="00510960" w:rsidP="00F5173B">
          <w:pPr>
            <w:pStyle w:val="Heading1"/>
          </w:pPr>
          <w:r w:rsidRPr="00D908F1">
            <w:t>X</w:t>
          </w:r>
          <w:r w:rsidR="00D908F1" w:rsidRPr="00D908F1">
            <w:t>I</w:t>
          </w:r>
          <w:r w:rsidR="00145E91" w:rsidRPr="00D908F1">
            <w:t>.</w:t>
          </w:r>
          <w:r w:rsidR="002A5076" w:rsidRPr="00D908F1">
            <w:tab/>
          </w:r>
          <w:r w:rsidR="002A5076" w:rsidRPr="001A1000">
            <w:t>Water Quality-Based Requirements</w:t>
          </w:r>
        </w:p>
        <w:p w14:paraId="79CEDC29" w14:textId="29E75FF2" w:rsidR="008D4673" w:rsidRPr="00D908F1" w:rsidRDefault="008D4673"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908F1">
            <w:rPr>
              <w:rFonts w:ascii="Lucida Bright" w:hAnsi="Lucida Bright" w:cs="Times New Roman"/>
              <w:szCs w:val="22"/>
            </w:rPr>
            <w:t>TPDES permits contain technology-based effluent limits reflecting the best controls available. Where these technology-based permit limits do not protect water quality or the designated uses, additional water quality-based effluent limitations and/or conditions are included in the TPDES permits. State narrative and numerical water quality standards are used in conjunction with EPA criteria and other toxicity data bases to determine the adequacy of technology-based permit limits and the need for additional water-quality based controls.</w:t>
          </w:r>
        </w:p>
        <w:p w14:paraId="465FD497" w14:textId="5119B31D" w:rsidR="00592FA2" w:rsidRPr="00D908F1" w:rsidRDefault="00577211" w:rsidP="00083202">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szCs w:val="22"/>
            </w:rPr>
          </w:pPr>
          <w:r w:rsidRPr="00D908F1">
            <w:rPr>
              <w:rFonts w:ascii="Lucida Bright" w:hAnsi="Lucida Bright"/>
              <w:szCs w:val="22"/>
            </w:rPr>
            <w:t>In accordance with 30 TAC §307.5 and TCEQ</w:t>
          </w:r>
          <w:r w:rsidR="00305C0A" w:rsidRPr="00D908F1">
            <w:rPr>
              <w:rFonts w:ascii="Lucida Bright" w:hAnsi="Lucida Bright"/>
              <w:szCs w:val="22"/>
            </w:rPr>
            <w:t>’s</w:t>
          </w:r>
          <w:r w:rsidRPr="00D908F1">
            <w:rPr>
              <w:rFonts w:ascii="Lucida Bright" w:hAnsi="Lucida Bright"/>
              <w:i/>
              <w:szCs w:val="22"/>
            </w:rPr>
            <w:t xml:space="preserve"> </w:t>
          </w:r>
          <w:r w:rsidR="00655587" w:rsidRPr="00D908F1">
            <w:rPr>
              <w:rFonts w:ascii="Lucida Bright" w:hAnsi="Lucida Bright"/>
              <w:i/>
              <w:szCs w:val="22"/>
            </w:rPr>
            <w:t>Procedures to Implement the</w:t>
          </w:r>
          <w:r w:rsidRPr="00D908F1">
            <w:rPr>
              <w:rFonts w:ascii="Lucida Bright" w:hAnsi="Lucida Bright"/>
              <w:i/>
              <w:szCs w:val="22"/>
            </w:rPr>
            <w:t xml:space="preserve"> Texas Surface Water Quality Standards</w:t>
          </w:r>
          <w:r w:rsidRPr="00D908F1">
            <w:rPr>
              <w:rFonts w:ascii="Lucida Bright" w:hAnsi="Lucida Bright"/>
              <w:szCs w:val="22"/>
            </w:rPr>
            <w:t xml:space="preserve">, an antidegradation review of </w:t>
          </w:r>
          <w:r w:rsidR="00083202" w:rsidRPr="00D908F1">
            <w:rPr>
              <w:rFonts w:ascii="Lucida Bright" w:hAnsi="Lucida Bright"/>
              <w:szCs w:val="22"/>
            </w:rPr>
            <w:t>the</w:t>
          </w:r>
          <w:r w:rsidRPr="00D908F1">
            <w:rPr>
              <w:rFonts w:ascii="Lucida Bright" w:hAnsi="Lucida Bright"/>
              <w:szCs w:val="22"/>
            </w:rPr>
            <w:t xml:space="preserve"> general permit was performed in order to ensure </w:t>
          </w:r>
          <w:r w:rsidR="009578E2" w:rsidRPr="00D908F1">
            <w:rPr>
              <w:rFonts w:ascii="Lucida Bright" w:hAnsi="Lucida Bright"/>
              <w:szCs w:val="22"/>
            </w:rPr>
            <w:t xml:space="preserve">that </w:t>
          </w:r>
          <w:r w:rsidRPr="00D908F1">
            <w:rPr>
              <w:rFonts w:ascii="Lucida Bright" w:hAnsi="Lucida Bright"/>
              <w:szCs w:val="22"/>
            </w:rPr>
            <w:t xml:space="preserve">no significant degradation of any water </w:t>
          </w:r>
          <w:r w:rsidR="00CC01C7" w:rsidRPr="00D908F1">
            <w:rPr>
              <w:rFonts w:ascii="Lucida Bright" w:hAnsi="Lucida Bright"/>
              <w:szCs w:val="22"/>
            </w:rPr>
            <w:t xml:space="preserve">in </w:t>
          </w:r>
          <w:r w:rsidRPr="00D908F1">
            <w:rPr>
              <w:rFonts w:ascii="Lucida Bright" w:hAnsi="Lucida Bright"/>
              <w:szCs w:val="22"/>
            </w:rPr>
            <w:t>the state will occur and that existing uses will be maintained and protected.</w:t>
          </w:r>
          <w:r w:rsidR="00A43B2A" w:rsidRPr="00D908F1">
            <w:rPr>
              <w:rFonts w:ascii="Lucida Bright" w:hAnsi="Lucida Bright"/>
              <w:szCs w:val="22"/>
            </w:rPr>
            <w:t xml:space="preserve"> </w:t>
          </w:r>
          <w:r w:rsidR="00083202" w:rsidRPr="00D908F1">
            <w:rPr>
              <w:rFonts w:ascii="Lucida Bright" w:hAnsi="Lucida Bright"/>
              <w:szCs w:val="22"/>
            </w:rPr>
            <w:t>It has been preliminarily determined that where permit requirements are properly implemented, no significant degradation is expected and existing uses will be maintained and protected.</w:t>
          </w:r>
        </w:p>
        <w:p w14:paraId="656B819D" w14:textId="0F647887" w:rsidR="002A5076" w:rsidRPr="00D908F1" w:rsidRDefault="00B57B11" w:rsidP="00F5173B">
          <w:pPr>
            <w:pStyle w:val="Heading1"/>
          </w:pPr>
          <w:r w:rsidRPr="00D908F1">
            <w:t>XI</w:t>
          </w:r>
          <w:r w:rsidR="00D908F1" w:rsidRPr="00D908F1">
            <w:t>I</w:t>
          </w:r>
          <w:r w:rsidR="00016C8B" w:rsidRPr="00D908F1">
            <w:t>.</w:t>
          </w:r>
          <w:r w:rsidR="002A5076" w:rsidRPr="00D908F1">
            <w:tab/>
            <w:t>Monitoring</w:t>
          </w:r>
          <w:r w:rsidR="0042556F" w:rsidRPr="00D908F1">
            <w:t xml:space="preserve"> and Reporting</w:t>
          </w:r>
        </w:p>
        <w:p w14:paraId="68585F4A" w14:textId="7F697853" w:rsidR="002A5076" w:rsidRPr="00D908F1" w:rsidRDefault="002A5076" w:rsidP="00482B6F">
          <w:pPr>
            <w:rPr>
              <w:rFonts w:ascii="Lucida Bright" w:hAnsi="Lucida Bright"/>
            </w:rPr>
          </w:pPr>
          <w:r w:rsidRPr="00D908F1">
            <w:rPr>
              <w:rFonts w:ascii="Lucida Bright" w:hAnsi="Lucida Bright"/>
            </w:rPr>
            <w:t xml:space="preserve">Monitoring is required by 40 </w:t>
          </w:r>
          <w:r w:rsidR="00807D00" w:rsidRPr="00D908F1">
            <w:rPr>
              <w:rFonts w:ascii="Lucida Bright" w:hAnsi="Lucida Bright"/>
            </w:rPr>
            <w:t>Code of Federal Regulations (</w:t>
          </w:r>
          <w:r w:rsidRPr="00D908F1">
            <w:rPr>
              <w:rFonts w:ascii="Lucida Bright" w:hAnsi="Lucida Bright"/>
            </w:rPr>
            <w:t>CFR</w:t>
          </w:r>
          <w:r w:rsidR="00807D00" w:rsidRPr="00D908F1">
            <w:rPr>
              <w:rFonts w:ascii="Lucida Bright" w:hAnsi="Lucida Bright"/>
            </w:rPr>
            <w:t>)</w:t>
          </w:r>
          <w:r w:rsidRPr="00D908F1">
            <w:rPr>
              <w:rFonts w:ascii="Lucida Bright" w:hAnsi="Lucida Bright"/>
            </w:rPr>
            <w:t xml:space="preserve"> § 122.44(i) for each pollutant limited in a permit to ensure compliance with the permit limits. The </w:t>
          </w:r>
          <w:r w:rsidR="003B5554" w:rsidRPr="00D908F1">
            <w:rPr>
              <w:rFonts w:ascii="Lucida Bright" w:hAnsi="Lucida Bright"/>
            </w:rPr>
            <w:t>draft</w:t>
          </w:r>
          <w:r w:rsidRPr="00D908F1">
            <w:rPr>
              <w:rFonts w:ascii="Lucida Bright" w:hAnsi="Lucida Bright"/>
            </w:rPr>
            <w:t xml:space="preserve"> general permit has the following criteria established for monitoring. </w:t>
          </w:r>
        </w:p>
        <w:p w14:paraId="214C925F" w14:textId="540FC236" w:rsidR="002A5076" w:rsidRPr="00D908F1" w:rsidRDefault="002A5076" w:rsidP="00A8136D">
          <w:pPr>
            <w:pStyle w:val="ListParagraph"/>
            <w:numPr>
              <w:ilvl w:val="0"/>
              <w:numId w:val="31"/>
            </w:numPr>
            <w:ind w:hanging="720"/>
          </w:pPr>
          <w:r w:rsidRPr="00D908F1">
            <w:t xml:space="preserve">Samples shall be </w:t>
          </w:r>
          <w:r w:rsidR="00B24B38" w:rsidRPr="00D908F1">
            <w:t>collected,</w:t>
          </w:r>
          <w:r w:rsidRPr="00D908F1">
            <w:t xml:space="preserve"> and measurements shall be taken at times and in a manner so as to be representative of the monitored discharge.</w:t>
          </w:r>
        </w:p>
        <w:p w14:paraId="1197FCFD" w14:textId="7B9A7245" w:rsidR="002A5076" w:rsidRPr="00D908F1" w:rsidRDefault="004C2DFC" w:rsidP="00A8136D">
          <w:pPr>
            <w:pStyle w:val="ListNumber"/>
          </w:pPr>
          <w:r w:rsidRPr="00D908F1">
            <w:t xml:space="preserve">All samples shall be collected according to the latest edition of </w:t>
          </w:r>
          <w:r w:rsidRPr="00D908F1">
            <w:rPr>
              <w:i/>
            </w:rPr>
            <w:t>Standard Methods for the Examination of Water and Wastewater</w:t>
          </w:r>
          <w:r w:rsidRPr="00D908F1">
            <w:t xml:space="preserve"> (</w:t>
          </w:r>
          <w:r w:rsidR="009F5FD9" w:rsidRPr="00D908F1">
            <w:t xml:space="preserve">prepared and </w:t>
          </w:r>
          <w:r w:rsidRPr="00D908F1">
            <w:t xml:space="preserve">published jointly by the American Public Health Association, the American Waterworks Association, and the Water Pollution Control Federation), or the Environmental Protection Agency’s (EPA), </w:t>
          </w:r>
          <w:r w:rsidRPr="00D908F1">
            <w:rPr>
              <w:i/>
            </w:rPr>
            <w:t>Methods for Chemical Analysis of Water and Wastes</w:t>
          </w:r>
          <w:r w:rsidRPr="00D908F1">
            <w:t xml:space="preserve"> (1979), or the EPA’s, </w:t>
          </w:r>
          <w:r w:rsidRPr="00D908F1">
            <w:rPr>
              <w:i/>
            </w:rPr>
            <w:t>Biological Field and Laboratory Methods for Measuring the Quality of Surface Waters and Effluents</w:t>
          </w:r>
          <w:r w:rsidRPr="00D908F1">
            <w:t xml:space="preserve"> (1973).</w:t>
          </w:r>
        </w:p>
        <w:p w14:paraId="0ED12B6A" w14:textId="6F1ECD68" w:rsidR="002A5076" w:rsidRPr="00D908F1" w:rsidRDefault="002A5076" w:rsidP="00A8136D">
          <w:pPr>
            <w:pStyle w:val="ListNumber"/>
          </w:pPr>
          <w:r w:rsidRPr="00D908F1">
            <w:t xml:space="preserve">Sample containers, holding times, and preservation methods shall </w:t>
          </w:r>
          <w:r w:rsidR="00B9036F" w:rsidRPr="00D908F1">
            <w:t xml:space="preserve">follow the </w:t>
          </w:r>
          <w:r w:rsidRPr="00D908F1">
            <w:t>requiremen</w:t>
          </w:r>
          <w:r w:rsidR="004C2DFC" w:rsidRPr="00D908F1">
            <w:t>ts specified in 40 CFR Part 136</w:t>
          </w:r>
          <w:r w:rsidR="009F5FD9" w:rsidRPr="00D908F1">
            <w:t xml:space="preserve">, or the latest edition of </w:t>
          </w:r>
          <w:r w:rsidR="009F5FD9" w:rsidRPr="00D908F1">
            <w:rPr>
              <w:i/>
              <w:iCs/>
            </w:rPr>
            <w:t>Standard Methods for Examination of Water and Wastewater</w:t>
          </w:r>
          <w:r w:rsidR="004C2DFC" w:rsidRPr="00D908F1">
            <w:t>.</w:t>
          </w:r>
        </w:p>
        <w:p w14:paraId="097B2926" w14:textId="0BBAF0DE" w:rsidR="002A5076" w:rsidRPr="00D908F1" w:rsidRDefault="002A5076" w:rsidP="00A8136D">
          <w:pPr>
            <w:pStyle w:val="ListNumber"/>
          </w:pPr>
          <w:r w:rsidRPr="00D908F1">
            <w:t>The permittee shall ensure that prop</w:t>
          </w:r>
          <w:r w:rsidR="004C2DFC" w:rsidRPr="00D908F1">
            <w:t>erly trained and authorized per</w:t>
          </w:r>
          <w:r w:rsidRPr="00D908F1">
            <w:t>sonnel monitor and sample the discharge.</w:t>
          </w:r>
        </w:p>
        <w:p w14:paraId="54E64DA7" w14:textId="1DB71F49" w:rsidR="002A5076" w:rsidRPr="00D908F1" w:rsidRDefault="002A5076" w:rsidP="00A8136D">
          <w:pPr>
            <w:pStyle w:val="ListNumber"/>
          </w:pPr>
          <w:r w:rsidRPr="00D908F1">
            <w:t xml:space="preserve">The sampling point must be downstream of any treatment unit or treatment technique </w:t>
          </w:r>
          <w:bookmarkStart w:id="4" w:name="_Hlk532545206"/>
          <w:r w:rsidRPr="00D908F1">
            <w:t>that is used to improve or otherwise alter the quality of the discharg</w:t>
          </w:r>
          <w:bookmarkEnd w:id="4"/>
          <w:r w:rsidRPr="00D908F1">
            <w:t>e.</w:t>
          </w:r>
        </w:p>
        <w:p w14:paraId="223DD803" w14:textId="1537F48F" w:rsidR="002A5076" w:rsidRPr="00D908F1" w:rsidRDefault="009F5FD9" w:rsidP="00A8136D">
          <w:pPr>
            <w:pStyle w:val="ListNumber"/>
          </w:pPr>
          <w:r w:rsidRPr="00D908F1">
            <w:t xml:space="preserve">Analytical results for determining compliance with effluent limitations shall be recorded on a DMR form (EPA No. 3320-1). Effluent sampling shall be conducted in accordance with the monitoring frequencies specified in this general permit. </w:t>
          </w:r>
          <w:r w:rsidR="002A5076" w:rsidRPr="00D908F1">
            <w:t xml:space="preserve">Analytical results for determining compliance with effluent limitations shall be </w:t>
          </w:r>
          <w:r w:rsidR="00483B2B" w:rsidRPr="00D908F1">
            <w:t>submitted online using the NetDMR reporting system available through TCEQ</w:t>
          </w:r>
          <w:r w:rsidR="00305C0A" w:rsidRPr="00D908F1">
            <w:t>’s</w:t>
          </w:r>
          <w:r w:rsidR="00483B2B" w:rsidRPr="00D908F1">
            <w:t xml:space="preserve"> website unless the permittee requests and obtains an electronic reporting waiver. Permittees that are issued an electronic reporting waiver shall submit analytical results to TCEQ</w:t>
          </w:r>
          <w:r w:rsidR="00305C0A" w:rsidRPr="00D908F1">
            <w:t>’s</w:t>
          </w:r>
          <w:r w:rsidR="00483B2B" w:rsidRPr="00D908F1">
            <w:t xml:space="preserve"> Enforcement Division (MC-224) on an approved </w:t>
          </w:r>
          <w:r w:rsidR="00EC0989" w:rsidRPr="00D908F1">
            <w:t>DMR</w:t>
          </w:r>
          <w:r w:rsidR="00483B2B" w:rsidRPr="00D908F1">
            <w:t xml:space="preserve"> form (EPA No. 3320-1)</w:t>
          </w:r>
          <w:r w:rsidR="00DA52DE" w:rsidRPr="00D908F1">
            <w:t>.</w:t>
          </w:r>
          <w:r w:rsidR="00B9036F" w:rsidRPr="00D908F1">
            <w:t xml:space="preserve"> </w:t>
          </w:r>
          <w:r w:rsidR="003B7149" w:rsidRPr="00D908F1">
            <w:t xml:space="preserve">Effluent sampling shall be conducted in accordance with the monitoring frequencies specified in the general permit. </w:t>
          </w:r>
          <w:r w:rsidR="00026343" w:rsidRPr="00D908F1">
            <w:t xml:space="preserve">The </w:t>
          </w:r>
          <w:r w:rsidR="00EC0989" w:rsidRPr="00D908F1">
            <w:t>DMR</w:t>
          </w:r>
          <w:r w:rsidR="00026343" w:rsidRPr="00D908F1">
            <w:t xml:space="preserve"> for any given month shall be due by the 20th day of the following month</w:t>
          </w:r>
          <w:r w:rsidRPr="00D908F1">
            <w:t>.</w:t>
          </w:r>
          <w:r w:rsidR="00026343" w:rsidRPr="00D908F1">
            <w:t xml:space="preserve"> </w:t>
          </w:r>
          <w:r w:rsidRPr="00D908F1">
            <w:t xml:space="preserve">The DMR for annual tests shall be due by March 31st of the following year. The DMRs must </w:t>
          </w:r>
          <w:r w:rsidR="00026343" w:rsidRPr="00D908F1">
            <w:t>be signed in accordance with the requirements in Part IV.8 of the general permit. If non-compliance with an effluent limitation occurs, the permittee shall provide notification according to Part III, Section B.8 of the permit.</w:t>
          </w:r>
        </w:p>
        <w:p w14:paraId="3994A47C" w14:textId="1EADDEE7" w:rsidR="002A5076" w:rsidRPr="00D908F1" w:rsidRDefault="002A5076" w:rsidP="00A8136D">
          <w:pPr>
            <w:pStyle w:val="ListNumber"/>
          </w:pPr>
          <w:r w:rsidRPr="00D908F1">
            <w:t>Records of monitoring activities shall include:</w:t>
          </w:r>
        </w:p>
        <w:p w14:paraId="16770822" w14:textId="77777777" w:rsidR="002A5076" w:rsidRPr="00D908F1" w:rsidRDefault="002A5076" w:rsidP="00A8136D">
          <w:pPr>
            <w:pStyle w:val="ListNumber2"/>
          </w:pPr>
          <w:r w:rsidRPr="00D908F1">
            <w:t>date, time, and place of sample or measurement;</w:t>
          </w:r>
        </w:p>
        <w:p w14:paraId="6F7FC715" w14:textId="77777777" w:rsidR="002A5076" w:rsidRPr="00D908F1" w:rsidRDefault="002A5076" w:rsidP="00A8136D">
          <w:pPr>
            <w:pStyle w:val="ListNumber2"/>
          </w:pPr>
          <w:r w:rsidRPr="00D908F1">
            <w:t>identity of individual who collected the sample or made the measurement;</w:t>
          </w:r>
        </w:p>
        <w:p w14:paraId="14055C74" w14:textId="77777777" w:rsidR="002A5076" w:rsidRPr="00D908F1" w:rsidRDefault="002A5076" w:rsidP="00A8136D">
          <w:pPr>
            <w:pStyle w:val="ListNumber2"/>
          </w:pPr>
          <w:r w:rsidRPr="00D908F1">
            <w:t>date of laboratory analysis;</w:t>
          </w:r>
        </w:p>
        <w:p w14:paraId="2CB8904E" w14:textId="77777777" w:rsidR="002A5076" w:rsidRPr="00D908F1" w:rsidRDefault="002A5076" w:rsidP="00A8136D">
          <w:pPr>
            <w:pStyle w:val="ListNumber2"/>
          </w:pPr>
          <w:r w:rsidRPr="00D908F1">
            <w:t>identity of the individual and laboratory who performed the analysis;</w:t>
          </w:r>
        </w:p>
        <w:p w14:paraId="3F84C2B9" w14:textId="77777777" w:rsidR="002A5076" w:rsidRPr="00D908F1" w:rsidRDefault="002A5076" w:rsidP="00A8136D">
          <w:pPr>
            <w:pStyle w:val="ListNumber2"/>
          </w:pPr>
          <w:r w:rsidRPr="00D908F1">
            <w:t>the technique or method of analysis;</w:t>
          </w:r>
          <w:r w:rsidR="004C2DFC" w:rsidRPr="00D908F1">
            <w:t xml:space="preserve"> and</w:t>
          </w:r>
        </w:p>
        <w:p w14:paraId="632F0A7F" w14:textId="77777777" w:rsidR="002A5076" w:rsidRPr="00D908F1" w:rsidRDefault="002A5076" w:rsidP="00A8136D">
          <w:pPr>
            <w:pStyle w:val="ListNumber2"/>
          </w:pPr>
          <w:r w:rsidRPr="00D908F1">
            <w:t>the results of t</w:t>
          </w:r>
          <w:r w:rsidR="004C2DFC" w:rsidRPr="00D908F1">
            <w:t>he analysis or measurement</w:t>
          </w:r>
          <w:r w:rsidRPr="00D908F1">
            <w:t>.</w:t>
          </w:r>
        </w:p>
        <w:p w14:paraId="45019703" w14:textId="0F4D0C4D" w:rsidR="003B5554" w:rsidRPr="00D908F1" w:rsidRDefault="002A5076" w:rsidP="00A8136D">
          <w:pPr>
            <w:pStyle w:val="ListNumber"/>
          </w:pPr>
          <w:r w:rsidRPr="00D908F1">
            <w:t>If the permittee monitors any pollutant in a discharge more frequently than required by the permit using approved analytical methods as specified in Part IV.</w:t>
          </w:r>
          <w:r w:rsidR="00477BDA" w:rsidRPr="00D908F1">
            <w:t>7</w:t>
          </w:r>
          <w:r w:rsidR="00D419D0" w:rsidRPr="00D908F1">
            <w:t>.c.</w:t>
          </w:r>
          <w:r w:rsidRPr="00D908F1">
            <w:t xml:space="preserve"> of </w:t>
          </w:r>
          <w:r w:rsidR="00477BDA" w:rsidRPr="00D908F1">
            <w:t>the general</w:t>
          </w:r>
          <w:r w:rsidRPr="00D908F1">
            <w:t xml:space="preserve"> permit, all results of such monitoring shall be included in the calculation and recording of the values on the DMR. Increased frequency of sampling shall be indicated on the DMR.</w:t>
          </w:r>
        </w:p>
        <w:p w14:paraId="690B35F0" w14:textId="1C70894B" w:rsidR="002A5076" w:rsidRPr="00D908F1" w:rsidRDefault="00B57B11" w:rsidP="00F5173B">
          <w:pPr>
            <w:pStyle w:val="Heading1"/>
          </w:pPr>
          <w:r w:rsidRPr="00D908F1">
            <w:t>XII</w:t>
          </w:r>
          <w:r w:rsidR="00D908F1" w:rsidRPr="00D908F1">
            <w:t>I</w:t>
          </w:r>
          <w:r w:rsidR="00016C8B" w:rsidRPr="00D908F1">
            <w:t>.</w:t>
          </w:r>
          <w:r w:rsidR="002A5076" w:rsidRPr="00D908F1">
            <w:tab/>
            <w:t>Procedures for Final Decision</w:t>
          </w:r>
        </w:p>
        <w:p w14:paraId="6E212EF2" w14:textId="6CF0CE9A" w:rsidR="0072789C" w:rsidRPr="00D908F1" w:rsidRDefault="0072789C" w:rsidP="00482B6F">
          <w:pPr>
            <w:numPr>
              <w:ilvl w:val="1"/>
              <w:numId w:val="4"/>
            </w:numPr>
            <w:spacing w:after="240"/>
            <w:rPr>
              <w:rFonts w:ascii="Lucida Bright" w:eastAsia="Batang" w:hAnsi="Lucida Bright" w:cs="Times New Roman"/>
              <w:szCs w:val="22"/>
              <w:lang w:eastAsia="ko-KR"/>
            </w:rPr>
          </w:pPr>
          <w:r w:rsidRPr="00D908F1">
            <w:rPr>
              <w:rFonts w:ascii="Lucida Bright" w:eastAsia="Batang" w:hAnsi="Lucida Bright" w:cs="Times New Roman"/>
              <w:szCs w:val="24"/>
              <w:lang w:eastAsia="ko-KR"/>
            </w:rPr>
            <w:t xml:space="preserve">The memorandum of agreement between the EPA and TCEQ provides that </w:t>
          </w:r>
          <w:r w:rsidR="00962D87" w:rsidRPr="00D908F1">
            <w:rPr>
              <w:rFonts w:ascii="Lucida Bright" w:eastAsia="Batang" w:hAnsi="Lucida Bright" w:cs="Times New Roman"/>
              <w:szCs w:val="24"/>
              <w:lang w:eastAsia="ko-KR"/>
            </w:rPr>
            <w:t xml:space="preserve">the </w:t>
          </w:r>
          <w:r w:rsidRPr="00D908F1">
            <w:rPr>
              <w:rFonts w:ascii="Lucida Bright" w:eastAsia="Batang" w:hAnsi="Lucida Bright" w:cs="Times New Roman"/>
              <w:szCs w:val="24"/>
              <w:lang w:eastAsia="ko-KR"/>
            </w:rPr>
            <w:t xml:space="preserve">EPA has no more than 90 days to comment, object, or make recommendations to the draft general permit before it is published in the </w:t>
          </w:r>
          <w:r w:rsidRPr="00D908F1">
            <w:rPr>
              <w:rFonts w:ascii="Lucida Bright" w:eastAsia="Batang" w:hAnsi="Lucida Bright" w:cs="Times New Roman"/>
              <w:i/>
              <w:szCs w:val="24"/>
              <w:lang w:eastAsia="ko-KR"/>
            </w:rPr>
            <w:t>Texas Register</w:t>
          </w:r>
          <w:r w:rsidRPr="00D908F1">
            <w:rPr>
              <w:rFonts w:ascii="Lucida Bright" w:eastAsia="Batang" w:hAnsi="Lucida Bright" w:cs="Times New Roman"/>
              <w:szCs w:val="24"/>
              <w:lang w:eastAsia="ko-KR"/>
            </w:rPr>
            <w:t xml:space="preserve">. According to 30 TAC Chapter 205, </w:t>
          </w:r>
          <w:r w:rsidRPr="00D908F1">
            <w:rPr>
              <w:rFonts w:ascii="Lucida Bright" w:eastAsia="Batang" w:hAnsi="Lucida Bright" w:cs="Times New Roman"/>
              <w:i/>
              <w:szCs w:val="24"/>
              <w:lang w:eastAsia="ko-KR"/>
            </w:rPr>
            <w:t>General Permits for Waste Discharges</w:t>
          </w:r>
          <w:r w:rsidRPr="00D908F1">
            <w:rPr>
              <w:rFonts w:ascii="Lucida Bright" w:eastAsia="Batang" w:hAnsi="Lucida Bright" w:cs="Times New Roman"/>
              <w:szCs w:val="24"/>
              <w:lang w:eastAsia="ko-KR"/>
            </w:rPr>
            <w:t xml:space="preserve">, when the draft general permit is proposed, notice shall be published in at least one newspaper of statewide or regional circulation.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ommission may also publish notice in additional newspapers of statewide or regional circulation. Mailed notice shall also be provided to the following:</w:t>
          </w:r>
          <w:r w:rsidRPr="00D908F1">
            <w:rPr>
              <w:rFonts w:ascii="Lucida Bright" w:eastAsia="Batang" w:hAnsi="Lucida Bright" w:cs="Times New Roman"/>
              <w:szCs w:val="22"/>
              <w:lang w:eastAsia="ko-KR"/>
            </w:rPr>
            <w:t xml:space="preserve"> </w:t>
          </w:r>
        </w:p>
        <w:p w14:paraId="0A12F64C" w14:textId="77777777" w:rsidR="0072789C" w:rsidRPr="00D908F1" w:rsidRDefault="0072789C" w:rsidP="00010202">
          <w:pPr>
            <w:pStyle w:val="ListParagraph"/>
            <w:numPr>
              <w:ilvl w:val="0"/>
              <w:numId w:val="15"/>
            </w:numPr>
            <w:rPr>
              <w:rFonts w:eastAsia="Batang"/>
            </w:rPr>
          </w:pPr>
          <w:r w:rsidRPr="00D908F1">
            <w:rPr>
              <w:rFonts w:eastAsia="Batang"/>
            </w:rPr>
            <w:t xml:space="preserve">the county judge of the county or counties in which the discharges under the general permit could be located; </w:t>
          </w:r>
        </w:p>
        <w:p w14:paraId="147F892B" w14:textId="77777777" w:rsidR="0072789C" w:rsidRPr="00D908F1" w:rsidRDefault="0072789C" w:rsidP="00010202">
          <w:pPr>
            <w:pStyle w:val="ListParagraph"/>
            <w:numPr>
              <w:ilvl w:val="0"/>
              <w:numId w:val="15"/>
            </w:numPr>
            <w:rPr>
              <w:rFonts w:eastAsia="Batang"/>
            </w:rPr>
          </w:pPr>
          <w:r w:rsidRPr="00D908F1">
            <w:rPr>
              <w:rFonts w:eastAsia="Batang"/>
            </w:rPr>
            <w:t>if applicable, state and federal agencies for which notice is required in 40 CFR § 124.10(c);</w:t>
          </w:r>
        </w:p>
        <w:p w14:paraId="7BBDFC00" w14:textId="77777777" w:rsidR="0072789C" w:rsidRPr="00D908F1" w:rsidRDefault="0072789C" w:rsidP="00010202">
          <w:pPr>
            <w:pStyle w:val="ListParagraph"/>
            <w:numPr>
              <w:ilvl w:val="0"/>
              <w:numId w:val="15"/>
            </w:numPr>
            <w:rPr>
              <w:rFonts w:eastAsia="Batang"/>
            </w:rPr>
          </w:pPr>
          <w:r w:rsidRPr="00D908F1">
            <w:rPr>
              <w:rFonts w:eastAsia="Batang"/>
            </w:rPr>
            <w:t xml:space="preserve">persons on a relevant mailing list kept under 30 TAC § 39.407, relating to Mailing Lists; and </w:t>
          </w:r>
        </w:p>
        <w:p w14:paraId="427993D8" w14:textId="77777777" w:rsidR="0072789C" w:rsidRPr="00D908F1" w:rsidRDefault="0072789C" w:rsidP="00010202">
          <w:pPr>
            <w:pStyle w:val="ListParagraph"/>
            <w:numPr>
              <w:ilvl w:val="0"/>
              <w:numId w:val="15"/>
            </w:numPr>
            <w:rPr>
              <w:rFonts w:eastAsia="Batang"/>
            </w:rPr>
          </w:pPr>
          <w:r w:rsidRPr="00D908F1">
            <w:rPr>
              <w:rFonts w:eastAsia="Batang"/>
            </w:rPr>
            <w:t xml:space="preserve">any other person the </w:t>
          </w:r>
          <w:r w:rsidR="00C5529C" w:rsidRPr="00D908F1">
            <w:rPr>
              <w:rFonts w:eastAsia="Batang"/>
            </w:rPr>
            <w:t>E</w:t>
          </w:r>
          <w:r w:rsidRPr="00D908F1">
            <w:rPr>
              <w:rFonts w:eastAsia="Batang"/>
            </w:rPr>
            <w:t xml:space="preserve">xecutive </w:t>
          </w:r>
          <w:r w:rsidR="00C5529C" w:rsidRPr="00D908F1">
            <w:rPr>
              <w:rFonts w:eastAsia="Batang"/>
            </w:rPr>
            <w:t>D</w:t>
          </w:r>
          <w:r w:rsidRPr="00D908F1">
            <w:rPr>
              <w:rFonts w:eastAsia="Batang"/>
            </w:rPr>
            <w:t xml:space="preserve">irector or </w:t>
          </w:r>
          <w:r w:rsidR="00C5529C" w:rsidRPr="00D908F1">
            <w:rPr>
              <w:rFonts w:eastAsia="Batang"/>
            </w:rPr>
            <w:t>C</w:t>
          </w:r>
          <w:r w:rsidRPr="00D908F1">
            <w:rPr>
              <w:rFonts w:eastAsia="Batang"/>
            </w:rPr>
            <w:t xml:space="preserve">hief </w:t>
          </w:r>
          <w:r w:rsidR="00C5529C" w:rsidRPr="00D908F1">
            <w:rPr>
              <w:rFonts w:eastAsia="Batang"/>
            </w:rPr>
            <w:t>C</w:t>
          </w:r>
          <w:r w:rsidRPr="00D908F1">
            <w:rPr>
              <w:rFonts w:eastAsia="Batang"/>
            </w:rPr>
            <w:t xml:space="preserve">lerk may elect to include. </w:t>
          </w:r>
        </w:p>
        <w:p w14:paraId="4D29AB72" w14:textId="77777777" w:rsidR="0072789C" w:rsidRPr="00D908F1" w:rsidRDefault="0072789C" w:rsidP="00482B6F">
          <w:pPr>
            <w:numPr>
              <w:ilvl w:val="1"/>
              <w:numId w:val="4"/>
            </w:numPr>
            <w:spacing w:before="240" w:after="240"/>
            <w:rPr>
              <w:rFonts w:ascii="Lucida Bright" w:eastAsia="Batang" w:hAnsi="Lucida Bright" w:cs="Times New Roman"/>
              <w:szCs w:val="24"/>
              <w:lang w:eastAsia="ko-KR"/>
            </w:rPr>
          </w:pPr>
          <w:r w:rsidRPr="00D908F1">
            <w:rPr>
              <w:rFonts w:ascii="Lucida Bright" w:eastAsia="Batang" w:hAnsi="Lucida Bright" w:cs="Times New Roman"/>
              <w:szCs w:val="24"/>
              <w:lang w:eastAsia="ko-KR"/>
            </w:rPr>
            <w:t xml:space="preserve">After notice of the general permit is published in the </w:t>
          </w:r>
          <w:r w:rsidRPr="00D908F1">
            <w:rPr>
              <w:rFonts w:ascii="Lucida Bright" w:eastAsia="Batang" w:hAnsi="Lucida Bright" w:cs="Times New Roman"/>
              <w:i/>
              <w:iCs/>
              <w:szCs w:val="24"/>
              <w:lang w:eastAsia="ko-KR"/>
            </w:rPr>
            <w:t>Texas Register</w:t>
          </w:r>
          <w:r w:rsidRPr="00D908F1">
            <w:rPr>
              <w:rFonts w:ascii="Lucida Bright" w:eastAsia="Batang" w:hAnsi="Lucida Bright" w:cs="Times New Roman"/>
              <w:szCs w:val="24"/>
              <w:lang w:eastAsia="ko-KR"/>
            </w:rPr>
            <w:t xml:space="preserve"> and the newspaper(s), the public will have 30 days to provide public comment on the draft permit.</w:t>
          </w:r>
        </w:p>
        <w:p w14:paraId="52A3166B" w14:textId="45A1F87F" w:rsidR="0072789C" w:rsidRPr="00D908F1" w:rsidRDefault="0072789C" w:rsidP="00482B6F">
          <w:pPr>
            <w:numPr>
              <w:ilvl w:val="1"/>
              <w:numId w:val="4"/>
            </w:numPr>
            <w:spacing w:after="240"/>
            <w:rPr>
              <w:rFonts w:ascii="Lucida Bright" w:eastAsia="Batang" w:hAnsi="Lucida Bright" w:cs="Times New Roman"/>
              <w:szCs w:val="24"/>
              <w:lang w:eastAsia="ko-KR"/>
            </w:rPr>
          </w:pPr>
          <w:r w:rsidRPr="00D908F1">
            <w:rPr>
              <w:rFonts w:ascii="Lucida Bright" w:eastAsia="Batang" w:hAnsi="Lucida Bright" w:cs="Times New Roman"/>
              <w:szCs w:val="24"/>
              <w:lang w:eastAsia="ko-KR"/>
            </w:rPr>
            <w:t xml:space="preserve">Any person, agency, or association may make a request for a public meeting on the draft general permit to the </w:t>
          </w:r>
          <w:r w:rsidR="00C5529C" w:rsidRPr="00D908F1">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C5529C" w:rsidRPr="00D908F1">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of TCEQ before the end of the public comment period. A public meeting will be granted when the </w:t>
          </w:r>
          <w:r w:rsidR="00014690" w:rsidRPr="00D908F1">
            <w:rPr>
              <w:rFonts w:ascii="Lucida Bright" w:eastAsia="Batang" w:hAnsi="Lucida Bright" w:cs="Times New Roman"/>
              <w:szCs w:val="24"/>
              <w:lang w:eastAsia="ko-KR"/>
            </w:rPr>
            <w:t xml:space="preserve">executive director or commission </w:t>
          </w:r>
          <w:r w:rsidRPr="00D908F1">
            <w:rPr>
              <w:rFonts w:ascii="Lucida Bright" w:eastAsia="Batang" w:hAnsi="Lucida Bright" w:cs="Times New Roman"/>
              <w:szCs w:val="24"/>
              <w:lang w:eastAsia="ko-KR"/>
            </w:rPr>
            <w:t>determines, on the basis of requests</w:t>
          </w:r>
          <w:r w:rsidR="00C5529C" w:rsidRPr="00D908F1">
            <w:rPr>
              <w:rFonts w:ascii="Lucida Bright" w:eastAsia="Batang" w:hAnsi="Lucida Bright" w:cs="Times New Roman"/>
              <w:szCs w:val="24"/>
              <w:lang w:eastAsia="ko-KR"/>
            </w:rPr>
            <w:t>,</w:t>
          </w:r>
          <w:r w:rsidRPr="00D908F1">
            <w:rPr>
              <w:rFonts w:ascii="Lucida Bright" w:eastAsia="Batang" w:hAnsi="Lucida Bright" w:cs="Times New Roman"/>
              <w:szCs w:val="24"/>
              <w:lang w:eastAsia="ko-KR"/>
            </w:rPr>
            <w:t xml:space="preserve"> that a significant degree of public interest in the draft general permit exists. A public meeting is intended for the taking of public comment and is not a contested case proceeding under the </w:t>
          </w:r>
          <w:r w:rsidR="00807D00" w:rsidRPr="00D908F1">
            <w:rPr>
              <w:rFonts w:ascii="Lucida Bright" w:eastAsia="Batang" w:hAnsi="Lucida Bright" w:cs="Times New Roman"/>
              <w:szCs w:val="24"/>
              <w:lang w:eastAsia="ko-KR"/>
            </w:rPr>
            <w:t xml:space="preserve">Texas </w:t>
          </w:r>
          <w:r w:rsidRPr="00D908F1">
            <w:rPr>
              <w:rFonts w:ascii="Lucida Bright" w:eastAsia="Batang" w:hAnsi="Lucida Bright" w:cs="Times New Roman"/>
              <w:szCs w:val="24"/>
              <w:lang w:eastAsia="ko-KR"/>
            </w:rPr>
            <w:t>Administrative Procedure Act.</w:t>
          </w:r>
        </w:p>
        <w:p w14:paraId="559FF730" w14:textId="6DBBECE1" w:rsidR="002A5076" w:rsidRPr="00D908F1" w:rsidRDefault="0072789C" w:rsidP="00482B6F">
          <w:pPr>
            <w:tabs>
              <w:tab w:val="left" w:pos="720"/>
              <w:tab w:val="left" w:pos="144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rPr>
              <w:rFonts w:ascii="Lucida Bright" w:hAnsi="Lucida Bright" w:cs="Times New Roman"/>
              <w:szCs w:val="22"/>
            </w:rPr>
          </w:pPr>
          <w:r w:rsidRPr="00D908F1">
            <w:rPr>
              <w:rFonts w:ascii="Lucida Bright" w:eastAsia="Batang" w:hAnsi="Lucida Bright" w:cs="Times New Roman"/>
              <w:szCs w:val="24"/>
              <w:lang w:eastAsia="ko-KR"/>
            </w:rPr>
            <w:t xml:space="preserve">If the </w:t>
          </w:r>
          <w:r w:rsidR="00014690">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014690">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calls a public meeting,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ommission will give notice of the date, time, and place of the meeting, as required by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ommission rule. The </w:t>
          </w:r>
          <w:r w:rsidR="00014690">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014690">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shall prepare a response to all significant public comments on the draft general permit raised during the public comment period. The </w:t>
          </w:r>
          <w:r w:rsidR="00C5529C" w:rsidRPr="00D908F1">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C5529C" w:rsidRPr="00D908F1">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shall make the response available to the public. The general permit will then be filed with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ommission to consider final authorization of the permit. The </w:t>
          </w:r>
          <w:r w:rsidR="00C5529C" w:rsidRPr="00D908F1">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C5529C" w:rsidRPr="00D908F1">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irector’s response to public comment shall be made available to the public and filed with the </w:t>
          </w:r>
          <w:r w:rsidR="00C5529C" w:rsidRPr="00D908F1">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hief </w:t>
          </w:r>
          <w:r w:rsidR="00C5529C" w:rsidRPr="00D908F1">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lerk at least ten days before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ommission acts on the general permit.</w:t>
          </w:r>
        </w:p>
        <w:p w14:paraId="74DAD0FD" w14:textId="631E5BB3" w:rsidR="002A5076" w:rsidRPr="00D908F1" w:rsidRDefault="000D4A36" w:rsidP="00F5173B">
          <w:pPr>
            <w:pStyle w:val="Heading1"/>
          </w:pPr>
          <w:r w:rsidRPr="00D908F1">
            <w:t>XI</w:t>
          </w:r>
          <w:r w:rsidR="00D908F1" w:rsidRPr="00D908F1">
            <w:t>V</w:t>
          </w:r>
          <w:r w:rsidR="002A5076" w:rsidRPr="00D908F1">
            <w:t xml:space="preserve">. </w:t>
          </w:r>
          <w:r w:rsidR="002A5076" w:rsidRPr="00D908F1">
            <w:tab/>
            <w:t>Administrative Record</w:t>
          </w:r>
        </w:p>
        <w:p w14:paraId="099070FA" w14:textId="77777777" w:rsidR="002A5076" w:rsidRPr="00D908F1" w:rsidRDefault="002A5076" w:rsidP="00305C0A">
          <w:pPr>
            <w:keepNext/>
            <w:spacing w:after="240"/>
            <w:rPr>
              <w:rFonts w:ascii="Lucida Bright" w:hAnsi="Lucida Bright"/>
            </w:rPr>
          </w:pPr>
          <w:r w:rsidRPr="00D908F1">
            <w:rPr>
              <w:rFonts w:ascii="Lucida Bright" w:hAnsi="Lucida Bright"/>
            </w:rPr>
            <w:t>The following section is a list of the fact sheet citations to applicable statutory or regulatory provisions and appropriate supporting references.</w:t>
          </w:r>
        </w:p>
        <w:p w14:paraId="167990C3" w14:textId="77777777" w:rsidR="00D908F1" w:rsidRPr="00D908F1" w:rsidRDefault="00D908F1" w:rsidP="00F5173B">
          <w:pPr>
            <w:pStyle w:val="ListParagraph"/>
            <w:numPr>
              <w:ilvl w:val="0"/>
              <w:numId w:val="32"/>
            </w:numPr>
            <w:ind w:hanging="720"/>
          </w:pPr>
          <w:r w:rsidRPr="00D908F1">
            <w:t>TPDES Permits</w:t>
          </w:r>
        </w:p>
        <w:p w14:paraId="50B3459B" w14:textId="15773D83" w:rsidR="00D908F1" w:rsidRPr="00D908F1" w:rsidRDefault="00D908F1" w:rsidP="00F5173B">
          <w:pPr>
            <w:pStyle w:val="BodyText6"/>
            <w:spacing w:before="120" w:after="240"/>
            <w:ind w:firstLine="0"/>
            <w:rPr>
              <w:rFonts w:ascii="Lucida Bright" w:hAnsi="Lucida Bright"/>
            </w:rPr>
          </w:pPr>
          <w:r w:rsidRPr="00D908F1">
            <w:rPr>
              <w:rFonts w:ascii="Lucida Bright" w:hAnsi="Lucida Bright"/>
            </w:rPr>
            <w:t>TPDES General Permit for Conventional Water Treatment Plants (TXG640000) effective October 21, 2020</w:t>
          </w:r>
        </w:p>
        <w:p w14:paraId="054ACC10" w14:textId="359332A6" w:rsidR="00AE5833" w:rsidRPr="00D908F1" w:rsidRDefault="00AE5833" w:rsidP="00A8136D">
          <w:pPr>
            <w:pStyle w:val="ListNumber"/>
          </w:pPr>
          <w:r w:rsidRPr="00D908F1">
            <w:t xml:space="preserve">40 </w:t>
          </w:r>
          <w:r w:rsidR="00807D00" w:rsidRPr="00D908F1">
            <w:t>Code of Federal Regulations (</w:t>
          </w:r>
          <w:r w:rsidRPr="00D908F1">
            <w:t>CFR</w:t>
          </w:r>
          <w:r w:rsidR="00807D00" w:rsidRPr="00D908F1">
            <w:t>)</w:t>
          </w:r>
          <w:r w:rsidRPr="00D908F1">
            <w:t xml:space="preserve"> Citations</w:t>
          </w:r>
        </w:p>
        <w:p w14:paraId="21833FDB" w14:textId="77777777" w:rsidR="00AE5833" w:rsidRPr="00D908F1" w:rsidRDefault="00AE5833" w:rsidP="00F5173B">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120" w:after="240"/>
            <w:ind w:left="720"/>
            <w:rPr>
              <w:rFonts w:ascii="Lucida Bright" w:hAnsi="Lucida Bright" w:cs="Times New Roman"/>
              <w:szCs w:val="22"/>
            </w:rPr>
          </w:pPr>
          <w:r w:rsidRPr="00D908F1">
            <w:rPr>
              <w:rFonts w:ascii="Lucida Bright" w:hAnsi="Lucida Bright" w:cs="Times New Roman"/>
              <w:szCs w:val="22"/>
            </w:rPr>
            <w:t xml:space="preserve">40 CFR </w:t>
          </w:r>
          <w:r w:rsidR="00807D00" w:rsidRPr="00D908F1">
            <w:rPr>
              <w:rFonts w:ascii="Lucida Bright" w:hAnsi="Lucida Bright" w:cs="Times New Roman"/>
              <w:szCs w:val="22"/>
            </w:rPr>
            <w:t xml:space="preserve">Parts </w:t>
          </w:r>
          <w:r w:rsidRPr="00D908F1">
            <w:rPr>
              <w:rFonts w:ascii="Lucida Bright" w:hAnsi="Lucida Bright" w:cs="Times New Roman"/>
              <w:szCs w:val="22"/>
            </w:rPr>
            <w:t>122, 124, 136</w:t>
          </w:r>
        </w:p>
        <w:p w14:paraId="43357752" w14:textId="77777777" w:rsidR="00AE5833" w:rsidRPr="00D908F1" w:rsidRDefault="00AE5833" w:rsidP="00A8136D">
          <w:pPr>
            <w:pStyle w:val="ListNumber"/>
          </w:pPr>
          <w:r w:rsidRPr="00D908F1">
            <w:t>TCEQ Rules</w:t>
          </w:r>
        </w:p>
        <w:p w14:paraId="752F588E" w14:textId="2AA1AD0A" w:rsidR="00AE5833" w:rsidRPr="00D908F1" w:rsidRDefault="00AE5833" w:rsidP="00F5173B">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120" w:after="240"/>
            <w:ind w:left="720"/>
            <w:rPr>
              <w:rFonts w:ascii="Lucida Bright" w:hAnsi="Lucida Bright" w:cs="Times New Roman"/>
              <w:szCs w:val="22"/>
            </w:rPr>
          </w:pPr>
          <w:r w:rsidRPr="00D908F1">
            <w:rPr>
              <w:rFonts w:ascii="Lucida Bright" w:hAnsi="Lucida Bright" w:cs="Times New Roman"/>
              <w:szCs w:val="22"/>
            </w:rPr>
            <w:t xml:space="preserve">30 TAC Chapters 39, 205, </w:t>
          </w:r>
          <w:r w:rsidR="00087025">
            <w:rPr>
              <w:rFonts w:ascii="Lucida Bright" w:hAnsi="Lucida Bright" w:cs="Times New Roman"/>
              <w:szCs w:val="22"/>
            </w:rPr>
            <w:t xml:space="preserve">213, </w:t>
          </w:r>
          <w:r w:rsidRPr="00D908F1">
            <w:rPr>
              <w:rFonts w:ascii="Lucida Bright" w:hAnsi="Lucida Bright" w:cs="Times New Roman"/>
              <w:szCs w:val="22"/>
            </w:rPr>
            <w:t xml:space="preserve">281, </w:t>
          </w:r>
          <w:r w:rsidR="001A1000">
            <w:rPr>
              <w:rFonts w:ascii="Lucida Bright" w:hAnsi="Lucida Bright" w:cs="Times New Roman"/>
              <w:szCs w:val="22"/>
            </w:rPr>
            <w:t xml:space="preserve">290, </w:t>
          </w:r>
          <w:r w:rsidRPr="00D908F1">
            <w:rPr>
              <w:rFonts w:ascii="Lucida Bright" w:hAnsi="Lucida Bright" w:cs="Times New Roman"/>
              <w:szCs w:val="22"/>
            </w:rPr>
            <w:t xml:space="preserve">305, </w:t>
          </w:r>
          <w:r w:rsidR="00662559" w:rsidRPr="00D908F1">
            <w:rPr>
              <w:rFonts w:ascii="Lucida Bright" w:hAnsi="Lucida Bright" w:cs="Times New Roman"/>
              <w:szCs w:val="22"/>
            </w:rPr>
            <w:t xml:space="preserve">307, </w:t>
          </w:r>
          <w:r w:rsidR="00087025">
            <w:rPr>
              <w:rFonts w:ascii="Lucida Bright" w:hAnsi="Lucida Bright" w:cs="Times New Roman"/>
              <w:szCs w:val="22"/>
            </w:rPr>
            <w:t xml:space="preserve">312, </w:t>
          </w:r>
          <w:r w:rsidRPr="00D908F1">
            <w:rPr>
              <w:rFonts w:ascii="Lucida Bright" w:hAnsi="Lucida Bright" w:cs="Times New Roman"/>
              <w:szCs w:val="22"/>
            </w:rPr>
            <w:t>319, 331, and 335</w:t>
          </w:r>
        </w:p>
        <w:p w14:paraId="346542A3" w14:textId="77777777" w:rsidR="00A76851" w:rsidRPr="00D908F1" w:rsidRDefault="00A76851" w:rsidP="00A8136D">
          <w:pPr>
            <w:pStyle w:val="ListNumber"/>
          </w:pPr>
          <w:r w:rsidRPr="00D908F1">
            <w:t>Letters/Memoranda/Records of Communication</w:t>
          </w:r>
        </w:p>
        <w:p w14:paraId="2BBA3537" w14:textId="3DD9CCF1" w:rsidR="003F2B62" w:rsidRDefault="00D10A03" w:rsidP="00F5173B">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120" w:after="120"/>
            <w:ind w:left="720"/>
            <w:rPr>
              <w:rFonts w:ascii="Lucida Bright" w:hAnsi="Lucida Bright" w:cs="Times New Roman"/>
              <w:szCs w:val="22"/>
            </w:rPr>
          </w:pPr>
          <w:r w:rsidRPr="00D908F1">
            <w:rPr>
              <w:rFonts w:ascii="Lucida Bright" w:hAnsi="Lucida Bright" w:cs="Times New Roman"/>
              <w:szCs w:val="22"/>
            </w:rPr>
            <w:t>TXG6</w:t>
          </w:r>
          <w:r w:rsidR="00F25EA3" w:rsidRPr="00D908F1">
            <w:rPr>
              <w:rFonts w:ascii="Lucida Bright" w:hAnsi="Lucida Bright" w:cs="Times New Roman"/>
              <w:szCs w:val="22"/>
            </w:rPr>
            <w:t>4</w:t>
          </w:r>
          <w:r w:rsidRPr="00D908F1">
            <w:rPr>
              <w:rFonts w:ascii="Lucida Bright" w:hAnsi="Lucida Bright" w:cs="Times New Roman"/>
              <w:szCs w:val="22"/>
            </w:rPr>
            <w:t>0000 Antidegr</w:t>
          </w:r>
          <w:r w:rsidR="00C5529C" w:rsidRPr="00D908F1">
            <w:rPr>
              <w:rFonts w:ascii="Lucida Bright" w:hAnsi="Lucida Bright" w:cs="Times New Roman"/>
              <w:szCs w:val="22"/>
            </w:rPr>
            <w:t>a</w:t>
          </w:r>
          <w:r w:rsidRPr="00D908F1">
            <w:rPr>
              <w:rFonts w:ascii="Lucida Bright" w:hAnsi="Lucida Bright" w:cs="Times New Roman"/>
              <w:szCs w:val="22"/>
            </w:rPr>
            <w:t xml:space="preserve">dation Review, </w:t>
          </w:r>
          <w:r w:rsidR="003F2B62" w:rsidRPr="00D908F1">
            <w:rPr>
              <w:rFonts w:ascii="Lucida Bright" w:hAnsi="Lucida Bright" w:cs="Times New Roman"/>
              <w:szCs w:val="22"/>
            </w:rPr>
            <w:t xml:space="preserve">Interoffice Memorandum </w:t>
          </w:r>
          <w:r w:rsidRPr="00D908F1">
            <w:rPr>
              <w:rFonts w:ascii="Lucida Bright" w:hAnsi="Lucida Bright" w:cs="Times New Roman"/>
              <w:szCs w:val="22"/>
            </w:rPr>
            <w:t xml:space="preserve">from the Standards Implementation Team </w:t>
          </w:r>
          <w:r w:rsidR="003F2B62" w:rsidRPr="00D908F1">
            <w:rPr>
              <w:rFonts w:ascii="Lucida Bright" w:hAnsi="Lucida Bright" w:cs="Times New Roman"/>
              <w:szCs w:val="22"/>
            </w:rPr>
            <w:t xml:space="preserve">dated </w:t>
          </w:r>
          <w:r w:rsidR="009F5FD9" w:rsidRPr="001A1000">
            <w:rPr>
              <w:rFonts w:ascii="Lucida Bright" w:hAnsi="Lucida Bright" w:cs="Times New Roman"/>
              <w:szCs w:val="22"/>
            </w:rPr>
            <w:t>July</w:t>
          </w:r>
          <w:r w:rsidR="002A41C4" w:rsidRPr="001A1000">
            <w:rPr>
              <w:rFonts w:ascii="Lucida Bright" w:hAnsi="Lucida Bright" w:cs="Times New Roman"/>
              <w:szCs w:val="22"/>
            </w:rPr>
            <w:t xml:space="preserve"> </w:t>
          </w:r>
          <w:r w:rsidR="00D63711" w:rsidRPr="001A1000">
            <w:rPr>
              <w:rFonts w:ascii="Lucida Bright" w:hAnsi="Lucida Bright" w:cs="Times New Roman"/>
              <w:szCs w:val="22"/>
            </w:rPr>
            <w:t>9</w:t>
          </w:r>
          <w:r w:rsidR="002A41C4" w:rsidRPr="001A1000">
            <w:rPr>
              <w:rFonts w:ascii="Lucida Bright" w:hAnsi="Lucida Bright" w:cs="Times New Roman"/>
              <w:szCs w:val="22"/>
            </w:rPr>
            <w:t xml:space="preserve">, </w:t>
          </w:r>
          <w:r w:rsidR="009F5FD9" w:rsidRPr="001A1000">
            <w:rPr>
              <w:rFonts w:ascii="Lucida Bright" w:hAnsi="Lucida Bright" w:cs="Times New Roman"/>
              <w:szCs w:val="22"/>
            </w:rPr>
            <w:t>2024</w:t>
          </w:r>
          <w:r w:rsidR="009F5FD9" w:rsidRPr="00D63711">
            <w:rPr>
              <w:rFonts w:ascii="Lucida Bright" w:hAnsi="Lucida Bright" w:cs="Times New Roman"/>
              <w:szCs w:val="22"/>
            </w:rPr>
            <w:t>.</w:t>
          </w:r>
        </w:p>
        <w:p w14:paraId="338E827F" w14:textId="73C3D06E" w:rsidR="0057476D" w:rsidRPr="00D908F1" w:rsidRDefault="0057476D" w:rsidP="00F5173B">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120" w:after="120"/>
            <w:ind w:left="720"/>
            <w:rPr>
              <w:rFonts w:ascii="Lucida Bright" w:hAnsi="Lucida Bright" w:cs="Times New Roman"/>
              <w:szCs w:val="22"/>
            </w:rPr>
          </w:pPr>
          <w:r w:rsidRPr="0057476D">
            <w:rPr>
              <w:rFonts w:ascii="Lucida Bright" w:hAnsi="Lucida Bright" w:cs="Times New Roman"/>
              <w:szCs w:val="22"/>
            </w:rPr>
            <w:t>TXG640000</w:t>
          </w:r>
          <w:r>
            <w:rPr>
              <w:rFonts w:ascii="Lucida Bright" w:hAnsi="Lucida Bright" w:cs="Times New Roman"/>
              <w:szCs w:val="22"/>
            </w:rPr>
            <w:t xml:space="preserve"> </w:t>
          </w:r>
          <w:r w:rsidRPr="0057476D">
            <w:rPr>
              <w:rFonts w:ascii="Lucida Bright" w:hAnsi="Lucida Bright" w:cs="Times New Roman"/>
              <w:szCs w:val="22"/>
            </w:rPr>
            <w:t xml:space="preserve">Groundwater Protection </w:t>
          </w:r>
          <w:r>
            <w:rPr>
              <w:rFonts w:ascii="Lucida Bright" w:hAnsi="Lucida Bright" w:cs="Times New Roman"/>
              <w:szCs w:val="22"/>
            </w:rPr>
            <w:t xml:space="preserve">Review, Interoffice </w:t>
          </w:r>
          <w:r w:rsidRPr="0057476D">
            <w:rPr>
              <w:rFonts w:ascii="Lucida Bright" w:hAnsi="Lucida Bright" w:cs="Times New Roman"/>
              <w:szCs w:val="22"/>
            </w:rPr>
            <w:t>Mem</w:t>
          </w:r>
          <w:r>
            <w:rPr>
              <w:rFonts w:ascii="Lucida Bright" w:hAnsi="Lucida Bright" w:cs="Times New Roman"/>
              <w:szCs w:val="22"/>
            </w:rPr>
            <w:t xml:space="preserve">orandum from the </w:t>
          </w:r>
          <w:r w:rsidR="000E16E8">
            <w:rPr>
              <w:rFonts w:ascii="Lucida Bright" w:hAnsi="Lucida Bright" w:cs="Times New Roman"/>
              <w:szCs w:val="22"/>
            </w:rPr>
            <w:t>Water Quality Assessment Team dated August 7, 2024.</w:t>
          </w:r>
        </w:p>
        <w:p w14:paraId="21985C32" w14:textId="77777777" w:rsidR="002A5076" w:rsidRPr="00D908F1" w:rsidRDefault="002A5076" w:rsidP="00A8136D">
          <w:pPr>
            <w:pStyle w:val="ListNumber"/>
          </w:pPr>
          <w:r w:rsidRPr="00D908F1">
            <w:t>Miscellaneous</w:t>
          </w:r>
        </w:p>
        <w:p w14:paraId="3DF6890E" w14:textId="68E4E9F7" w:rsidR="00D908F1" w:rsidRPr="00D908F1" w:rsidRDefault="00D908F1" w:rsidP="00F5173B">
          <w:pPr>
            <w:pStyle w:val="BodyText6"/>
            <w:spacing w:before="120"/>
            <w:ind w:firstLine="0"/>
            <w:rPr>
              <w:rFonts w:ascii="Lucida Bright" w:hAnsi="Lucida Bright"/>
            </w:rPr>
          </w:pPr>
          <w:r w:rsidRPr="00D908F1">
            <w:rPr>
              <w:rFonts w:ascii="Lucida Bright" w:hAnsi="Lucida Bright"/>
            </w:rPr>
            <w:t xml:space="preserve">TCEQ, </w:t>
          </w:r>
          <w:r w:rsidRPr="00D908F1">
            <w:rPr>
              <w:rFonts w:ascii="Lucida Bright" w:hAnsi="Lucida Bright"/>
              <w:i/>
              <w:iCs/>
            </w:rPr>
            <w:t>Implementation Procedures of the Texas Surface Water Quality Standards</w:t>
          </w:r>
          <w:r w:rsidRPr="00D908F1">
            <w:rPr>
              <w:rFonts w:ascii="Lucida Bright" w:hAnsi="Lucida Bright"/>
            </w:rPr>
            <w:t>, January 2010</w:t>
          </w:r>
          <w:r w:rsidR="00D27244">
            <w:rPr>
              <w:rFonts w:ascii="Lucida Bright" w:hAnsi="Lucida Bright"/>
            </w:rPr>
            <w:t>.</w:t>
          </w:r>
        </w:p>
        <w:p w14:paraId="6D159C24" w14:textId="4C361448" w:rsidR="00D10A03" w:rsidRPr="00D908F1" w:rsidRDefault="00D03985" w:rsidP="00DF76BA">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120"/>
            <w:ind w:left="720"/>
            <w:rPr>
              <w:rFonts w:ascii="Lucida Bright" w:hAnsi="Lucida Bright" w:cs="Times New Roman"/>
              <w:szCs w:val="22"/>
            </w:rPr>
          </w:pPr>
          <w:r w:rsidRPr="00D03985">
            <w:rPr>
              <w:rFonts w:ascii="Lucida Bright" w:hAnsi="Lucida Bright" w:cs="Times New Roman"/>
              <w:szCs w:val="22"/>
            </w:rPr>
            <w:t>Exec. Order No. 14,172, 90 Fed. Reg. 8629 (Jan. 31, 2025); U.S. Dept. of the Interior, Secretary Order No. 3423 (Feb. 7, 2025).</w:t>
          </w:r>
        </w:p>
      </w:sdtContent>
    </w:sdt>
    <w:sectPr w:rsidR="00D10A03" w:rsidRPr="00D908F1" w:rsidSect="00221261">
      <w:headerReference w:type="default" r:id="rId11"/>
      <w:footerReference w:type="default" r:id="rId12"/>
      <w:footerReference w:type="first" r:id="rId13"/>
      <w:type w:val="continuous"/>
      <w:pgSz w:w="12240" w:h="15840"/>
      <w:pgMar w:top="1008" w:right="1296" w:bottom="1008" w:left="129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71C2" w14:textId="77777777" w:rsidR="0041457A" w:rsidRDefault="0041457A">
      <w:r>
        <w:separator/>
      </w:r>
    </w:p>
  </w:endnote>
  <w:endnote w:type="continuationSeparator" w:id="0">
    <w:p w14:paraId="732EA83A" w14:textId="77777777" w:rsidR="0041457A" w:rsidRDefault="0041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JJKOHJ+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510F" w14:textId="77777777" w:rsidR="005E4245" w:rsidRDefault="005E4245">
    <w:pPr>
      <w:pStyle w:val="Footer"/>
    </w:pPr>
  </w:p>
  <w:p w14:paraId="3F397308" w14:textId="77777777" w:rsidR="00ED5D1C" w:rsidRPr="00B24B38" w:rsidRDefault="00ED5D1C" w:rsidP="00FC45DB">
    <w:pPr>
      <w:pStyle w:val="Footer"/>
      <w:jc w:val="center"/>
      <w:rPr>
        <w:rFonts w:ascii="Lucida Bright" w:hAnsi="Lucida Bright"/>
      </w:rPr>
    </w:pPr>
    <w:r w:rsidRPr="00B24B38">
      <w:rPr>
        <w:rFonts w:ascii="Lucida Bright" w:hAnsi="Lucida Bright"/>
      </w:rPr>
      <w:t xml:space="preserve">Page </w:t>
    </w:r>
    <w:r w:rsidRPr="00B24B38">
      <w:rPr>
        <w:rFonts w:ascii="Lucida Bright" w:hAnsi="Lucida Bright"/>
      </w:rPr>
      <w:fldChar w:fldCharType="begin"/>
    </w:r>
    <w:r w:rsidRPr="00B24B38">
      <w:rPr>
        <w:rFonts w:ascii="Lucida Bright" w:hAnsi="Lucida Bright"/>
      </w:rPr>
      <w:instrText xml:space="preserve"> PAGE   \* MERGEFORMAT </w:instrText>
    </w:r>
    <w:r w:rsidRPr="00B24B38">
      <w:rPr>
        <w:rFonts w:ascii="Lucida Bright" w:hAnsi="Lucida Bright"/>
      </w:rPr>
      <w:fldChar w:fldCharType="separate"/>
    </w:r>
    <w:r w:rsidR="00482B6F" w:rsidRPr="00B24B38">
      <w:rPr>
        <w:rFonts w:ascii="Lucida Bright" w:hAnsi="Lucida Bright"/>
        <w:noProof/>
      </w:rPr>
      <w:t>11</w:t>
    </w:r>
    <w:r w:rsidRPr="00B24B38">
      <w:rPr>
        <w:rFonts w:ascii="Lucida Bright" w:hAnsi="Lucida Br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8620" w14:textId="77777777" w:rsidR="00FC45DB" w:rsidRDefault="00FC45DB" w:rsidP="00FC45DB">
    <w:pPr>
      <w:pStyle w:val="Footer"/>
      <w:jc w:val="center"/>
      <w:rPr>
        <w:rFonts w:ascii="Lucida Bright" w:hAnsi="Lucida Bright"/>
      </w:rPr>
    </w:pPr>
  </w:p>
  <w:p w14:paraId="18066774" w14:textId="78D8CB34" w:rsidR="00FC45DB" w:rsidRPr="00FC45DB" w:rsidRDefault="00FC45DB" w:rsidP="00FC45DB">
    <w:pPr>
      <w:pStyle w:val="Footer"/>
      <w:jc w:val="center"/>
      <w:rPr>
        <w:rFonts w:ascii="Lucida Bright" w:hAnsi="Lucida Bright"/>
      </w:rPr>
    </w:pPr>
    <w:r w:rsidRPr="00B24B38">
      <w:rPr>
        <w:rFonts w:ascii="Lucida Bright" w:hAnsi="Lucida Bright"/>
      </w:rPr>
      <w:t xml:space="preserve">Page </w:t>
    </w:r>
    <w:r w:rsidRPr="00B24B38">
      <w:rPr>
        <w:rFonts w:ascii="Lucida Bright" w:hAnsi="Lucida Bright"/>
      </w:rPr>
      <w:fldChar w:fldCharType="begin"/>
    </w:r>
    <w:r w:rsidRPr="00B24B38">
      <w:rPr>
        <w:rFonts w:ascii="Lucida Bright" w:hAnsi="Lucida Bright"/>
      </w:rPr>
      <w:instrText xml:space="preserve"> PAGE   \* MERGEFORMAT </w:instrText>
    </w:r>
    <w:r w:rsidRPr="00B24B38">
      <w:rPr>
        <w:rFonts w:ascii="Lucida Bright" w:hAnsi="Lucida Bright"/>
      </w:rPr>
      <w:fldChar w:fldCharType="separate"/>
    </w:r>
    <w:r>
      <w:rPr>
        <w:rFonts w:ascii="Lucida Bright" w:hAnsi="Lucida Bright"/>
      </w:rPr>
      <w:t>2</w:t>
    </w:r>
    <w:r w:rsidRPr="00B24B38">
      <w:rPr>
        <w:rFonts w:ascii="Lucida Bright" w:hAnsi="Lucida Br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22543" w14:textId="77777777" w:rsidR="0041457A" w:rsidRDefault="0041457A">
      <w:r>
        <w:separator/>
      </w:r>
    </w:p>
  </w:footnote>
  <w:footnote w:type="continuationSeparator" w:id="0">
    <w:p w14:paraId="40196CCB" w14:textId="77777777" w:rsidR="0041457A" w:rsidRDefault="0041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F74F" w14:textId="3F8B81E2" w:rsidR="00ED5D1C" w:rsidRPr="00B24B38" w:rsidRDefault="00ED5D1C">
    <w:pPr>
      <w:pStyle w:val="Header"/>
      <w:rPr>
        <w:rFonts w:ascii="Lucida Bright" w:hAnsi="Lucida Bright"/>
      </w:rPr>
    </w:pPr>
    <w:r w:rsidRPr="00B24B38">
      <w:rPr>
        <w:rFonts w:ascii="Lucida Bright" w:hAnsi="Lucida Bright"/>
      </w:rPr>
      <w:t xml:space="preserve">Fact Sheet and Executive Director's </w:t>
    </w:r>
    <w:r w:rsidR="008867DE">
      <w:rPr>
        <w:rFonts w:ascii="Lucida Bright" w:hAnsi="Lucida Bright"/>
      </w:rPr>
      <w:t>Final</w:t>
    </w:r>
    <w:r w:rsidRPr="00B24B38">
      <w:rPr>
        <w:rFonts w:ascii="Lucida Bright" w:hAnsi="Lucida Bright"/>
      </w:rPr>
      <w:t xml:space="preserve"> Decision</w:t>
    </w:r>
  </w:p>
  <w:p w14:paraId="5FEF5835" w14:textId="77777777" w:rsidR="00ED5D1C" w:rsidRPr="00B24B38" w:rsidRDefault="00ED5D1C">
    <w:pPr>
      <w:pStyle w:val="Header"/>
      <w:rPr>
        <w:rFonts w:ascii="Lucida Bright" w:hAnsi="Lucida Bright"/>
      </w:rPr>
    </w:pPr>
    <w:r w:rsidRPr="00B24B38">
      <w:rPr>
        <w:rFonts w:ascii="Lucida Bright" w:hAnsi="Lucida Bright"/>
      </w:rPr>
      <w:t>General Permit Number TXG6</w:t>
    </w:r>
    <w:r w:rsidR="00B57B11" w:rsidRPr="00B24B38">
      <w:rPr>
        <w:rFonts w:ascii="Lucida Bright" w:hAnsi="Lucida Bright"/>
      </w:rPr>
      <w:t>4</w:t>
    </w:r>
    <w:r w:rsidRPr="00B24B38">
      <w:rPr>
        <w:rFonts w:ascii="Lucida Bright" w:hAnsi="Lucida Bright"/>
      </w:rPr>
      <w:t>0000</w:t>
    </w:r>
  </w:p>
  <w:p w14:paraId="7C17C02B" w14:textId="77777777" w:rsidR="00ED5D1C" w:rsidRDefault="00ED5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6E60"/>
    <w:multiLevelType w:val="hybridMultilevel"/>
    <w:tmpl w:val="ADC0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C30FF"/>
    <w:multiLevelType w:val="hybridMultilevel"/>
    <w:tmpl w:val="C3F4E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A3BBD"/>
    <w:multiLevelType w:val="hybridMultilevel"/>
    <w:tmpl w:val="4448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1777D"/>
    <w:multiLevelType w:val="hybridMultilevel"/>
    <w:tmpl w:val="F72A9FC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133911"/>
    <w:multiLevelType w:val="multilevel"/>
    <w:tmpl w:val="1180D57A"/>
    <w:lvl w:ilvl="0">
      <w:start w:val="1"/>
      <w:numFmt w:val="upperRoman"/>
      <w:pStyle w:val="Heading3"/>
      <w:lvlText w:val="%1."/>
      <w:lvlJc w:val="left"/>
      <w:pPr>
        <w:ind w:left="720" w:hanging="720"/>
      </w:pPr>
      <w:rPr>
        <w:rFonts w:hint="default"/>
      </w:rPr>
    </w:lvl>
    <w:lvl w:ilvl="1">
      <w:start w:val="1"/>
      <w:numFmt w:val="none"/>
      <w:pStyle w:val="BodyText"/>
      <w:suff w:val="nothing"/>
      <w:lvlText w:val=""/>
      <w:lvlJc w:val="left"/>
      <w:pPr>
        <w:ind w:left="0" w:firstLine="0"/>
      </w:pPr>
      <w:rPr>
        <w:rFonts w:hint="default"/>
      </w:rPr>
    </w:lvl>
    <w:lvl w:ilvl="2">
      <w:start w:val="1"/>
      <w:numFmt w:val="upperLetter"/>
      <w:pStyle w:val="Bodytext7"/>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5" w15:restartNumberingAfterBreak="0">
    <w:nsid w:val="1F6513D2"/>
    <w:multiLevelType w:val="multilevel"/>
    <w:tmpl w:val="0A76C0D2"/>
    <w:lvl w:ilvl="0">
      <w:start w:val="1"/>
      <w:numFmt w:val="upperRoman"/>
      <w:lvlText w:val="Part %1."/>
      <w:lvlJc w:val="left"/>
      <w:pPr>
        <w:ind w:left="360" w:hanging="360"/>
      </w:pPr>
      <w:rPr>
        <w:rFonts w:hint="default"/>
      </w:rPr>
    </w:lvl>
    <w:lvl w:ilvl="1">
      <w:start w:val="1"/>
      <w:numFmt w:val="none"/>
      <w:suff w:val="nothing"/>
      <w:lvlText w:val=""/>
      <w:lvlJc w:val="left"/>
      <w:pPr>
        <w:ind w:left="0" w:firstLine="0"/>
      </w:pPr>
      <w:rPr>
        <w:rFonts w:hint="default"/>
      </w:rPr>
    </w:lvl>
    <w:lvl w:ilvl="2">
      <w:start w:val="1"/>
      <w:numFmt w:val="upperLetter"/>
      <w:lvlRestart w:val="1"/>
      <w:lvlText w:val="%3."/>
      <w:lvlJc w:val="left"/>
      <w:pPr>
        <w:ind w:left="720" w:hanging="720"/>
      </w:pPr>
      <w:rPr>
        <w:rFonts w:hint="default"/>
        <w:b/>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decimal"/>
      <w:lvlText w:val="(%9)"/>
      <w:lvlJc w:val="left"/>
      <w:pPr>
        <w:ind w:left="2880" w:hanging="720"/>
      </w:pPr>
      <w:rPr>
        <w:rFonts w:hint="default"/>
      </w:rPr>
    </w:lvl>
  </w:abstractNum>
  <w:abstractNum w:abstractNumId="6" w15:restartNumberingAfterBreak="0">
    <w:nsid w:val="225429DD"/>
    <w:multiLevelType w:val="hybridMultilevel"/>
    <w:tmpl w:val="6C2C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E163C"/>
    <w:multiLevelType w:val="hybridMultilevel"/>
    <w:tmpl w:val="022A3E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9313BE0"/>
    <w:multiLevelType w:val="hybridMultilevel"/>
    <w:tmpl w:val="102A8B0A"/>
    <w:lvl w:ilvl="0" w:tplc="04090019">
      <w:start w:val="1"/>
      <w:numFmt w:val="lowerLetter"/>
      <w:lvlText w:val="%1."/>
      <w:lvlJc w:val="left"/>
      <w:pPr>
        <w:ind w:left="2160" w:hanging="360"/>
      </w:pPr>
    </w:lvl>
    <w:lvl w:ilvl="1" w:tplc="7C763BD4">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0EC5C9C"/>
    <w:multiLevelType w:val="hybridMultilevel"/>
    <w:tmpl w:val="50902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15EA2"/>
    <w:multiLevelType w:val="hybridMultilevel"/>
    <w:tmpl w:val="644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B58BD"/>
    <w:multiLevelType w:val="hybridMultilevel"/>
    <w:tmpl w:val="12466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24CF3"/>
    <w:multiLevelType w:val="hybridMultilevel"/>
    <w:tmpl w:val="EE942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D74E20"/>
    <w:multiLevelType w:val="hybridMultilevel"/>
    <w:tmpl w:val="511E6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E3791"/>
    <w:multiLevelType w:val="hybridMultilevel"/>
    <w:tmpl w:val="B2B20E4E"/>
    <w:lvl w:ilvl="0" w:tplc="2ACC5E86">
      <w:start w:val="1"/>
      <w:numFmt w:val="decimal"/>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5" w15:restartNumberingAfterBreak="0">
    <w:nsid w:val="511269F2"/>
    <w:multiLevelType w:val="hybridMultilevel"/>
    <w:tmpl w:val="4AE8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91042"/>
    <w:multiLevelType w:val="hybridMultilevel"/>
    <w:tmpl w:val="F7645580"/>
    <w:lvl w:ilvl="0" w:tplc="19AE81FA">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5C3A574D"/>
    <w:multiLevelType w:val="hybridMultilevel"/>
    <w:tmpl w:val="375C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F06AF"/>
    <w:multiLevelType w:val="hybridMultilevel"/>
    <w:tmpl w:val="A5F0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04C60"/>
    <w:multiLevelType w:val="hybridMultilevel"/>
    <w:tmpl w:val="DD467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E1C52"/>
    <w:multiLevelType w:val="hybridMultilevel"/>
    <w:tmpl w:val="3E0A6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A4238B"/>
    <w:multiLevelType w:val="hybridMultilevel"/>
    <w:tmpl w:val="64B83ED2"/>
    <w:lvl w:ilvl="0" w:tplc="3B545F28">
      <w:start w:val="1"/>
      <w:numFmt w:val="decimal"/>
      <w:pStyle w:val="ListParagraph"/>
      <w:lvlText w:val="%1."/>
      <w:lvlJc w:val="left"/>
      <w:pPr>
        <w:ind w:left="720" w:hanging="360"/>
      </w:pPr>
    </w:lvl>
    <w:lvl w:ilvl="1" w:tplc="8C2E4166">
      <w:start w:val="1"/>
      <w:numFmt w:val="lowerLetter"/>
      <w:pStyle w:val="ListNumber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5828"/>
    <w:multiLevelType w:val="hybridMultilevel"/>
    <w:tmpl w:val="E872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F5AD4"/>
    <w:multiLevelType w:val="multilevel"/>
    <w:tmpl w:val="83FAAB1E"/>
    <w:lvl w:ilvl="0">
      <w:start w:val="1"/>
      <w:numFmt w:val="bullet"/>
      <w:lvlText w:val=""/>
      <w:lvlJc w:val="left"/>
      <w:pPr>
        <w:ind w:left="720" w:hanging="720"/>
      </w:pPr>
      <w:rPr>
        <w:rFonts w:ascii="Symbol" w:hAnsi="Symbol" w:hint="default"/>
      </w:rPr>
    </w:lvl>
    <w:lvl w:ilvl="1">
      <w:start w:val="1"/>
      <w:numFmt w:val="none"/>
      <w:suff w:val="nothing"/>
      <w:lvlText w:val=""/>
      <w:lvlJc w:val="left"/>
      <w:pPr>
        <w:ind w:left="0" w:firstLine="0"/>
      </w:pPr>
      <w:rPr>
        <w:rFonts w:hint="default"/>
      </w:rPr>
    </w:lvl>
    <w:lvl w:ilvl="2">
      <w:start w:val="1"/>
      <w:numFmt w:val="upperLetter"/>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24" w15:restartNumberingAfterBreak="0">
    <w:nsid w:val="74762E92"/>
    <w:multiLevelType w:val="hybridMultilevel"/>
    <w:tmpl w:val="90C8B1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D334B5"/>
    <w:multiLevelType w:val="hybridMultilevel"/>
    <w:tmpl w:val="9B0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650924">
    <w:abstractNumId w:val="14"/>
  </w:num>
  <w:num w:numId="2" w16cid:durableId="1715498910">
    <w:abstractNumId w:val="16"/>
  </w:num>
  <w:num w:numId="3" w16cid:durableId="1737317091">
    <w:abstractNumId w:val="19"/>
  </w:num>
  <w:num w:numId="4" w16cid:durableId="417794443">
    <w:abstractNumId w:val="4"/>
  </w:num>
  <w:num w:numId="5" w16cid:durableId="1945183352">
    <w:abstractNumId w:val="6"/>
  </w:num>
  <w:num w:numId="6" w16cid:durableId="1320386113">
    <w:abstractNumId w:val="17"/>
  </w:num>
  <w:num w:numId="7" w16cid:durableId="922228933">
    <w:abstractNumId w:val="21"/>
  </w:num>
  <w:num w:numId="8" w16cid:durableId="1508210697">
    <w:abstractNumId w:val="13"/>
  </w:num>
  <w:num w:numId="9" w16cid:durableId="1677340969">
    <w:abstractNumId w:val="12"/>
  </w:num>
  <w:num w:numId="10" w16cid:durableId="2006207821">
    <w:abstractNumId w:val="8"/>
  </w:num>
  <w:num w:numId="11" w16cid:durableId="1083726816">
    <w:abstractNumId w:val="22"/>
  </w:num>
  <w:num w:numId="12" w16cid:durableId="38555691">
    <w:abstractNumId w:val="0"/>
  </w:num>
  <w:num w:numId="13" w16cid:durableId="1087842046">
    <w:abstractNumId w:val="24"/>
  </w:num>
  <w:num w:numId="14" w16cid:durableId="1899200418">
    <w:abstractNumId w:val="23"/>
  </w:num>
  <w:num w:numId="15" w16cid:durableId="319122899">
    <w:abstractNumId w:val="25"/>
  </w:num>
  <w:num w:numId="16" w16cid:durableId="778065796">
    <w:abstractNumId w:val="20"/>
  </w:num>
  <w:num w:numId="17" w16cid:durableId="1262645728">
    <w:abstractNumId w:val="1"/>
  </w:num>
  <w:num w:numId="18" w16cid:durableId="2040277174">
    <w:abstractNumId w:val="5"/>
  </w:num>
  <w:num w:numId="19" w16cid:durableId="2028015639">
    <w:abstractNumId w:val="15"/>
  </w:num>
  <w:num w:numId="20" w16cid:durableId="1277638861">
    <w:abstractNumId w:val="18"/>
  </w:num>
  <w:num w:numId="21" w16cid:durableId="1245722549">
    <w:abstractNumId w:val="2"/>
  </w:num>
  <w:num w:numId="22" w16cid:durableId="415447040">
    <w:abstractNumId w:val="10"/>
  </w:num>
  <w:num w:numId="23" w16cid:durableId="479689266">
    <w:abstractNumId w:val="9"/>
  </w:num>
  <w:num w:numId="24" w16cid:durableId="838277201">
    <w:abstractNumId w:val="21"/>
    <w:lvlOverride w:ilvl="0">
      <w:startOverride w:val="1"/>
    </w:lvlOverride>
  </w:num>
  <w:num w:numId="25" w16cid:durableId="779378155">
    <w:abstractNumId w:val="7"/>
  </w:num>
  <w:num w:numId="26" w16cid:durableId="1826505611">
    <w:abstractNumId w:val="11"/>
  </w:num>
  <w:num w:numId="27" w16cid:durableId="1229144498">
    <w:abstractNumId w:val="3"/>
  </w:num>
  <w:num w:numId="28" w16cid:durableId="2133397171">
    <w:abstractNumId w:val="21"/>
    <w:lvlOverride w:ilvl="0">
      <w:startOverride w:val="1"/>
    </w:lvlOverride>
  </w:num>
  <w:num w:numId="29" w16cid:durableId="1027222763">
    <w:abstractNumId w:val="21"/>
    <w:lvlOverride w:ilvl="0">
      <w:startOverride w:val="1"/>
    </w:lvlOverride>
  </w:num>
  <w:num w:numId="30" w16cid:durableId="320159074">
    <w:abstractNumId w:val="21"/>
    <w:lvlOverride w:ilvl="0">
      <w:startOverride w:val="1"/>
    </w:lvlOverride>
  </w:num>
  <w:num w:numId="31" w16cid:durableId="1185366850">
    <w:abstractNumId w:val="21"/>
    <w:lvlOverride w:ilvl="0">
      <w:startOverride w:val="1"/>
    </w:lvlOverride>
  </w:num>
  <w:num w:numId="32" w16cid:durableId="1723904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9"/>
    <w:rsid w:val="00010202"/>
    <w:rsid w:val="00012D43"/>
    <w:rsid w:val="0001346C"/>
    <w:rsid w:val="00014690"/>
    <w:rsid w:val="00014888"/>
    <w:rsid w:val="00016C8B"/>
    <w:rsid w:val="00024C5C"/>
    <w:rsid w:val="00026343"/>
    <w:rsid w:val="00031611"/>
    <w:rsid w:val="00031D59"/>
    <w:rsid w:val="00032935"/>
    <w:rsid w:val="000412B4"/>
    <w:rsid w:val="0004150A"/>
    <w:rsid w:val="0004618D"/>
    <w:rsid w:val="00060329"/>
    <w:rsid w:val="00066E17"/>
    <w:rsid w:val="00067A0E"/>
    <w:rsid w:val="000702F4"/>
    <w:rsid w:val="00080261"/>
    <w:rsid w:val="00083202"/>
    <w:rsid w:val="0008521B"/>
    <w:rsid w:val="00087025"/>
    <w:rsid w:val="000A3667"/>
    <w:rsid w:val="000A6B20"/>
    <w:rsid w:val="000B6935"/>
    <w:rsid w:val="000C2555"/>
    <w:rsid w:val="000C3D2F"/>
    <w:rsid w:val="000D4A36"/>
    <w:rsid w:val="000E1497"/>
    <w:rsid w:val="000E16E8"/>
    <w:rsid w:val="000E2EF1"/>
    <w:rsid w:val="000E4310"/>
    <w:rsid w:val="000F6C15"/>
    <w:rsid w:val="00113DF6"/>
    <w:rsid w:val="00136E5B"/>
    <w:rsid w:val="00145E91"/>
    <w:rsid w:val="00161050"/>
    <w:rsid w:val="00167ABA"/>
    <w:rsid w:val="00167F7B"/>
    <w:rsid w:val="001748FB"/>
    <w:rsid w:val="00177B46"/>
    <w:rsid w:val="00183DD8"/>
    <w:rsid w:val="0018671C"/>
    <w:rsid w:val="00197C71"/>
    <w:rsid w:val="001A1000"/>
    <w:rsid w:val="001A3C2A"/>
    <w:rsid w:val="001A5452"/>
    <w:rsid w:val="001A64AF"/>
    <w:rsid w:val="001C244D"/>
    <w:rsid w:val="001C4AB7"/>
    <w:rsid w:val="001C4D7C"/>
    <w:rsid w:val="001D3D44"/>
    <w:rsid w:val="001E39C1"/>
    <w:rsid w:val="001F3939"/>
    <w:rsid w:val="002067A2"/>
    <w:rsid w:val="002174E3"/>
    <w:rsid w:val="00221261"/>
    <w:rsid w:val="00221866"/>
    <w:rsid w:val="002238B4"/>
    <w:rsid w:val="00230F41"/>
    <w:rsid w:val="00233F88"/>
    <w:rsid w:val="00245848"/>
    <w:rsid w:val="00247D96"/>
    <w:rsid w:val="00247DDE"/>
    <w:rsid w:val="002561E1"/>
    <w:rsid w:val="0027072B"/>
    <w:rsid w:val="00283AF7"/>
    <w:rsid w:val="00285045"/>
    <w:rsid w:val="00285512"/>
    <w:rsid w:val="002900FE"/>
    <w:rsid w:val="00296495"/>
    <w:rsid w:val="002A01C1"/>
    <w:rsid w:val="002A0742"/>
    <w:rsid w:val="002A41C4"/>
    <w:rsid w:val="002A5076"/>
    <w:rsid w:val="002A7703"/>
    <w:rsid w:val="002C0986"/>
    <w:rsid w:val="002D097C"/>
    <w:rsid w:val="002D108F"/>
    <w:rsid w:val="002D1D80"/>
    <w:rsid w:val="002D66C8"/>
    <w:rsid w:val="002F491D"/>
    <w:rsid w:val="002F6BE8"/>
    <w:rsid w:val="003027B6"/>
    <w:rsid w:val="00305C0A"/>
    <w:rsid w:val="00332468"/>
    <w:rsid w:val="0035281A"/>
    <w:rsid w:val="003574E7"/>
    <w:rsid w:val="00362856"/>
    <w:rsid w:val="00367C6B"/>
    <w:rsid w:val="00380FD6"/>
    <w:rsid w:val="003836DC"/>
    <w:rsid w:val="003858F4"/>
    <w:rsid w:val="00385B3B"/>
    <w:rsid w:val="00387153"/>
    <w:rsid w:val="00395E0C"/>
    <w:rsid w:val="003B0B68"/>
    <w:rsid w:val="003B5554"/>
    <w:rsid w:val="003B591B"/>
    <w:rsid w:val="003B7149"/>
    <w:rsid w:val="003C283D"/>
    <w:rsid w:val="003D0D7C"/>
    <w:rsid w:val="003E7C8F"/>
    <w:rsid w:val="003F2B62"/>
    <w:rsid w:val="003F7649"/>
    <w:rsid w:val="0040066B"/>
    <w:rsid w:val="00402FD7"/>
    <w:rsid w:val="0041457A"/>
    <w:rsid w:val="0042556F"/>
    <w:rsid w:val="00447F9D"/>
    <w:rsid w:val="0045357D"/>
    <w:rsid w:val="004544B0"/>
    <w:rsid w:val="00454919"/>
    <w:rsid w:val="004743CB"/>
    <w:rsid w:val="00477BDA"/>
    <w:rsid w:val="00482B6F"/>
    <w:rsid w:val="00483B2B"/>
    <w:rsid w:val="0048551C"/>
    <w:rsid w:val="00491F67"/>
    <w:rsid w:val="004A5597"/>
    <w:rsid w:val="004C0410"/>
    <w:rsid w:val="004C2D2B"/>
    <w:rsid w:val="004C2DFC"/>
    <w:rsid w:val="004C3FFD"/>
    <w:rsid w:val="004C502B"/>
    <w:rsid w:val="004D5194"/>
    <w:rsid w:val="004D5408"/>
    <w:rsid w:val="004E20C7"/>
    <w:rsid w:val="004E2576"/>
    <w:rsid w:val="004F2A0B"/>
    <w:rsid w:val="004F2DB8"/>
    <w:rsid w:val="004F56DA"/>
    <w:rsid w:val="00510960"/>
    <w:rsid w:val="00523ED0"/>
    <w:rsid w:val="005309CD"/>
    <w:rsid w:val="005335D2"/>
    <w:rsid w:val="00537168"/>
    <w:rsid w:val="00541359"/>
    <w:rsid w:val="00541C48"/>
    <w:rsid w:val="00543228"/>
    <w:rsid w:val="005601C8"/>
    <w:rsid w:val="00561382"/>
    <w:rsid w:val="005645FC"/>
    <w:rsid w:val="005655E8"/>
    <w:rsid w:val="00566167"/>
    <w:rsid w:val="00567019"/>
    <w:rsid w:val="0057125F"/>
    <w:rsid w:val="0057476D"/>
    <w:rsid w:val="00577211"/>
    <w:rsid w:val="005776A0"/>
    <w:rsid w:val="00592E8C"/>
    <w:rsid w:val="00592FA2"/>
    <w:rsid w:val="005942F0"/>
    <w:rsid w:val="005A2283"/>
    <w:rsid w:val="005B4A0E"/>
    <w:rsid w:val="005C3CE8"/>
    <w:rsid w:val="005D1149"/>
    <w:rsid w:val="005D288A"/>
    <w:rsid w:val="005E0763"/>
    <w:rsid w:val="005E4245"/>
    <w:rsid w:val="005E5DA0"/>
    <w:rsid w:val="005F57C7"/>
    <w:rsid w:val="00600B91"/>
    <w:rsid w:val="0060443E"/>
    <w:rsid w:val="00606E5E"/>
    <w:rsid w:val="006156A0"/>
    <w:rsid w:val="00622288"/>
    <w:rsid w:val="00635783"/>
    <w:rsid w:val="006475DC"/>
    <w:rsid w:val="006510BA"/>
    <w:rsid w:val="006545B0"/>
    <w:rsid w:val="00655587"/>
    <w:rsid w:val="00662559"/>
    <w:rsid w:val="00675883"/>
    <w:rsid w:val="00687404"/>
    <w:rsid w:val="006903F0"/>
    <w:rsid w:val="006915CB"/>
    <w:rsid w:val="00692491"/>
    <w:rsid w:val="00693C54"/>
    <w:rsid w:val="00695DB4"/>
    <w:rsid w:val="006C0EE6"/>
    <w:rsid w:val="006C5837"/>
    <w:rsid w:val="006C6274"/>
    <w:rsid w:val="006D701F"/>
    <w:rsid w:val="006D7890"/>
    <w:rsid w:val="006E7FE0"/>
    <w:rsid w:val="00702CAA"/>
    <w:rsid w:val="007066FC"/>
    <w:rsid w:val="00720066"/>
    <w:rsid w:val="007270D7"/>
    <w:rsid w:val="0072789C"/>
    <w:rsid w:val="00733631"/>
    <w:rsid w:val="00735334"/>
    <w:rsid w:val="00743951"/>
    <w:rsid w:val="0075310A"/>
    <w:rsid w:val="0076662E"/>
    <w:rsid w:val="007724FF"/>
    <w:rsid w:val="0079559F"/>
    <w:rsid w:val="00795E4D"/>
    <w:rsid w:val="00797261"/>
    <w:rsid w:val="00797D2F"/>
    <w:rsid w:val="007A0CB9"/>
    <w:rsid w:val="007A2D36"/>
    <w:rsid w:val="007A3EF8"/>
    <w:rsid w:val="007A777A"/>
    <w:rsid w:val="007C089B"/>
    <w:rsid w:val="007C1A47"/>
    <w:rsid w:val="007C5D8A"/>
    <w:rsid w:val="007C667B"/>
    <w:rsid w:val="007C6D55"/>
    <w:rsid w:val="007C7490"/>
    <w:rsid w:val="007D1E1B"/>
    <w:rsid w:val="007D70AD"/>
    <w:rsid w:val="007F3667"/>
    <w:rsid w:val="007F6289"/>
    <w:rsid w:val="00807D00"/>
    <w:rsid w:val="00812790"/>
    <w:rsid w:val="0083218C"/>
    <w:rsid w:val="00833FF4"/>
    <w:rsid w:val="0084379B"/>
    <w:rsid w:val="00855020"/>
    <w:rsid w:val="0085569D"/>
    <w:rsid w:val="0085645B"/>
    <w:rsid w:val="008602E4"/>
    <w:rsid w:val="008605CD"/>
    <w:rsid w:val="00875054"/>
    <w:rsid w:val="0088454E"/>
    <w:rsid w:val="008867DE"/>
    <w:rsid w:val="008A26C3"/>
    <w:rsid w:val="008B4AE4"/>
    <w:rsid w:val="008C0EFC"/>
    <w:rsid w:val="008C4844"/>
    <w:rsid w:val="008D0D04"/>
    <w:rsid w:val="008D4673"/>
    <w:rsid w:val="008E0844"/>
    <w:rsid w:val="009000D9"/>
    <w:rsid w:val="00913400"/>
    <w:rsid w:val="00923707"/>
    <w:rsid w:val="0092676C"/>
    <w:rsid w:val="00926ED8"/>
    <w:rsid w:val="00931931"/>
    <w:rsid w:val="00933C8B"/>
    <w:rsid w:val="00945B79"/>
    <w:rsid w:val="00945CE8"/>
    <w:rsid w:val="00951465"/>
    <w:rsid w:val="009578E2"/>
    <w:rsid w:val="00961077"/>
    <w:rsid w:val="00962D87"/>
    <w:rsid w:val="00962F6D"/>
    <w:rsid w:val="00967B78"/>
    <w:rsid w:val="00973520"/>
    <w:rsid w:val="00996413"/>
    <w:rsid w:val="00997C12"/>
    <w:rsid w:val="009A0C6B"/>
    <w:rsid w:val="009A4888"/>
    <w:rsid w:val="009A6DA4"/>
    <w:rsid w:val="009A775F"/>
    <w:rsid w:val="009B3384"/>
    <w:rsid w:val="009C5A90"/>
    <w:rsid w:val="009D0D28"/>
    <w:rsid w:val="009F2F9E"/>
    <w:rsid w:val="009F5FD9"/>
    <w:rsid w:val="00A00848"/>
    <w:rsid w:val="00A01D20"/>
    <w:rsid w:val="00A10560"/>
    <w:rsid w:val="00A1695F"/>
    <w:rsid w:val="00A24A05"/>
    <w:rsid w:val="00A33D13"/>
    <w:rsid w:val="00A435E8"/>
    <w:rsid w:val="00A43B2A"/>
    <w:rsid w:val="00A5247B"/>
    <w:rsid w:val="00A63899"/>
    <w:rsid w:val="00A76851"/>
    <w:rsid w:val="00A8136D"/>
    <w:rsid w:val="00AA0154"/>
    <w:rsid w:val="00AA7CB6"/>
    <w:rsid w:val="00AC0CC6"/>
    <w:rsid w:val="00AC3581"/>
    <w:rsid w:val="00AD7229"/>
    <w:rsid w:val="00AE5833"/>
    <w:rsid w:val="00AF0002"/>
    <w:rsid w:val="00B022C5"/>
    <w:rsid w:val="00B10E16"/>
    <w:rsid w:val="00B131AA"/>
    <w:rsid w:val="00B24B38"/>
    <w:rsid w:val="00B24ED7"/>
    <w:rsid w:val="00B40BC7"/>
    <w:rsid w:val="00B43B58"/>
    <w:rsid w:val="00B526A4"/>
    <w:rsid w:val="00B5307F"/>
    <w:rsid w:val="00B57B11"/>
    <w:rsid w:val="00B64A39"/>
    <w:rsid w:val="00B67613"/>
    <w:rsid w:val="00B764EA"/>
    <w:rsid w:val="00B9036F"/>
    <w:rsid w:val="00B9423B"/>
    <w:rsid w:val="00B94DA5"/>
    <w:rsid w:val="00B9519D"/>
    <w:rsid w:val="00BA0F5F"/>
    <w:rsid w:val="00BA4AE1"/>
    <w:rsid w:val="00BA5A67"/>
    <w:rsid w:val="00BB73C3"/>
    <w:rsid w:val="00BB7F91"/>
    <w:rsid w:val="00BC38A3"/>
    <w:rsid w:val="00BC468E"/>
    <w:rsid w:val="00BD0F3B"/>
    <w:rsid w:val="00BD6488"/>
    <w:rsid w:val="00BE37FB"/>
    <w:rsid w:val="00C049EA"/>
    <w:rsid w:val="00C11B67"/>
    <w:rsid w:val="00C15C84"/>
    <w:rsid w:val="00C41C23"/>
    <w:rsid w:val="00C41C4E"/>
    <w:rsid w:val="00C434FE"/>
    <w:rsid w:val="00C5529C"/>
    <w:rsid w:val="00C620B7"/>
    <w:rsid w:val="00C62BD7"/>
    <w:rsid w:val="00C71154"/>
    <w:rsid w:val="00C75210"/>
    <w:rsid w:val="00C86650"/>
    <w:rsid w:val="00C972A1"/>
    <w:rsid w:val="00CC01C7"/>
    <w:rsid w:val="00CC0F5C"/>
    <w:rsid w:val="00CC2B62"/>
    <w:rsid w:val="00CC4C7B"/>
    <w:rsid w:val="00CD287D"/>
    <w:rsid w:val="00CE523F"/>
    <w:rsid w:val="00CF6F03"/>
    <w:rsid w:val="00CF779B"/>
    <w:rsid w:val="00D01B82"/>
    <w:rsid w:val="00D03985"/>
    <w:rsid w:val="00D04E98"/>
    <w:rsid w:val="00D06947"/>
    <w:rsid w:val="00D10A03"/>
    <w:rsid w:val="00D148BC"/>
    <w:rsid w:val="00D22661"/>
    <w:rsid w:val="00D27244"/>
    <w:rsid w:val="00D419D0"/>
    <w:rsid w:val="00D41A7F"/>
    <w:rsid w:val="00D44F0B"/>
    <w:rsid w:val="00D46F3D"/>
    <w:rsid w:val="00D46F8F"/>
    <w:rsid w:val="00D551D6"/>
    <w:rsid w:val="00D55CCF"/>
    <w:rsid w:val="00D615F0"/>
    <w:rsid w:val="00D61CB9"/>
    <w:rsid w:val="00D63711"/>
    <w:rsid w:val="00D64AD1"/>
    <w:rsid w:val="00D67211"/>
    <w:rsid w:val="00D73924"/>
    <w:rsid w:val="00D805C1"/>
    <w:rsid w:val="00D908F1"/>
    <w:rsid w:val="00D96270"/>
    <w:rsid w:val="00DA19BE"/>
    <w:rsid w:val="00DA52DE"/>
    <w:rsid w:val="00DB3AE1"/>
    <w:rsid w:val="00DC5A2C"/>
    <w:rsid w:val="00DC7E4A"/>
    <w:rsid w:val="00DD42BE"/>
    <w:rsid w:val="00DD61B4"/>
    <w:rsid w:val="00DE1E2F"/>
    <w:rsid w:val="00DE7D4C"/>
    <w:rsid w:val="00DF0E69"/>
    <w:rsid w:val="00DF1E3A"/>
    <w:rsid w:val="00DF52FE"/>
    <w:rsid w:val="00DF5590"/>
    <w:rsid w:val="00DF76BA"/>
    <w:rsid w:val="00E03E72"/>
    <w:rsid w:val="00E20DAD"/>
    <w:rsid w:val="00E21222"/>
    <w:rsid w:val="00E26121"/>
    <w:rsid w:val="00E27F09"/>
    <w:rsid w:val="00E31A62"/>
    <w:rsid w:val="00E54E13"/>
    <w:rsid w:val="00E93C69"/>
    <w:rsid w:val="00EA3109"/>
    <w:rsid w:val="00EC0989"/>
    <w:rsid w:val="00EC670C"/>
    <w:rsid w:val="00EC6BE6"/>
    <w:rsid w:val="00ED516C"/>
    <w:rsid w:val="00ED5D1C"/>
    <w:rsid w:val="00EE048C"/>
    <w:rsid w:val="00EE09DD"/>
    <w:rsid w:val="00EF76CE"/>
    <w:rsid w:val="00F057AA"/>
    <w:rsid w:val="00F17E42"/>
    <w:rsid w:val="00F21539"/>
    <w:rsid w:val="00F25EA3"/>
    <w:rsid w:val="00F36E61"/>
    <w:rsid w:val="00F44BF3"/>
    <w:rsid w:val="00F44C6F"/>
    <w:rsid w:val="00F47109"/>
    <w:rsid w:val="00F50B74"/>
    <w:rsid w:val="00F5173B"/>
    <w:rsid w:val="00F55D48"/>
    <w:rsid w:val="00F573E3"/>
    <w:rsid w:val="00F733A2"/>
    <w:rsid w:val="00F742CA"/>
    <w:rsid w:val="00F95250"/>
    <w:rsid w:val="00F96245"/>
    <w:rsid w:val="00FA245E"/>
    <w:rsid w:val="00FA4279"/>
    <w:rsid w:val="00FB6260"/>
    <w:rsid w:val="00FB7EC2"/>
    <w:rsid w:val="00FC45DB"/>
    <w:rsid w:val="00FD2736"/>
    <w:rsid w:val="00FD7E8B"/>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A8148"/>
  <w15:docId w15:val="{60DFA76A-2CD6-4904-9A2E-E7D2E542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E16"/>
    <w:rPr>
      <w:rFonts w:ascii="Georgia" w:hAnsi="Georgia" w:cs="Tms Rmn"/>
      <w:sz w:val="22"/>
    </w:rPr>
  </w:style>
  <w:style w:type="paragraph" w:styleId="Heading1">
    <w:name w:val="heading 1"/>
    <w:basedOn w:val="Normal"/>
    <w:next w:val="Normal"/>
    <w:link w:val="Heading1Char"/>
    <w:autoRedefine/>
    <w:qFormat/>
    <w:rsid w:val="00F5173B"/>
    <w:pPr>
      <w:keepNext/>
      <w:keepLines/>
      <w:spacing w:before="240" w:after="120"/>
      <w:outlineLvl w:val="0"/>
    </w:pPr>
    <w:rPr>
      <w:rFonts w:ascii="Lucida Bright" w:eastAsiaTheme="majorEastAsia" w:hAnsi="Lucida Bright" w:cstheme="majorBidi"/>
      <w:b/>
      <w:bCs/>
      <w:color w:val="000000" w:themeColor="text1"/>
      <w:sz w:val="24"/>
      <w:szCs w:val="28"/>
    </w:rPr>
  </w:style>
  <w:style w:type="paragraph" w:styleId="Heading3">
    <w:name w:val="heading 3"/>
    <w:basedOn w:val="Normal"/>
    <w:next w:val="BodyText"/>
    <w:link w:val="Heading3Char"/>
    <w:uiPriority w:val="9"/>
    <w:qFormat/>
    <w:rsid w:val="0072789C"/>
    <w:pPr>
      <w:keepNext/>
      <w:numPr>
        <w:numId w:val="4"/>
      </w:numPr>
      <w:spacing w:after="60"/>
      <w:outlineLvl w:val="2"/>
    </w:pPr>
    <w:rPr>
      <w:rFonts w:cs="Times New Roman"/>
      <w:b/>
      <w:bCs/>
      <w:szCs w:val="26"/>
      <w:lang w:eastAsia="ko-KR"/>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character" w:styleId="Strong">
    <w:name w:val="Strong"/>
    <w:qFormat/>
    <w:rsid w:val="00B24ED7"/>
    <w:rPr>
      <w:b/>
      <w:bCs/>
    </w:rPr>
  </w:style>
  <w:style w:type="character" w:styleId="PageNumber">
    <w:name w:val="page number"/>
    <w:basedOn w:val="DefaultParagraphFont"/>
    <w:rsid w:val="00B9519D"/>
  </w:style>
  <w:style w:type="character" w:customStyle="1" w:styleId="Heading3Char">
    <w:name w:val="Heading 3 Char"/>
    <w:link w:val="Heading3"/>
    <w:uiPriority w:val="9"/>
    <w:rsid w:val="0072789C"/>
    <w:rPr>
      <w:rFonts w:ascii="Georgia" w:hAnsi="Georgia"/>
      <w:b/>
      <w:bCs/>
      <w:sz w:val="22"/>
      <w:szCs w:val="26"/>
      <w:lang w:eastAsia="ko-KR"/>
    </w:rPr>
  </w:style>
  <w:style w:type="paragraph" w:customStyle="1" w:styleId="BodyText6">
    <w:name w:val="Body Text6"/>
    <w:basedOn w:val="Normal"/>
    <w:qFormat/>
    <w:rsid w:val="0072789C"/>
    <w:pPr>
      <w:tabs>
        <w:tab w:val="num" w:pos="360"/>
      </w:tabs>
      <w:ind w:left="720" w:hanging="720"/>
    </w:pPr>
    <w:rPr>
      <w:rFonts w:eastAsia="Batang" w:cs="Times New Roman"/>
      <w:szCs w:val="24"/>
      <w:lang w:eastAsia="ko-KR"/>
    </w:rPr>
  </w:style>
  <w:style w:type="paragraph" w:customStyle="1" w:styleId="Bodytext7">
    <w:name w:val="Body text7"/>
    <w:basedOn w:val="BodyText6"/>
    <w:qFormat/>
    <w:rsid w:val="0072789C"/>
    <w:pPr>
      <w:numPr>
        <w:ilvl w:val="2"/>
        <w:numId w:val="4"/>
      </w:numPr>
      <w:jc w:val="both"/>
    </w:pPr>
    <w:rPr>
      <w:szCs w:val="22"/>
    </w:rPr>
  </w:style>
  <w:style w:type="paragraph" w:styleId="BodyText">
    <w:name w:val="Body Text"/>
    <w:basedOn w:val="Normal"/>
    <w:link w:val="BodyTextChar"/>
    <w:rsid w:val="0072789C"/>
    <w:pPr>
      <w:numPr>
        <w:ilvl w:val="1"/>
        <w:numId w:val="4"/>
      </w:numPr>
      <w:spacing w:after="120"/>
    </w:pPr>
  </w:style>
  <w:style w:type="character" w:customStyle="1" w:styleId="BodyTextChar">
    <w:name w:val="Body Text Char"/>
    <w:link w:val="BodyText"/>
    <w:rsid w:val="0072789C"/>
    <w:rPr>
      <w:rFonts w:ascii="Georgia" w:hAnsi="Georgia" w:cs="Tms Rmn"/>
      <w:sz w:val="22"/>
    </w:rPr>
  </w:style>
  <w:style w:type="paragraph" w:customStyle="1" w:styleId="SpecialNote">
    <w:name w:val="Special Note"/>
    <w:basedOn w:val="Normal"/>
    <w:link w:val="SpecialNoteChar"/>
    <w:qFormat/>
    <w:rsid w:val="00577211"/>
    <w:pPr>
      <w:widowControl w:val="0"/>
      <w:ind w:left="720" w:hanging="720"/>
    </w:pPr>
    <w:rPr>
      <w:rFonts w:cs="Times New Roman"/>
      <w:i/>
      <w:sz w:val="24"/>
      <w:szCs w:val="24"/>
    </w:rPr>
  </w:style>
  <w:style w:type="character" w:customStyle="1" w:styleId="SpecialNoteChar">
    <w:name w:val="Special Note Char"/>
    <w:link w:val="SpecialNote"/>
    <w:rsid w:val="00577211"/>
    <w:rPr>
      <w:rFonts w:ascii="Georgia" w:hAnsi="Georgia"/>
      <w:i/>
      <w:sz w:val="24"/>
      <w:szCs w:val="24"/>
    </w:rPr>
  </w:style>
  <w:style w:type="character" w:styleId="CommentReference">
    <w:name w:val="annotation reference"/>
    <w:rsid w:val="00635783"/>
    <w:rPr>
      <w:sz w:val="16"/>
      <w:szCs w:val="16"/>
    </w:rPr>
  </w:style>
  <w:style w:type="paragraph" w:styleId="CommentText">
    <w:name w:val="annotation text"/>
    <w:basedOn w:val="Normal"/>
    <w:link w:val="CommentTextChar"/>
    <w:rsid w:val="00635783"/>
    <w:rPr>
      <w:rFonts w:ascii="Tms Rmn" w:hAnsi="Tms Rmn"/>
      <w:sz w:val="20"/>
    </w:rPr>
  </w:style>
  <w:style w:type="character" w:customStyle="1" w:styleId="CommentTextChar">
    <w:name w:val="Comment Text Char"/>
    <w:link w:val="CommentText"/>
    <w:rsid w:val="00635783"/>
    <w:rPr>
      <w:rFonts w:cs="Tms Rmn"/>
    </w:rPr>
  </w:style>
  <w:style w:type="paragraph" w:styleId="CommentSubject">
    <w:name w:val="annotation subject"/>
    <w:basedOn w:val="CommentText"/>
    <w:next w:val="CommentText"/>
    <w:link w:val="CommentSubjectChar"/>
    <w:rsid w:val="00635783"/>
    <w:rPr>
      <w:b/>
      <w:bCs/>
    </w:rPr>
  </w:style>
  <w:style w:type="character" w:customStyle="1" w:styleId="CommentSubjectChar">
    <w:name w:val="Comment Subject Char"/>
    <w:link w:val="CommentSubject"/>
    <w:rsid w:val="00635783"/>
    <w:rPr>
      <w:rFonts w:cs="Tms Rmn"/>
      <w:b/>
      <w:bCs/>
    </w:rPr>
  </w:style>
  <w:style w:type="paragraph" w:styleId="BalloonText">
    <w:name w:val="Balloon Text"/>
    <w:basedOn w:val="Normal"/>
    <w:link w:val="BalloonTextChar"/>
    <w:rsid w:val="00635783"/>
    <w:rPr>
      <w:rFonts w:ascii="Tahoma" w:hAnsi="Tahoma" w:cs="Tahoma"/>
      <w:sz w:val="16"/>
      <w:szCs w:val="16"/>
    </w:rPr>
  </w:style>
  <w:style w:type="character" w:customStyle="1" w:styleId="BalloonTextChar">
    <w:name w:val="Balloon Text Char"/>
    <w:link w:val="BalloonText"/>
    <w:rsid w:val="00635783"/>
    <w:rPr>
      <w:rFonts w:ascii="Tahoma" w:hAnsi="Tahoma" w:cs="Tahoma"/>
      <w:sz w:val="16"/>
      <w:szCs w:val="16"/>
    </w:rPr>
  </w:style>
  <w:style w:type="paragraph" w:styleId="Title">
    <w:name w:val="Title"/>
    <w:basedOn w:val="Normal"/>
    <w:next w:val="Normal"/>
    <w:link w:val="TitleChar"/>
    <w:qFormat/>
    <w:rsid w:val="00A00848"/>
    <w:pPr>
      <w:pBdr>
        <w:bottom w:val="single" w:sz="8" w:space="4" w:color="4F81BD" w:themeColor="accent1"/>
      </w:pBdr>
      <w:spacing w:after="300"/>
      <w:contextualSpacing/>
      <w:jc w:val="center"/>
    </w:pPr>
    <w:rPr>
      <w:rFonts w:eastAsiaTheme="majorEastAsia" w:cstheme="majorBidi"/>
      <w:b/>
      <w:color w:val="000000" w:themeColor="text1"/>
      <w:spacing w:val="5"/>
      <w:kern w:val="28"/>
      <w:sz w:val="24"/>
      <w:szCs w:val="52"/>
    </w:rPr>
  </w:style>
  <w:style w:type="character" w:customStyle="1" w:styleId="TitleChar">
    <w:name w:val="Title Char"/>
    <w:basedOn w:val="DefaultParagraphFont"/>
    <w:link w:val="Title"/>
    <w:rsid w:val="00A00848"/>
    <w:rPr>
      <w:rFonts w:ascii="Georgia" w:eastAsiaTheme="majorEastAsia" w:hAnsi="Georgia" w:cstheme="majorBidi"/>
      <w:b/>
      <w:color w:val="000000" w:themeColor="text1"/>
      <w:spacing w:val="5"/>
      <w:kern w:val="28"/>
      <w:sz w:val="24"/>
      <w:szCs w:val="52"/>
    </w:rPr>
  </w:style>
  <w:style w:type="paragraph" w:styleId="Subtitle">
    <w:name w:val="Subtitle"/>
    <w:basedOn w:val="Normal"/>
    <w:next w:val="Normal"/>
    <w:link w:val="SubtitleChar"/>
    <w:qFormat/>
    <w:rsid w:val="00A00848"/>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rsid w:val="00A00848"/>
    <w:rPr>
      <w:rFonts w:ascii="Georgia" w:eastAsiaTheme="majorEastAsia" w:hAnsi="Georgia" w:cstheme="majorBidi"/>
      <w:iCs/>
      <w:color w:val="000000" w:themeColor="text1"/>
      <w:spacing w:val="15"/>
      <w:sz w:val="22"/>
      <w:szCs w:val="24"/>
    </w:rPr>
  </w:style>
  <w:style w:type="character" w:customStyle="1" w:styleId="Heading1Char">
    <w:name w:val="Heading 1 Char"/>
    <w:basedOn w:val="DefaultParagraphFont"/>
    <w:link w:val="Heading1"/>
    <w:rsid w:val="00F5173B"/>
    <w:rPr>
      <w:rFonts w:ascii="Lucida Bright" w:eastAsiaTheme="majorEastAsia" w:hAnsi="Lucida Bright" w:cstheme="majorBidi"/>
      <w:b/>
      <w:bCs/>
      <w:color w:val="000000" w:themeColor="text1"/>
      <w:sz w:val="24"/>
      <w:szCs w:val="28"/>
    </w:rPr>
  </w:style>
  <w:style w:type="paragraph" w:styleId="ListParagraph">
    <w:name w:val="List Paragraph"/>
    <w:basedOn w:val="Normal"/>
    <w:uiPriority w:val="34"/>
    <w:qFormat/>
    <w:rsid w:val="00010202"/>
    <w:pPr>
      <w:numPr>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pPr>
    <w:rPr>
      <w:rFonts w:ascii="Lucida Bright" w:hAnsi="Lucida Bright" w:cs="Times New Roman"/>
      <w:szCs w:val="22"/>
    </w:rPr>
  </w:style>
  <w:style w:type="character" w:customStyle="1" w:styleId="HeaderChar">
    <w:name w:val="Header Char"/>
    <w:basedOn w:val="DefaultParagraphFont"/>
    <w:link w:val="Header"/>
    <w:uiPriority w:val="99"/>
    <w:rsid w:val="00ED5D1C"/>
    <w:rPr>
      <w:rFonts w:ascii="Georgia" w:hAnsi="Georgia" w:cs="Tms Rmn"/>
      <w:sz w:val="22"/>
    </w:rPr>
  </w:style>
  <w:style w:type="paragraph" w:customStyle="1" w:styleId="Default">
    <w:name w:val="Default"/>
    <w:rsid w:val="00B57B11"/>
    <w:pPr>
      <w:widowControl w:val="0"/>
      <w:autoSpaceDE w:val="0"/>
      <w:autoSpaceDN w:val="0"/>
      <w:adjustRightInd w:val="0"/>
    </w:pPr>
    <w:rPr>
      <w:rFonts w:ascii="JJKOHJ+TimesNewRoman,Bold" w:hAnsi="JJKOHJ+TimesNewRoman,Bold" w:cs="JJKOHJ+TimesNewRoman,Bold"/>
      <w:color w:val="000000"/>
      <w:sz w:val="24"/>
      <w:szCs w:val="24"/>
    </w:rPr>
  </w:style>
  <w:style w:type="paragraph" w:customStyle="1" w:styleId="BodyText1">
    <w:name w:val="Body Text1"/>
    <w:basedOn w:val="Normal"/>
    <w:link w:val="BodyText1Char"/>
    <w:qFormat/>
    <w:rsid w:val="00B57B11"/>
    <w:rPr>
      <w:rFonts w:cs="Times New Roman"/>
      <w:szCs w:val="22"/>
      <w:lang w:eastAsia="ko-KR"/>
    </w:rPr>
  </w:style>
  <w:style w:type="paragraph" w:customStyle="1" w:styleId="BodyText3">
    <w:name w:val="Body Text3"/>
    <w:basedOn w:val="Normal"/>
    <w:qFormat/>
    <w:rsid w:val="00B57B11"/>
    <w:pPr>
      <w:ind w:left="720"/>
    </w:pPr>
    <w:rPr>
      <w:rFonts w:cs="Times New Roman"/>
      <w:szCs w:val="22"/>
      <w:lang w:eastAsia="ko-KR"/>
    </w:rPr>
  </w:style>
  <w:style w:type="paragraph" w:customStyle="1" w:styleId="BodyText4">
    <w:name w:val="Body Text4"/>
    <w:basedOn w:val="BodyText3"/>
    <w:qFormat/>
    <w:rsid w:val="00B57B11"/>
    <w:pPr>
      <w:ind w:left="1440" w:hanging="720"/>
    </w:pPr>
  </w:style>
  <w:style w:type="paragraph" w:customStyle="1" w:styleId="BodyText5">
    <w:name w:val="Body Text5"/>
    <w:basedOn w:val="BodyText4"/>
    <w:link w:val="BodyText5Char"/>
    <w:qFormat/>
    <w:rsid w:val="00B57B11"/>
    <w:pPr>
      <w:ind w:firstLine="0"/>
    </w:pPr>
  </w:style>
  <w:style w:type="character" w:customStyle="1" w:styleId="BodyText5Char">
    <w:name w:val="Body Text5 Char"/>
    <w:basedOn w:val="DefaultParagraphFont"/>
    <w:link w:val="BodyText5"/>
    <w:rsid w:val="00B57B11"/>
    <w:rPr>
      <w:rFonts w:ascii="Georgia" w:hAnsi="Georgia"/>
      <w:sz w:val="22"/>
      <w:szCs w:val="22"/>
      <w:lang w:eastAsia="ko-KR"/>
    </w:rPr>
  </w:style>
  <w:style w:type="paragraph" w:customStyle="1" w:styleId="BodyText70">
    <w:name w:val="Body Text7"/>
    <w:basedOn w:val="Normal"/>
    <w:qFormat/>
    <w:rsid w:val="00B57B11"/>
    <w:pPr>
      <w:tabs>
        <w:tab w:val="left" w:pos="720"/>
        <w:tab w:val="left" w:pos="1080"/>
      </w:tabs>
      <w:ind w:left="2160"/>
    </w:pPr>
    <w:rPr>
      <w:rFonts w:cs="Times New Roman"/>
      <w:szCs w:val="22"/>
      <w:lang w:eastAsia="ko-KR"/>
    </w:rPr>
  </w:style>
  <w:style w:type="paragraph" w:customStyle="1" w:styleId="BodyText8">
    <w:name w:val="Body Text8"/>
    <w:basedOn w:val="BodyText70"/>
    <w:qFormat/>
    <w:rsid w:val="00B57B11"/>
    <w:pPr>
      <w:ind w:left="2880" w:hanging="720"/>
    </w:pPr>
  </w:style>
  <w:style w:type="paragraph" w:customStyle="1" w:styleId="4">
    <w:name w:val="_4"/>
    <w:basedOn w:val="Normal"/>
    <w:rsid w:val="00CC2B62"/>
    <w:pPr>
      <w:widowControl w:val="0"/>
      <w:tabs>
        <w:tab w:val="left" w:pos="3600"/>
        <w:tab w:val="left" w:pos="4320"/>
        <w:tab w:val="left" w:pos="5040"/>
        <w:tab w:val="left" w:pos="5760"/>
        <w:tab w:val="left" w:pos="6480"/>
        <w:tab w:val="left" w:pos="7200"/>
        <w:tab w:val="left" w:pos="7920"/>
        <w:tab w:val="left" w:pos="8640"/>
      </w:tabs>
      <w:ind w:left="3600"/>
    </w:pPr>
    <w:rPr>
      <w:rFonts w:cs="Times New Roman"/>
      <w:lang w:eastAsia="ko-KR"/>
    </w:rPr>
  </w:style>
  <w:style w:type="character" w:customStyle="1" w:styleId="BodyText1Char">
    <w:name w:val="Body Text1 Char"/>
    <w:basedOn w:val="DefaultParagraphFont"/>
    <w:link w:val="BodyText1"/>
    <w:rsid w:val="00CC2B62"/>
    <w:rPr>
      <w:rFonts w:ascii="Georgia" w:hAnsi="Georgia"/>
      <w:sz w:val="22"/>
      <w:szCs w:val="22"/>
      <w:lang w:eastAsia="ko-KR"/>
    </w:rPr>
  </w:style>
  <w:style w:type="paragraph" w:styleId="ListNumber">
    <w:name w:val="List Number"/>
    <w:basedOn w:val="ListParagraph"/>
    <w:rsid w:val="00010202"/>
  </w:style>
  <w:style w:type="paragraph" w:styleId="ListNumber2">
    <w:name w:val="List Number 2"/>
    <w:basedOn w:val="ListParagraph"/>
    <w:unhideWhenUsed/>
    <w:rsid w:val="00010202"/>
    <w:pPr>
      <w:numPr>
        <w:ilvl w:val="1"/>
      </w:numPr>
      <w:ind w:hanging="720"/>
    </w:pPr>
  </w:style>
  <w:style w:type="paragraph" w:styleId="Revision">
    <w:name w:val="Revision"/>
    <w:hidden/>
    <w:uiPriority w:val="99"/>
    <w:semiHidden/>
    <w:rsid w:val="00BE37FB"/>
    <w:rPr>
      <w:rFonts w:ascii="Georgia" w:hAnsi="Georgia" w:cs="Tms Rmn"/>
      <w:sz w:val="22"/>
    </w:rPr>
  </w:style>
  <w:style w:type="character" w:styleId="Hyperlink">
    <w:name w:val="Hyperlink"/>
    <w:basedOn w:val="DefaultParagraphFont"/>
    <w:unhideWhenUsed/>
    <w:rsid w:val="002C0986"/>
    <w:rPr>
      <w:color w:val="0000FF" w:themeColor="hyperlink"/>
      <w:u w:val="single"/>
    </w:rPr>
  </w:style>
  <w:style w:type="character" w:styleId="UnresolvedMention">
    <w:name w:val="Unresolved Mention"/>
    <w:basedOn w:val="DefaultParagraphFont"/>
    <w:uiPriority w:val="99"/>
    <w:semiHidden/>
    <w:unhideWhenUsed/>
    <w:rsid w:val="002C0986"/>
    <w:rPr>
      <w:color w:val="605E5C"/>
      <w:shd w:val="clear" w:color="auto" w:fill="E1DFDD"/>
    </w:rPr>
  </w:style>
  <w:style w:type="paragraph" w:styleId="ListContinue">
    <w:name w:val="List Continue"/>
    <w:basedOn w:val="Normal"/>
    <w:semiHidden/>
    <w:unhideWhenUsed/>
    <w:rsid w:val="00D03985"/>
    <w:pPr>
      <w:spacing w:after="120"/>
      <w:ind w:left="360"/>
      <w:contextualSpacing/>
    </w:pPr>
  </w:style>
  <w:style w:type="character" w:styleId="PlaceholderText">
    <w:name w:val="Placeholder Text"/>
    <w:basedOn w:val="DefaultParagraphFont"/>
    <w:uiPriority w:val="99"/>
    <w:semiHidden/>
    <w:rsid w:val="007C1A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AB92808-E374-44E4-A93C-4D30FC5F15FA}"/>
      </w:docPartPr>
      <w:docPartBody>
        <w:p w:rsidR="00937E31" w:rsidRDefault="00937E31">
          <w:r w:rsidRPr="002D47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JJKOHJ+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31"/>
    <w:rsid w:val="00937E31"/>
    <w:rsid w:val="00E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E3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AE878-35A2-4666-B319-3577109FEC15}">
  <ds:schemaRefs>
    <ds:schemaRef ds:uri="http://schemas.openxmlformats.org/officeDocument/2006/bibliography"/>
  </ds:schemaRefs>
</ds:datastoreItem>
</file>

<file path=customXml/itemProps2.xml><?xml version="1.0" encoding="utf-8"?>
<ds:datastoreItem xmlns:ds="http://schemas.openxmlformats.org/officeDocument/2006/customXml" ds:itemID="{F740D1FD-A06F-44E0-B35C-6B22E5E13F8D}">
  <ds:schemaRef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c7b56bc5-f6a6-4867-8dcc-e9c631d75938"/>
    <ds:schemaRef ds:uri="f3ae5da6-11bb-41ff-9cbc-d5978eedc60e"/>
    <ds:schemaRef ds:uri="http://purl.org/dc/terms/"/>
  </ds:schemaRefs>
</ds:datastoreItem>
</file>

<file path=customXml/itemProps3.xml><?xml version="1.0" encoding="utf-8"?>
<ds:datastoreItem xmlns:ds="http://schemas.openxmlformats.org/officeDocument/2006/customXml" ds:itemID="{6783C914-E25A-4284-AF4C-4A5B16455023}">
  <ds:schemaRefs>
    <ds:schemaRef ds:uri="http://schemas.microsoft.com/sharepoint/v3/contenttype/forms"/>
  </ds:schemaRefs>
</ds:datastoreItem>
</file>

<file path=customXml/itemProps4.xml><?xml version="1.0" encoding="utf-8"?>
<ds:datastoreItem xmlns:ds="http://schemas.openxmlformats.org/officeDocument/2006/customXml" ds:itemID="{08D98684-9A77-4A67-8333-86F8614A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4244</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Fact Sheet for the Conventional Water Treatment Plant General Permit</vt:lpstr>
    </vt:vector>
  </TitlesOfParts>
  <Company>TCEQ</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the Conventional Water Treatment Plant General Permit</dc:title>
  <dc:subject>General Permit No. TXG640000</dc:subject>
  <dc:creator>TCEQ</dc:creator>
  <cp:lastModifiedBy>Shannon Gibson</cp:lastModifiedBy>
  <cp:revision>3</cp:revision>
  <cp:lastPrinted>2025-02-13T14:33:00Z</cp:lastPrinted>
  <dcterms:created xsi:type="dcterms:W3CDTF">2025-10-06T21:21:00Z</dcterms:created>
  <dcterms:modified xsi:type="dcterms:W3CDTF">2025-10-06T21:22:00Z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