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Lucida Bright" w:hAnsi="Lucida Bright"/>
          <w:szCs w:val="28"/>
        </w:rPr>
        <w:id w:val="878910329"/>
        <w:lock w:val="contentLocked"/>
        <w:placeholder>
          <w:docPart w:val="DefaultPlaceholder_-1854013440"/>
        </w:placeholder>
        <w:group/>
      </w:sdtPr>
      <w:sdtEndPr>
        <w:rPr>
          <w:b w:val="0"/>
          <w:bCs w:val="0"/>
          <w:smallCaps w:val="0"/>
          <w:spacing w:val="0"/>
          <w:kern w:val="0"/>
          <w:sz w:val="22"/>
          <w:szCs w:val="22"/>
        </w:rPr>
      </w:sdtEndPr>
      <w:sdtContent>
        <w:p w14:paraId="33186D20" w14:textId="3EB0A837" w:rsidR="001D1495" w:rsidRPr="001008B4" w:rsidRDefault="001D1495" w:rsidP="001D1495">
          <w:pPr>
            <w:pStyle w:val="Title"/>
            <w:jc w:val="center"/>
            <w:rPr>
              <w:rFonts w:ascii="Lucida Bright" w:hAnsi="Lucida Bright"/>
              <w:szCs w:val="28"/>
            </w:rPr>
          </w:pPr>
          <w:r w:rsidRPr="001008B4">
            <w:rPr>
              <w:rFonts w:ascii="Lucida Bright" w:hAnsi="Lucida Bright"/>
              <w:szCs w:val="28"/>
            </w:rPr>
            <w:fldChar w:fldCharType="begin"/>
          </w:r>
          <w:r w:rsidRPr="001008B4">
            <w:rPr>
              <w:rFonts w:ascii="Lucida Bright" w:hAnsi="Lucida Bright"/>
              <w:szCs w:val="28"/>
            </w:rPr>
            <w:instrText xml:space="preserve"> SEQ CHAPTER \h \r 1</w:instrText>
          </w:r>
          <w:r w:rsidRPr="001008B4">
            <w:rPr>
              <w:rFonts w:ascii="Lucida Bright" w:hAnsi="Lucida Bright"/>
              <w:szCs w:val="28"/>
            </w:rPr>
            <w:fldChar w:fldCharType="end"/>
          </w:r>
          <w:r w:rsidRPr="001008B4">
            <w:rPr>
              <w:rFonts w:ascii="Lucida Bright" w:hAnsi="Lucida Bright"/>
              <w:szCs w:val="28"/>
            </w:rPr>
            <w:t>Fact Sheet and Executive Director’s Preliminary Decision General Permit WQG</w:t>
          </w:r>
          <w:r w:rsidR="000C50F0" w:rsidRPr="001008B4">
            <w:rPr>
              <w:rFonts w:ascii="Lucida Bright" w:hAnsi="Lucida Bright"/>
              <w:szCs w:val="28"/>
            </w:rPr>
            <w:t>1</w:t>
          </w:r>
          <w:r w:rsidRPr="001008B4">
            <w:rPr>
              <w:rFonts w:ascii="Lucida Bright" w:hAnsi="Lucida Bright"/>
              <w:szCs w:val="28"/>
            </w:rPr>
            <w:t>00000</w:t>
          </w:r>
        </w:p>
        <w:p w14:paraId="4B1F3F70" w14:textId="2DC027E5" w:rsidR="001D1495" w:rsidRPr="001008B4" w:rsidRDefault="001D1495" w:rsidP="001D1495">
          <w:pPr>
            <w:pStyle w:val="BodyText"/>
            <w:spacing w:after="0"/>
            <w:rPr>
              <w:rFonts w:ascii="Lucida Bright" w:hAnsi="Lucida Bright"/>
              <w:szCs w:val="22"/>
            </w:rPr>
          </w:pPr>
          <w:r w:rsidRPr="001008B4">
            <w:rPr>
              <w:rFonts w:ascii="Lucida Bright" w:hAnsi="Lucida Bright"/>
              <w:szCs w:val="22"/>
            </w:rPr>
            <w:t>Issuing Office:</w:t>
          </w:r>
          <w:r w:rsidRPr="001008B4">
            <w:rPr>
              <w:rFonts w:ascii="Lucida Bright" w:hAnsi="Lucida Bright"/>
              <w:szCs w:val="22"/>
            </w:rPr>
            <w:tab/>
            <w:t>Texas Commission on Environmental Quality</w:t>
          </w:r>
        </w:p>
        <w:p w14:paraId="08D18B3A" w14:textId="77777777" w:rsidR="001D1495" w:rsidRPr="001008B4" w:rsidRDefault="00E81D79" w:rsidP="00E81D79">
          <w:pPr>
            <w:pStyle w:val="BodyText"/>
            <w:tabs>
              <w:tab w:val="left" w:pos="2160"/>
            </w:tabs>
            <w:spacing w:after="0"/>
            <w:rPr>
              <w:rFonts w:ascii="Lucida Bright" w:hAnsi="Lucida Bright"/>
              <w:szCs w:val="22"/>
            </w:rPr>
          </w:pPr>
          <w:r w:rsidRPr="001008B4">
            <w:rPr>
              <w:rFonts w:ascii="Lucida Bright" w:hAnsi="Lucida Bright"/>
              <w:szCs w:val="22"/>
            </w:rPr>
            <w:tab/>
          </w:r>
          <w:r w:rsidR="001D1495" w:rsidRPr="001008B4">
            <w:rPr>
              <w:rFonts w:ascii="Lucida Bright" w:hAnsi="Lucida Bright"/>
              <w:szCs w:val="22"/>
            </w:rPr>
            <w:t>P.O. Box 13087</w:t>
          </w:r>
        </w:p>
        <w:p w14:paraId="69D6D3E2" w14:textId="77777777" w:rsidR="001D1495" w:rsidRPr="001008B4" w:rsidRDefault="00E81D79" w:rsidP="00E81D79">
          <w:pPr>
            <w:pStyle w:val="BodyText"/>
            <w:tabs>
              <w:tab w:val="left" w:pos="2160"/>
            </w:tabs>
            <w:rPr>
              <w:rFonts w:ascii="Lucida Bright" w:hAnsi="Lucida Bright"/>
              <w:szCs w:val="22"/>
            </w:rPr>
          </w:pPr>
          <w:r w:rsidRPr="001008B4">
            <w:rPr>
              <w:rFonts w:ascii="Lucida Bright" w:hAnsi="Lucida Bright"/>
              <w:szCs w:val="22"/>
            </w:rPr>
            <w:tab/>
          </w:r>
          <w:r w:rsidR="001D1495" w:rsidRPr="001008B4">
            <w:rPr>
              <w:rFonts w:ascii="Lucida Bright" w:hAnsi="Lucida Bright"/>
              <w:szCs w:val="22"/>
            </w:rPr>
            <w:t>Austin, TX 78711</w:t>
          </w:r>
        </w:p>
        <w:p w14:paraId="718B7E8F" w14:textId="1286E02B" w:rsidR="001D1495" w:rsidRPr="001008B4" w:rsidRDefault="00E81D79" w:rsidP="00E81D79">
          <w:pPr>
            <w:pStyle w:val="BodyText"/>
            <w:tabs>
              <w:tab w:val="left" w:pos="2160"/>
            </w:tabs>
            <w:spacing w:after="0"/>
            <w:rPr>
              <w:rFonts w:ascii="Lucida Bright" w:hAnsi="Lucida Bright"/>
              <w:szCs w:val="22"/>
            </w:rPr>
          </w:pPr>
          <w:r w:rsidRPr="001008B4">
            <w:rPr>
              <w:rFonts w:ascii="Lucida Bright" w:hAnsi="Lucida Bright"/>
              <w:szCs w:val="22"/>
            </w:rPr>
            <w:t>Prepared by:</w:t>
          </w:r>
          <w:r w:rsidRPr="001008B4">
            <w:rPr>
              <w:rFonts w:ascii="Lucida Bright" w:hAnsi="Lucida Bright"/>
              <w:szCs w:val="22"/>
            </w:rPr>
            <w:tab/>
          </w:r>
          <w:r w:rsidR="001008B4">
            <w:rPr>
              <w:rFonts w:ascii="Lucida Bright" w:hAnsi="Lucida Bright"/>
              <w:szCs w:val="22"/>
            </w:rPr>
            <w:t>Shannon Gibson</w:t>
          </w:r>
        </w:p>
        <w:p w14:paraId="0F831EA6" w14:textId="77777777" w:rsidR="001D1495" w:rsidRPr="001008B4" w:rsidRDefault="00E81D79" w:rsidP="00E81D79">
          <w:pPr>
            <w:pStyle w:val="BodyText"/>
            <w:tabs>
              <w:tab w:val="left" w:pos="2160"/>
            </w:tabs>
            <w:spacing w:after="0"/>
            <w:ind w:left="720"/>
            <w:rPr>
              <w:rFonts w:ascii="Lucida Bright" w:hAnsi="Lucida Bright"/>
              <w:szCs w:val="22"/>
            </w:rPr>
          </w:pPr>
          <w:r w:rsidRPr="001008B4">
            <w:rPr>
              <w:rFonts w:ascii="Lucida Bright" w:hAnsi="Lucida Bright"/>
              <w:szCs w:val="22"/>
            </w:rPr>
            <w:tab/>
          </w:r>
          <w:r w:rsidR="001D1495" w:rsidRPr="001008B4">
            <w:rPr>
              <w:rFonts w:ascii="Lucida Bright" w:hAnsi="Lucida Bright"/>
              <w:szCs w:val="22"/>
            </w:rPr>
            <w:t>Wastewater Permitting Section</w:t>
          </w:r>
        </w:p>
        <w:p w14:paraId="343B92F5" w14:textId="77777777" w:rsidR="001D1495" w:rsidRPr="001008B4" w:rsidRDefault="00E81D79" w:rsidP="00E81D79">
          <w:pPr>
            <w:pStyle w:val="BodyText"/>
            <w:tabs>
              <w:tab w:val="left" w:pos="2160"/>
            </w:tabs>
            <w:spacing w:after="0"/>
            <w:ind w:left="720"/>
            <w:rPr>
              <w:rFonts w:ascii="Lucida Bright" w:hAnsi="Lucida Bright"/>
              <w:szCs w:val="22"/>
            </w:rPr>
          </w:pPr>
          <w:r w:rsidRPr="001008B4">
            <w:rPr>
              <w:rFonts w:ascii="Lucida Bright" w:hAnsi="Lucida Bright"/>
              <w:szCs w:val="22"/>
            </w:rPr>
            <w:tab/>
          </w:r>
          <w:r w:rsidR="001D1495" w:rsidRPr="001008B4">
            <w:rPr>
              <w:rFonts w:ascii="Lucida Bright" w:hAnsi="Lucida Bright"/>
              <w:szCs w:val="22"/>
            </w:rPr>
            <w:t>Water Quality Division</w:t>
          </w:r>
        </w:p>
        <w:p w14:paraId="6C8193DF" w14:textId="6840CE98" w:rsidR="001D1495" w:rsidRPr="001008B4" w:rsidRDefault="00E81D79" w:rsidP="00E81D79">
          <w:pPr>
            <w:pStyle w:val="BodyText"/>
            <w:tabs>
              <w:tab w:val="left" w:pos="2160"/>
            </w:tabs>
            <w:ind w:left="720"/>
            <w:rPr>
              <w:rFonts w:ascii="Lucida Bright" w:hAnsi="Lucida Bright"/>
              <w:szCs w:val="22"/>
            </w:rPr>
          </w:pPr>
          <w:r w:rsidRPr="001008B4">
            <w:rPr>
              <w:rFonts w:ascii="Lucida Bright" w:hAnsi="Lucida Bright"/>
              <w:szCs w:val="22"/>
            </w:rPr>
            <w:tab/>
          </w:r>
          <w:r w:rsidR="001D1495" w:rsidRPr="001008B4">
            <w:rPr>
              <w:rFonts w:ascii="Lucida Bright" w:hAnsi="Lucida Bright"/>
              <w:szCs w:val="22"/>
            </w:rPr>
            <w:t>(512) 239-</w:t>
          </w:r>
          <w:r w:rsidR="001008B4">
            <w:rPr>
              <w:rFonts w:ascii="Lucida Bright" w:hAnsi="Lucida Bright"/>
              <w:szCs w:val="22"/>
            </w:rPr>
            <w:t>4284</w:t>
          </w:r>
        </w:p>
        <w:p w14:paraId="4212CE2B" w14:textId="567FEEE2" w:rsidR="001D1495" w:rsidRPr="001008B4" w:rsidRDefault="00E81D79" w:rsidP="00E81D79">
          <w:pPr>
            <w:pStyle w:val="BodyText"/>
            <w:tabs>
              <w:tab w:val="left" w:pos="2160"/>
            </w:tabs>
            <w:rPr>
              <w:rFonts w:ascii="Lucida Bright" w:hAnsi="Lucida Bright"/>
              <w:szCs w:val="22"/>
            </w:rPr>
          </w:pPr>
          <w:r w:rsidRPr="001008B4">
            <w:rPr>
              <w:rFonts w:ascii="Lucida Bright" w:hAnsi="Lucida Bright"/>
              <w:szCs w:val="22"/>
            </w:rPr>
            <w:t>Date:</w:t>
          </w:r>
          <w:r w:rsidRPr="001008B4">
            <w:rPr>
              <w:rFonts w:ascii="Lucida Bright" w:hAnsi="Lucida Bright"/>
              <w:szCs w:val="22"/>
            </w:rPr>
            <w:tab/>
          </w:r>
          <w:r w:rsidR="00AF0817">
            <w:rPr>
              <w:rFonts w:ascii="Lucida Bright" w:hAnsi="Lucida Bright"/>
              <w:szCs w:val="22"/>
            </w:rPr>
            <w:t>December</w:t>
          </w:r>
          <w:r w:rsidR="00AF0817" w:rsidRPr="001008B4">
            <w:rPr>
              <w:rFonts w:ascii="Lucida Bright" w:hAnsi="Lucida Bright"/>
              <w:szCs w:val="22"/>
            </w:rPr>
            <w:t xml:space="preserve"> </w:t>
          </w:r>
          <w:r w:rsidR="003068CC" w:rsidRPr="001008B4">
            <w:rPr>
              <w:rFonts w:ascii="Lucida Bright" w:hAnsi="Lucida Bright"/>
              <w:szCs w:val="22"/>
            </w:rPr>
            <w:t>202</w:t>
          </w:r>
          <w:r w:rsidR="001008B4">
            <w:rPr>
              <w:rFonts w:ascii="Lucida Bright" w:hAnsi="Lucida Bright"/>
              <w:szCs w:val="22"/>
            </w:rPr>
            <w:t>4</w:t>
          </w:r>
        </w:p>
        <w:p w14:paraId="667C20B5" w14:textId="77777777" w:rsidR="001D1495" w:rsidRPr="001008B4" w:rsidRDefault="001D1495" w:rsidP="0072475A">
          <w:pPr>
            <w:pStyle w:val="BodyText"/>
            <w:tabs>
              <w:tab w:val="left" w:pos="2070"/>
            </w:tabs>
            <w:rPr>
              <w:rFonts w:ascii="Lucida Bright" w:hAnsi="Lucida Bright"/>
              <w:szCs w:val="22"/>
            </w:rPr>
          </w:pPr>
          <w:r w:rsidRPr="001008B4">
            <w:rPr>
              <w:rFonts w:ascii="Lucida Bright" w:hAnsi="Lucida Bright"/>
              <w:szCs w:val="22"/>
            </w:rPr>
            <w:t>Permit Action:</w:t>
          </w:r>
          <w:r w:rsidRPr="001008B4">
            <w:rPr>
              <w:rFonts w:ascii="Lucida Bright" w:hAnsi="Lucida Bright"/>
              <w:szCs w:val="22"/>
            </w:rPr>
            <w:tab/>
          </w:r>
          <w:r w:rsidRPr="001008B4">
            <w:rPr>
              <w:rFonts w:ascii="Lucida Bright" w:hAnsi="Lucida Bright"/>
              <w:szCs w:val="22"/>
            </w:rPr>
            <w:tab/>
          </w:r>
          <w:r w:rsidR="00B550DD" w:rsidRPr="001008B4">
            <w:rPr>
              <w:rFonts w:ascii="Lucida Bright" w:hAnsi="Lucida Bright"/>
              <w:szCs w:val="22"/>
            </w:rPr>
            <w:t>Renewal with Amendment</w:t>
          </w:r>
          <w:r w:rsidRPr="001008B4">
            <w:rPr>
              <w:rFonts w:ascii="Lucida Bright" w:hAnsi="Lucida Bright"/>
              <w:szCs w:val="22"/>
            </w:rPr>
            <w:t xml:space="preserve"> </w:t>
          </w:r>
        </w:p>
        <w:p w14:paraId="42FFBED5" w14:textId="77777777" w:rsidR="0086433B" w:rsidRPr="001008B4" w:rsidRDefault="00B9220D" w:rsidP="00B06411">
          <w:pPr>
            <w:pStyle w:val="Heading1"/>
            <w:tabs>
              <w:tab w:val="left" w:pos="540"/>
            </w:tabs>
            <w:spacing w:after="240"/>
            <w:rPr>
              <w:rFonts w:ascii="Lucida Bright" w:hAnsi="Lucida Bright"/>
              <w:szCs w:val="22"/>
            </w:rPr>
          </w:pPr>
          <w:r w:rsidRPr="001008B4">
            <w:rPr>
              <w:rFonts w:ascii="Lucida Bright" w:hAnsi="Lucida Bright"/>
              <w:szCs w:val="22"/>
            </w:rPr>
            <w:t>I.</w:t>
          </w:r>
          <w:r w:rsidRPr="001008B4">
            <w:rPr>
              <w:rFonts w:ascii="Lucida Bright" w:hAnsi="Lucida Bright"/>
              <w:szCs w:val="22"/>
            </w:rPr>
            <w:tab/>
          </w:r>
          <w:r w:rsidR="0086433B" w:rsidRPr="001008B4">
            <w:rPr>
              <w:rFonts w:ascii="Lucida Bright" w:hAnsi="Lucida Bright"/>
              <w:szCs w:val="22"/>
            </w:rPr>
            <w:t>Summary</w:t>
          </w:r>
        </w:p>
        <w:p w14:paraId="6848CD9D" w14:textId="3B995667" w:rsidR="00B97EE2" w:rsidRPr="001008B4" w:rsidRDefault="00BA67BF" w:rsidP="0072475A">
          <w:pPr>
            <w:rPr>
              <w:rFonts w:ascii="Lucida Bright" w:hAnsi="Lucida Bright"/>
              <w:sz w:val="22"/>
              <w:szCs w:val="22"/>
            </w:rPr>
          </w:pPr>
          <w:r w:rsidRPr="001008B4">
            <w:rPr>
              <w:rFonts w:ascii="Lucida Bright" w:hAnsi="Lucida Bright"/>
              <w:sz w:val="22"/>
              <w:szCs w:val="22"/>
              <w:lang w:val="en-CA"/>
            </w:rPr>
            <w:fldChar w:fldCharType="begin"/>
          </w:r>
          <w:r w:rsidRPr="001008B4">
            <w:rPr>
              <w:rFonts w:ascii="Lucida Bright" w:hAnsi="Lucida Bright"/>
              <w:sz w:val="22"/>
              <w:szCs w:val="22"/>
              <w:lang w:val="en-CA"/>
            </w:rPr>
            <w:instrText xml:space="preserve"> SEQ CHAPTER \h \r 1</w:instrText>
          </w:r>
          <w:r w:rsidRPr="001008B4">
            <w:rPr>
              <w:rFonts w:ascii="Lucida Bright" w:hAnsi="Lucida Bright"/>
              <w:sz w:val="22"/>
              <w:szCs w:val="22"/>
              <w:lang w:val="en-CA"/>
            </w:rPr>
            <w:fldChar w:fldCharType="end"/>
          </w:r>
          <w:r w:rsidRPr="001008B4">
            <w:rPr>
              <w:rFonts w:ascii="Lucida Bright" w:hAnsi="Lucida Bright"/>
              <w:sz w:val="22"/>
              <w:szCs w:val="22"/>
            </w:rPr>
            <w:t>The Texas Commission on Environmental Quality (TCEQ</w:t>
          </w:r>
          <w:r w:rsidR="00883CBD" w:rsidRPr="001008B4">
            <w:rPr>
              <w:rFonts w:ascii="Lucida Bright" w:hAnsi="Lucida Bright"/>
              <w:sz w:val="22"/>
              <w:szCs w:val="22"/>
            </w:rPr>
            <w:t xml:space="preserve"> or commission</w:t>
          </w:r>
          <w:r w:rsidRPr="001008B4">
            <w:rPr>
              <w:rFonts w:ascii="Lucida Bright" w:hAnsi="Lucida Bright"/>
              <w:sz w:val="22"/>
              <w:szCs w:val="22"/>
            </w:rPr>
            <w:t xml:space="preserve">) is proposing </w:t>
          </w:r>
          <w:r w:rsidR="00807B46" w:rsidRPr="001008B4">
            <w:rPr>
              <w:rFonts w:ascii="Lucida Bright" w:hAnsi="Lucida Bright"/>
              <w:sz w:val="22"/>
              <w:szCs w:val="22"/>
            </w:rPr>
            <w:t xml:space="preserve">to </w:t>
          </w:r>
          <w:r w:rsidR="00B550DD" w:rsidRPr="001008B4">
            <w:rPr>
              <w:rFonts w:ascii="Lucida Bright" w:hAnsi="Lucida Bright"/>
              <w:sz w:val="22"/>
              <w:szCs w:val="22"/>
            </w:rPr>
            <w:t>renew and amend</w:t>
          </w:r>
          <w:r w:rsidR="00FF2F66" w:rsidRPr="001008B4">
            <w:rPr>
              <w:rFonts w:ascii="Lucida Bright" w:hAnsi="Lucida Bright"/>
              <w:sz w:val="22"/>
              <w:szCs w:val="22"/>
            </w:rPr>
            <w:t xml:space="preserve"> </w:t>
          </w:r>
          <w:r w:rsidRPr="001008B4">
            <w:rPr>
              <w:rFonts w:ascii="Lucida Bright" w:hAnsi="Lucida Bright"/>
              <w:sz w:val="22"/>
              <w:szCs w:val="22"/>
            </w:rPr>
            <w:t xml:space="preserve">General Permit </w:t>
          </w:r>
          <w:r w:rsidR="0072475A">
            <w:rPr>
              <w:rFonts w:ascii="Lucida Bright" w:hAnsi="Lucida Bright"/>
              <w:sz w:val="22"/>
              <w:szCs w:val="22"/>
            </w:rPr>
            <w:t xml:space="preserve">No. </w:t>
          </w:r>
          <w:r w:rsidRPr="001008B4">
            <w:rPr>
              <w:rFonts w:ascii="Lucida Bright" w:hAnsi="Lucida Bright"/>
              <w:sz w:val="22"/>
              <w:szCs w:val="22"/>
            </w:rPr>
            <w:t>WQG</w:t>
          </w:r>
          <w:r w:rsidR="00FF2F66" w:rsidRPr="001008B4">
            <w:rPr>
              <w:rFonts w:ascii="Lucida Bright" w:hAnsi="Lucida Bright"/>
              <w:sz w:val="22"/>
              <w:szCs w:val="22"/>
            </w:rPr>
            <w:t>1</w:t>
          </w:r>
          <w:r w:rsidRPr="001008B4">
            <w:rPr>
              <w:rFonts w:ascii="Lucida Bright" w:hAnsi="Lucida Bright"/>
              <w:sz w:val="22"/>
              <w:szCs w:val="22"/>
            </w:rPr>
            <w:t xml:space="preserve">00000, </w:t>
          </w:r>
          <w:r w:rsidR="003F7CE2" w:rsidRPr="001008B4">
            <w:rPr>
              <w:rFonts w:ascii="Lucida Bright" w:hAnsi="Lucida Bright"/>
              <w:sz w:val="22"/>
              <w:szCs w:val="22"/>
            </w:rPr>
            <w:t>which authorize</w:t>
          </w:r>
          <w:r w:rsidR="00B550DD" w:rsidRPr="001008B4">
            <w:rPr>
              <w:rFonts w:ascii="Lucida Bright" w:hAnsi="Lucida Bright"/>
              <w:sz w:val="22"/>
              <w:szCs w:val="22"/>
            </w:rPr>
            <w:t>s</w:t>
          </w:r>
          <w:r w:rsidR="003F7CE2" w:rsidRPr="001008B4">
            <w:rPr>
              <w:rFonts w:ascii="Lucida Bright" w:hAnsi="Lucida Bright"/>
              <w:sz w:val="22"/>
              <w:szCs w:val="22"/>
            </w:rPr>
            <w:t xml:space="preserve"> wastewater generated by industrial or water treatment facilities to be disposed of by evaporation from surface impoundments</w:t>
          </w:r>
          <w:r w:rsidR="00390B11" w:rsidRPr="001008B4">
            <w:rPr>
              <w:rFonts w:ascii="Lucida Bright" w:hAnsi="Lucida Bright"/>
              <w:sz w:val="22"/>
              <w:szCs w:val="22"/>
            </w:rPr>
            <w:t xml:space="preserve"> adjacent to water in the state</w:t>
          </w:r>
          <w:r w:rsidRPr="001008B4">
            <w:rPr>
              <w:rFonts w:ascii="Lucida Bright" w:hAnsi="Lucida Bright"/>
              <w:sz w:val="22"/>
              <w:szCs w:val="22"/>
            </w:rPr>
            <w:t>.</w:t>
          </w:r>
          <w:r w:rsidR="00807B46" w:rsidRPr="001008B4">
            <w:rPr>
              <w:rFonts w:ascii="Lucida Bright" w:hAnsi="Lucida Bright"/>
              <w:sz w:val="22"/>
              <w:szCs w:val="22"/>
            </w:rPr>
            <w:t xml:space="preserve"> </w:t>
          </w:r>
          <w:r w:rsidR="002001D1" w:rsidRPr="001008B4">
            <w:rPr>
              <w:rFonts w:ascii="Lucida Bright" w:hAnsi="Lucida Bright"/>
              <w:sz w:val="22"/>
              <w:szCs w:val="22"/>
            </w:rPr>
            <w:t xml:space="preserve">This general permit </w:t>
          </w:r>
          <w:r w:rsidR="00B550DD" w:rsidRPr="001008B4">
            <w:rPr>
              <w:rFonts w:ascii="Lucida Bright" w:hAnsi="Lucida Bright"/>
              <w:sz w:val="22"/>
              <w:szCs w:val="22"/>
            </w:rPr>
            <w:t>does</w:t>
          </w:r>
          <w:r w:rsidR="002001D1" w:rsidRPr="001008B4">
            <w:rPr>
              <w:rFonts w:ascii="Lucida Bright" w:hAnsi="Lucida Bright"/>
              <w:sz w:val="22"/>
              <w:szCs w:val="22"/>
            </w:rPr>
            <w:t xml:space="preserve"> not authorize </w:t>
          </w:r>
          <w:r w:rsidR="005F7D68" w:rsidRPr="001008B4">
            <w:rPr>
              <w:rFonts w:ascii="Lucida Bright" w:hAnsi="Lucida Bright"/>
              <w:sz w:val="22"/>
              <w:szCs w:val="22"/>
            </w:rPr>
            <w:t xml:space="preserve">the </w:t>
          </w:r>
          <w:r w:rsidR="002001D1" w:rsidRPr="001008B4">
            <w:rPr>
              <w:rFonts w:ascii="Lucida Bright" w:hAnsi="Lucida Bright"/>
              <w:sz w:val="22"/>
              <w:szCs w:val="22"/>
            </w:rPr>
            <w:t>discharge of waste</w:t>
          </w:r>
          <w:r w:rsidR="006C310D" w:rsidRPr="001008B4">
            <w:rPr>
              <w:rFonts w:ascii="Lucida Bright" w:hAnsi="Lucida Bright"/>
              <w:sz w:val="22"/>
              <w:szCs w:val="22"/>
            </w:rPr>
            <w:t>water</w:t>
          </w:r>
          <w:r w:rsidR="002001D1" w:rsidRPr="001008B4">
            <w:rPr>
              <w:rFonts w:ascii="Lucida Bright" w:hAnsi="Lucida Bright"/>
              <w:sz w:val="22"/>
              <w:szCs w:val="22"/>
            </w:rPr>
            <w:t xml:space="preserve"> into </w:t>
          </w:r>
          <w:r w:rsidR="006C310D" w:rsidRPr="001008B4">
            <w:rPr>
              <w:rFonts w:ascii="Lucida Bright" w:hAnsi="Lucida Bright"/>
              <w:sz w:val="22"/>
              <w:szCs w:val="22"/>
            </w:rPr>
            <w:t>water in the state</w:t>
          </w:r>
          <w:r w:rsidR="002001D1" w:rsidRPr="001008B4">
            <w:rPr>
              <w:rFonts w:ascii="Lucida Bright" w:hAnsi="Lucida Bright"/>
              <w:sz w:val="22"/>
              <w:szCs w:val="22"/>
            </w:rPr>
            <w:t>.</w:t>
          </w:r>
          <w:r w:rsidR="00807B46" w:rsidRPr="001008B4">
            <w:rPr>
              <w:rFonts w:ascii="Lucida Bright" w:hAnsi="Lucida Bright"/>
              <w:sz w:val="22"/>
              <w:szCs w:val="22"/>
            </w:rPr>
            <w:t xml:space="preserve"> </w:t>
          </w:r>
          <w:r w:rsidRPr="001008B4">
            <w:rPr>
              <w:rFonts w:ascii="Lucida Bright" w:hAnsi="Lucida Bright"/>
              <w:sz w:val="22"/>
              <w:szCs w:val="22"/>
            </w:rPr>
            <w:t xml:space="preserve">The </w:t>
          </w:r>
          <w:r w:rsidR="00B550DD" w:rsidRPr="001008B4">
            <w:rPr>
              <w:rFonts w:ascii="Lucida Bright" w:hAnsi="Lucida Bright"/>
              <w:sz w:val="22"/>
              <w:szCs w:val="22"/>
            </w:rPr>
            <w:t>draft</w:t>
          </w:r>
          <w:r w:rsidR="00166EAD" w:rsidRPr="001008B4">
            <w:rPr>
              <w:rFonts w:ascii="Lucida Bright" w:hAnsi="Lucida Bright"/>
              <w:sz w:val="22"/>
              <w:szCs w:val="22"/>
            </w:rPr>
            <w:t xml:space="preserve"> </w:t>
          </w:r>
          <w:r w:rsidRPr="001008B4">
            <w:rPr>
              <w:rFonts w:ascii="Lucida Bright" w:hAnsi="Lucida Bright"/>
              <w:sz w:val="22"/>
              <w:szCs w:val="22"/>
            </w:rPr>
            <w:t xml:space="preserve">general permit specifies </w:t>
          </w:r>
          <w:r w:rsidR="00FF2F66" w:rsidRPr="001008B4">
            <w:rPr>
              <w:rFonts w:ascii="Lucida Bright" w:hAnsi="Lucida Bright"/>
              <w:sz w:val="22"/>
              <w:szCs w:val="22"/>
            </w:rPr>
            <w:t>the types of wastewater</w:t>
          </w:r>
          <w:r w:rsidR="00000520" w:rsidRPr="001008B4">
            <w:rPr>
              <w:rFonts w:ascii="Lucida Bright" w:hAnsi="Lucida Bright"/>
              <w:sz w:val="22"/>
              <w:szCs w:val="22"/>
            </w:rPr>
            <w:t>s</w:t>
          </w:r>
          <w:r w:rsidR="00FF2F66" w:rsidRPr="001008B4">
            <w:rPr>
              <w:rFonts w:ascii="Lucida Bright" w:hAnsi="Lucida Bright"/>
              <w:sz w:val="22"/>
              <w:szCs w:val="22"/>
            </w:rPr>
            <w:t xml:space="preserve"> that are not eligible for </w:t>
          </w:r>
          <w:r w:rsidR="00EE3625">
            <w:rPr>
              <w:rFonts w:ascii="Lucida Bright" w:hAnsi="Lucida Bright"/>
              <w:sz w:val="22"/>
              <w:szCs w:val="22"/>
            </w:rPr>
            <w:t>authorization</w:t>
          </w:r>
          <w:r w:rsidRPr="001008B4">
            <w:rPr>
              <w:rFonts w:ascii="Lucida Bright" w:hAnsi="Lucida Bright"/>
              <w:sz w:val="22"/>
              <w:szCs w:val="22"/>
            </w:rPr>
            <w:t xml:space="preserve">, and </w:t>
          </w:r>
          <w:r w:rsidR="005F7D68" w:rsidRPr="001008B4">
            <w:rPr>
              <w:rFonts w:ascii="Lucida Bright" w:hAnsi="Lucida Bright"/>
              <w:sz w:val="22"/>
              <w:szCs w:val="22"/>
            </w:rPr>
            <w:t xml:space="preserve">other criteria that would limit a facility’s ability to qualify for </w:t>
          </w:r>
          <w:r w:rsidR="00EE3625">
            <w:rPr>
              <w:rFonts w:ascii="Lucida Bright" w:hAnsi="Lucida Bright"/>
              <w:sz w:val="22"/>
              <w:szCs w:val="22"/>
            </w:rPr>
            <w:t>authorization</w:t>
          </w:r>
          <w:r w:rsidR="00EE3625" w:rsidRPr="001008B4">
            <w:rPr>
              <w:rFonts w:ascii="Lucida Bright" w:hAnsi="Lucida Bright"/>
              <w:sz w:val="22"/>
              <w:szCs w:val="22"/>
            </w:rPr>
            <w:t xml:space="preserve"> </w:t>
          </w:r>
          <w:r w:rsidR="005F7D68" w:rsidRPr="001008B4">
            <w:rPr>
              <w:rFonts w:ascii="Lucida Bright" w:hAnsi="Lucida Bright"/>
              <w:sz w:val="22"/>
              <w:szCs w:val="22"/>
            </w:rPr>
            <w:t>under the general permit</w:t>
          </w:r>
          <w:r w:rsidR="002001D1" w:rsidRPr="001008B4">
            <w:rPr>
              <w:rFonts w:ascii="Lucida Bright" w:hAnsi="Lucida Bright"/>
              <w:sz w:val="22"/>
              <w:szCs w:val="22"/>
            </w:rPr>
            <w:t>.</w:t>
          </w:r>
        </w:p>
        <w:p w14:paraId="4C04F0E0" w14:textId="77777777" w:rsidR="004C4F80" w:rsidRPr="001008B4" w:rsidRDefault="004C4F80" w:rsidP="00B06411">
          <w:pPr>
            <w:pStyle w:val="Heading1"/>
            <w:tabs>
              <w:tab w:val="left" w:pos="540"/>
            </w:tabs>
            <w:spacing w:after="240"/>
            <w:rPr>
              <w:rFonts w:ascii="Lucida Bright" w:hAnsi="Lucida Bright"/>
              <w:szCs w:val="22"/>
            </w:rPr>
          </w:pPr>
          <w:r w:rsidRPr="001008B4">
            <w:rPr>
              <w:rFonts w:ascii="Lucida Bright" w:hAnsi="Lucida Bright"/>
              <w:szCs w:val="22"/>
            </w:rPr>
            <w:t>II.</w:t>
          </w:r>
          <w:r w:rsidRPr="001008B4">
            <w:rPr>
              <w:rFonts w:ascii="Lucida Bright" w:hAnsi="Lucida Bright"/>
              <w:szCs w:val="22"/>
            </w:rPr>
            <w:tab/>
            <w:t>Executive Director’s Recommendation</w:t>
          </w:r>
        </w:p>
        <w:p w14:paraId="7499B057" w14:textId="05E64F08" w:rsidR="00575D4C" w:rsidRPr="001008B4" w:rsidRDefault="004C4F80" w:rsidP="0072475A">
          <w:pPr>
            <w:rPr>
              <w:rFonts w:ascii="Lucida Bright" w:hAnsi="Lucida Bright"/>
              <w:sz w:val="22"/>
              <w:szCs w:val="22"/>
            </w:rPr>
          </w:pPr>
          <w:r w:rsidRPr="001008B4">
            <w:rPr>
              <w:rFonts w:ascii="Lucida Bright" w:hAnsi="Lucida Bright"/>
              <w:sz w:val="22"/>
              <w:szCs w:val="22"/>
            </w:rPr>
            <w:t xml:space="preserve">The </w:t>
          </w:r>
          <w:r w:rsidR="002F3868" w:rsidRPr="001008B4">
            <w:rPr>
              <w:rFonts w:ascii="Lucida Bright" w:hAnsi="Lucida Bright"/>
              <w:sz w:val="22"/>
              <w:szCs w:val="22"/>
            </w:rPr>
            <w:t>e</w:t>
          </w:r>
          <w:r w:rsidRPr="001008B4">
            <w:rPr>
              <w:rFonts w:ascii="Lucida Bright" w:hAnsi="Lucida Bright"/>
              <w:sz w:val="22"/>
              <w:szCs w:val="22"/>
            </w:rPr>
            <w:t xml:space="preserve">xecutive </w:t>
          </w:r>
          <w:r w:rsidR="002F3868" w:rsidRPr="001008B4">
            <w:rPr>
              <w:rFonts w:ascii="Lucida Bright" w:hAnsi="Lucida Bright"/>
              <w:sz w:val="22"/>
              <w:szCs w:val="22"/>
            </w:rPr>
            <w:t>d</w:t>
          </w:r>
          <w:r w:rsidRPr="001008B4">
            <w:rPr>
              <w:rFonts w:ascii="Lucida Bright" w:hAnsi="Lucida Bright"/>
              <w:sz w:val="22"/>
              <w:szCs w:val="22"/>
            </w:rPr>
            <w:t>irector has made a preliminary decision that this permit</w:t>
          </w:r>
          <w:r w:rsidR="00267D65" w:rsidRPr="001008B4">
            <w:rPr>
              <w:rFonts w:ascii="Lucida Bright" w:hAnsi="Lucida Bright"/>
              <w:sz w:val="22"/>
              <w:szCs w:val="22"/>
            </w:rPr>
            <w:t>, if issued, meets all statutory and regulatory requirements.</w:t>
          </w:r>
          <w:r w:rsidR="00807B46" w:rsidRPr="001008B4">
            <w:rPr>
              <w:rFonts w:ascii="Lucida Bright" w:hAnsi="Lucida Bright"/>
              <w:sz w:val="22"/>
              <w:szCs w:val="22"/>
            </w:rPr>
            <w:t xml:space="preserve"> </w:t>
          </w:r>
          <w:r w:rsidR="00267D65" w:rsidRPr="001008B4">
            <w:rPr>
              <w:rFonts w:ascii="Lucida Bright" w:hAnsi="Lucida Bright"/>
              <w:sz w:val="22"/>
              <w:szCs w:val="22"/>
            </w:rPr>
            <w:t xml:space="preserve">It is proposed that the permit be issued to expire five years from </w:t>
          </w:r>
          <w:r w:rsidR="00807B46" w:rsidRPr="001008B4">
            <w:rPr>
              <w:rFonts w:ascii="Lucida Bright" w:hAnsi="Lucida Bright"/>
              <w:sz w:val="22"/>
              <w:szCs w:val="22"/>
            </w:rPr>
            <w:t>the effective date</w:t>
          </w:r>
          <w:r w:rsidR="00267D65" w:rsidRPr="001008B4">
            <w:rPr>
              <w:rFonts w:ascii="Lucida Bright" w:hAnsi="Lucida Bright"/>
              <w:sz w:val="22"/>
              <w:szCs w:val="22"/>
            </w:rPr>
            <w:t xml:space="preserve"> following the requirements of 30 Texas Administrative Code (TAC) §</w:t>
          </w:r>
          <w:r w:rsidR="001008B4">
            <w:rPr>
              <w:rFonts w:ascii="Lucida Bright" w:hAnsi="Lucida Bright"/>
              <w:sz w:val="22"/>
              <w:szCs w:val="22"/>
            </w:rPr>
            <w:t xml:space="preserve"> </w:t>
          </w:r>
          <w:r w:rsidR="006C310D" w:rsidRPr="001008B4">
            <w:rPr>
              <w:rFonts w:ascii="Lucida Bright" w:hAnsi="Lucida Bright"/>
              <w:sz w:val="22"/>
              <w:szCs w:val="22"/>
            </w:rPr>
            <w:t>205.5</w:t>
          </w:r>
          <w:r w:rsidR="00267D65" w:rsidRPr="001008B4">
            <w:rPr>
              <w:rFonts w:ascii="Lucida Bright" w:hAnsi="Lucida Bright"/>
              <w:sz w:val="22"/>
              <w:szCs w:val="22"/>
            </w:rPr>
            <w:t>(a).</w:t>
          </w:r>
          <w:r w:rsidR="00FF2F66" w:rsidRPr="001008B4">
            <w:rPr>
              <w:rFonts w:ascii="Lucida Bright" w:hAnsi="Lucida Bright"/>
              <w:sz w:val="22"/>
              <w:szCs w:val="22"/>
            </w:rPr>
            <w:t xml:space="preserve"> </w:t>
          </w:r>
        </w:p>
        <w:p w14:paraId="470EFA2F" w14:textId="77777777" w:rsidR="00BA67BF" w:rsidRPr="001008B4" w:rsidRDefault="00575D4C" w:rsidP="00B06411">
          <w:pPr>
            <w:pStyle w:val="Heading1"/>
            <w:tabs>
              <w:tab w:val="left" w:pos="540"/>
            </w:tabs>
            <w:spacing w:after="240"/>
            <w:rPr>
              <w:rFonts w:ascii="Lucida Bright" w:hAnsi="Lucida Bright"/>
              <w:szCs w:val="22"/>
            </w:rPr>
          </w:pPr>
          <w:r w:rsidRPr="001008B4">
            <w:rPr>
              <w:rFonts w:ascii="Lucida Bright" w:hAnsi="Lucida Bright"/>
              <w:szCs w:val="22"/>
            </w:rPr>
            <w:t>III.</w:t>
          </w:r>
          <w:r w:rsidRPr="001008B4">
            <w:rPr>
              <w:rFonts w:ascii="Lucida Bright" w:hAnsi="Lucida Bright"/>
              <w:szCs w:val="22"/>
            </w:rPr>
            <w:tab/>
            <w:t>Permit Applicability</w:t>
          </w:r>
        </w:p>
        <w:p w14:paraId="24A0AB3A" w14:textId="2A6AC99C" w:rsidR="005F7D68" w:rsidRPr="001008B4" w:rsidRDefault="00DD6EFE" w:rsidP="0072475A">
          <w:pPr>
            <w:pStyle w:val="ListNumber"/>
          </w:pPr>
          <w:r w:rsidRPr="001008B4">
            <w:t>The draft</w:t>
          </w:r>
          <w:r w:rsidR="005F7D68" w:rsidRPr="001008B4">
            <w:t xml:space="preserve"> permit </w:t>
          </w:r>
          <w:r w:rsidR="003F7CE2" w:rsidRPr="001008B4">
            <w:t>authorize</w:t>
          </w:r>
          <w:r w:rsidR="00B550DD" w:rsidRPr="001008B4">
            <w:t>s</w:t>
          </w:r>
          <w:r w:rsidR="003F7CE2" w:rsidRPr="001008B4">
            <w:t xml:space="preserve"> wastewater generated by industrial or water treatment </w:t>
          </w:r>
          <w:r w:rsidR="003F7CE2" w:rsidRPr="0072475A">
            <w:t>facilities</w:t>
          </w:r>
          <w:r w:rsidR="003F7CE2" w:rsidRPr="001008B4">
            <w:t xml:space="preserve"> to be disposed of by evaporation from surface impoundments</w:t>
          </w:r>
          <w:r w:rsidR="00390B11" w:rsidRPr="001008B4">
            <w:t xml:space="preserve"> adjacent to water in the state</w:t>
          </w:r>
          <w:r w:rsidR="001D5B07" w:rsidRPr="001008B4">
            <w:t>.</w:t>
          </w:r>
          <w:r w:rsidR="005F7D68" w:rsidRPr="001008B4">
            <w:t xml:space="preserve"> </w:t>
          </w:r>
        </w:p>
        <w:p w14:paraId="42D594DB" w14:textId="0494737B" w:rsidR="00575D4C" w:rsidRPr="001008B4" w:rsidRDefault="00821AC1" w:rsidP="0072475A">
          <w:pPr>
            <w:pStyle w:val="ListNumber"/>
            <w:numPr>
              <w:ilvl w:val="0"/>
              <w:numId w:val="0"/>
            </w:numPr>
            <w:ind w:left="360" w:hanging="360"/>
          </w:pPr>
          <w:r w:rsidRPr="001008B4">
            <w:t>B.</w:t>
          </w:r>
          <w:r w:rsidRPr="001008B4">
            <w:tab/>
          </w:r>
          <w:r w:rsidR="001D5B07" w:rsidRPr="001008B4">
            <w:t xml:space="preserve">Limitations on </w:t>
          </w:r>
          <w:r w:rsidR="00EE3625">
            <w:t>Authorization</w:t>
          </w:r>
          <w:r w:rsidR="00807B46" w:rsidRPr="001008B4">
            <w:t>:</w:t>
          </w:r>
        </w:p>
        <w:p w14:paraId="16BC65A9" w14:textId="77777777" w:rsidR="001D5B07" w:rsidRPr="001008B4" w:rsidRDefault="001D5B07" w:rsidP="0072475A">
          <w:pPr>
            <w:pStyle w:val="ListNumber2"/>
          </w:pPr>
          <w:r w:rsidRPr="001008B4">
            <w:t>This general permit does not authorize disposal of wastewater that:</w:t>
          </w:r>
        </w:p>
        <w:p w14:paraId="5494BE8A" w14:textId="77777777" w:rsidR="001D5B07" w:rsidRPr="001008B4" w:rsidRDefault="001D5B07" w:rsidP="0072475A">
          <w:pPr>
            <w:pStyle w:val="ListNumber3"/>
          </w:pPr>
          <w:r w:rsidRPr="001008B4">
            <w:t xml:space="preserve">has </w:t>
          </w:r>
          <w:r w:rsidRPr="0072475A">
            <w:t>an</w:t>
          </w:r>
          <w:r w:rsidRPr="001008B4">
            <w:t xml:space="preserve"> oil and grease concentration greater than 100 milligrams per liter;</w:t>
          </w:r>
        </w:p>
        <w:p w14:paraId="695E8C2C" w14:textId="77777777" w:rsidR="001D5B07" w:rsidRPr="001008B4" w:rsidRDefault="001D5B07" w:rsidP="0072475A">
          <w:pPr>
            <w:pStyle w:val="ListNumber3"/>
          </w:pPr>
          <w:r w:rsidRPr="001008B4">
            <w:t>has a pH that is:</w:t>
          </w:r>
        </w:p>
        <w:p w14:paraId="6B345E3B" w14:textId="77777777" w:rsidR="001D5B07" w:rsidRPr="001008B4" w:rsidRDefault="001D5B07" w:rsidP="0072475A">
          <w:pPr>
            <w:pStyle w:val="ListNumber4"/>
          </w:pPr>
          <w:r w:rsidRPr="001008B4">
            <w:t xml:space="preserve">less than 5.0 </w:t>
          </w:r>
          <w:r w:rsidRPr="0072475A">
            <w:t>standard</w:t>
          </w:r>
          <w:r w:rsidRPr="001008B4">
            <w:t xml:space="preserve"> units;</w:t>
          </w:r>
        </w:p>
        <w:p w14:paraId="530FED00" w14:textId="77777777" w:rsidR="001D5B07" w:rsidRPr="001008B4" w:rsidRDefault="001D5B07" w:rsidP="0072475A">
          <w:pPr>
            <w:pStyle w:val="ListNumber4"/>
          </w:pPr>
          <w:r w:rsidRPr="001008B4">
            <w:lastRenderedPageBreak/>
            <w:t>more than 10.0 standard units;</w:t>
          </w:r>
        </w:p>
        <w:p w14:paraId="250404AD" w14:textId="77777777" w:rsidR="001D5B07" w:rsidRPr="001008B4" w:rsidRDefault="001D5B07" w:rsidP="0072475A">
          <w:pPr>
            <w:pStyle w:val="ListNumber4"/>
          </w:pPr>
          <w:r w:rsidRPr="001008B4">
            <w:t>outside the liner manufacturer’s recommended pH range for synthetic liners; or</w:t>
          </w:r>
        </w:p>
        <w:p w14:paraId="26341500" w14:textId="77777777" w:rsidR="001D5B07" w:rsidRPr="001008B4" w:rsidRDefault="001D5B07" w:rsidP="0072475A">
          <w:pPr>
            <w:pStyle w:val="ListNumber4"/>
          </w:pPr>
          <w:r w:rsidRPr="001008B4">
            <w:t>corrosive to the evaporation pond liner.</w:t>
          </w:r>
        </w:p>
        <w:p w14:paraId="371664A9" w14:textId="77777777" w:rsidR="001D5B07" w:rsidRPr="001008B4" w:rsidRDefault="001D5B07" w:rsidP="0072475A">
          <w:pPr>
            <w:pStyle w:val="ListNumber3"/>
          </w:pPr>
          <w:r w:rsidRPr="001008B4">
            <w:t>creates a fire or explosion hazard;</w:t>
          </w:r>
        </w:p>
        <w:p w14:paraId="7120820E" w14:textId="77777777" w:rsidR="001D5B07" w:rsidRPr="001008B4" w:rsidRDefault="001D5B07" w:rsidP="0072475A">
          <w:pPr>
            <w:pStyle w:val="ListNumber3"/>
          </w:pPr>
          <w:r w:rsidRPr="001008B4">
            <w:t>contains any radioactive substances, hazardous wastes, or medical wastes;</w:t>
          </w:r>
        </w:p>
        <w:p w14:paraId="072A4B0D" w14:textId="77777777" w:rsidR="001D5B07" w:rsidRPr="001008B4" w:rsidRDefault="001D5B07" w:rsidP="0072475A">
          <w:pPr>
            <w:pStyle w:val="ListNumber3"/>
          </w:pPr>
          <w:r w:rsidRPr="001008B4">
            <w:t>contains constituents that will inhibit evaporation, or are incompatible with or would damage the evaporation pond liner;</w:t>
          </w:r>
        </w:p>
        <w:p w14:paraId="7C8DDDDA" w14:textId="77777777" w:rsidR="001D5B07" w:rsidRPr="001008B4" w:rsidRDefault="001D5B07" w:rsidP="0072475A">
          <w:pPr>
            <w:pStyle w:val="ListNumber3"/>
          </w:pPr>
          <w:r w:rsidRPr="001008B4">
            <w:t>is regulated under another wastewater general permit; or</w:t>
          </w:r>
        </w:p>
        <w:p w14:paraId="6984F3DF" w14:textId="77777777" w:rsidR="001D5B07" w:rsidRPr="001008B4" w:rsidRDefault="001D5B07" w:rsidP="0072475A">
          <w:pPr>
            <w:pStyle w:val="ListNumber3"/>
          </w:pPr>
          <w:r w:rsidRPr="001008B4">
            <w:t xml:space="preserve">consists solely of domestic wastewater, subject to the requirements of 30 TAC Chapter 309, </w:t>
          </w:r>
          <w:r w:rsidRPr="001008B4">
            <w:rPr>
              <w:i/>
              <w:iCs/>
            </w:rPr>
            <w:t>Domestic Wastewater Effluent Limitation and Plant Siting</w:t>
          </w:r>
          <w:r w:rsidRPr="001008B4">
            <w:t>.</w:t>
          </w:r>
        </w:p>
        <w:p w14:paraId="2C8C9FA2" w14:textId="77777777" w:rsidR="001D5B07" w:rsidRPr="001008B4" w:rsidRDefault="001D5B07" w:rsidP="0072475A">
          <w:pPr>
            <w:pStyle w:val="ListNumber2"/>
          </w:pPr>
          <w:r w:rsidRPr="001008B4">
            <w:t>This general permit does not authorize discharge of wastewater into water in the state. Discharge by disposal of wastewater by evaporation from surface impoundments adjacent to water in the state is allowed only under the conditions described in this general permit.</w:t>
          </w:r>
        </w:p>
        <w:p w14:paraId="29D4D9BA" w14:textId="77777777" w:rsidR="001D5B07" w:rsidRPr="001008B4" w:rsidRDefault="00981EB4" w:rsidP="0072475A">
          <w:pPr>
            <w:pStyle w:val="ListNumber2"/>
          </w:pPr>
          <w:r w:rsidRPr="001008B4">
            <w:t>I</w:t>
          </w:r>
          <w:r w:rsidR="001D5B07" w:rsidRPr="001008B4">
            <w:t>ndustrial and water treatment facilities that are located in areas of the state where the average annual rainfall exceeds the average annual lake surface evaporation rate</w:t>
          </w:r>
          <w:r w:rsidRPr="001008B4">
            <w:t xml:space="preserve"> are prohibited from obtaining authorization under this general permit</w:t>
          </w:r>
          <w:r w:rsidR="001D5B07" w:rsidRPr="001008B4">
            <w:t>. Average annual rainfall and average annual lake surface evaporation data for the area where the facility is located or proposed to be located must be obtained from the Texas Water Development Board.</w:t>
          </w:r>
        </w:p>
        <w:p w14:paraId="65B1802C" w14:textId="77777777" w:rsidR="001D5B07" w:rsidRPr="001008B4" w:rsidRDefault="001D5B07" w:rsidP="0072475A">
          <w:pPr>
            <w:pStyle w:val="ListNumber2"/>
          </w:pPr>
          <w:r w:rsidRPr="001008B4">
            <w:t>This general permit does not authorize the storage, processing, or disposal of solid waste. It is the responsibility of any person conducting such activities to comply with any applicable requirements of the Commission, as described in 30 TAC Chapters 312, 330, 335</w:t>
          </w:r>
          <w:r w:rsidR="00884141" w:rsidRPr="001008B4">
            <w:t>, and 352</w:t>
          </w:r>
          <w:r w:rsidRPr="001008B4">
            <w:t xml:space="preserve">, </w:t>
          </w:r>
          <w:r w:rsidRPr="001008B4">
            <w:rPr>
              <w:i/>
            </w:rPr>
            <w:t>Sludge Use, Disposal and Transportation, Municipal Solid Waste,</w:t>
          </w:r>
          <w:r w:rsidRPr="001008B4">
            <w:t xml:space="preserve"> </w:t>
          </w:r>
          <w:r w:rsidRPr="001008B4">
            <w:rPr>
              <w:i/>
            </w:rPr>
            <w:t>Industrial Solid Waste and Municipal Hazardous Waste</w:t>
          </w:r>
          <w:r w:rsidRPr="001008B4">
            <w:t xml:space="preserve">, </w:t>
          </w:r>
          <w:r w:rsidR="00884141" w:rsidRPr="001008B4">
            <w:t xml:space="preserve">and </w:t>
          </w:r>
          <w:r w:rsidR="00884141" w:rsidRPr="001008B4">
            <w:rPr>
              <w:i/>
            </w:rPr>
            <w:t>Coal Combustion Residuals Waste Management,</w:t>
          </w:r>
          <w:r w:rsidR="00884141" w:rsidRPr="001008B4">
            <w:t xml:space="preserve"> </w:t>
          </w:r>
          <w:r w:rsidRPr="001008B4">
            <w:t>respectively.</w:t>
          </w:r>
        </w:p>
        <w:p w14:paraId="658EFC63" w14:textId="77777777" w:rsidR="001D5B07" w:rsidRPr="001008B4" w:rsidRDefault="001D5B07" w:rsidP="0072475A">
          <w:pPr>
            <w:pStyle w:val="ListNumber2"/>
          </w:pPr>
          <w:r w:rsidRPr="001008B4">
            <w:t xml:space="preserve">This general permit does not authorize the discharge or disposal of stormwater otherwise authorized by the Construction General Permit (TXR150000), the Multi-Sector General Permit (TXR050000), or an individual stormwater permit. It is the responsibility of any person conducting such activities to obtain authorization under the Construction General Permit (TXR150000), the Multi-Sector General Permit (TXR050000), or an individual stormwater permit. </w:t>
          </w:r>
        </w:p>
        <w:p w14:paraId="39754B17" w14:textId="77777777" w:rsidR="001D5B07" w:rsidRPr="001008B4" w:rsidRDefault="001D5B07" w:rsidP="0072475A">
          <w:pPr>
            <w:pStyle w:val="ListNumber2"/>
          </w:pPr>
          <w:r w:rsidRPr="001008B4">
            <w:lastRenderedPageBreak/>
            <w:t xml:space="preserve">This general permit does not authorize the discharge or disposal of wastewater generated at a Concentrated Animal Feeding Operation, as defined in 30 TAC Chapter 321, Subchapter B, </w:t>
          </w:r>
          <w:r w:rsidRPr="001008B4">
            <w:rPr>
              <w:i/>
            </w:rPr>
            <w:t>Concentrated Animal Feeding Operations</w:t>
          </w:r>
          <w:r w:rsidRPr="001008B4">
            <w:t xml:space="preserve">.  </w:t>
          </w:r>
        </w:p>
        <w:p w14:paraId="63CE8520" w14:textId="77777777" w:rsidR="00981EB4" w:rsidRPr="001008B4" w:rsidRDefault="001D5B07" w:rsidP="0072475A">
          <w:pPr>
            <w:pStyle w:val="ListNumber2"/>
          </w:pPr>
          <w:r w:rsidRPr="001008B4">
            <w:t xml:space="preserve">This general permit does not authorize </w:t>
          </w:r>
          <w:r w:rsidR="00981EB4" w:rsidRPr="001008B4">
            <w:t xml:space="preserve">evaporation ponds at oil and gas facilities, which </w:t>
          </w:r>
          <w:r w:rsidRPr="001008B4">
            <w:t>are regulated by the Railroad Commission of Texas</w:t>
          </w:r>
          <w:r w:rsidR="00981EB4" w:rsidRPr="001008B4">
            <w:t>.</w:t>
          </w:r>
        </w:p>
        <w:p w14:paraId="04D5F951" w14:textId="77777777" w:rsidR="001D5B07" w:rsidRPr="001008B4" w:rsidRDefault="001D5B07" w:rsidP="0072475A">
          <w:pPr>
            <w:pStyle w:val="ListNumber2"/>
          </w:pPr>
          <w:r w:rsidRPr="001008B4">
            <w:t xml:space="preserve">This general permit does not authorize disposal of wastewater where prohibited by 30 TAC Chapter 213, </w:t>
          </w:r>
          <w:r w:rsidRPr="001008B4">
            <w:rPr>
              <w:i/>
            </w:rPr>
            <w:t>Edwards Aquifer</w:t>
          </w:r>
          <w:r w:rsidRPr="001008B4">
            <w:t xml:space="preserve">, 30 TAC Chapter 311, </w:t>
          </w:r>
          <w:r w:rsidRPr="001008B4">
            <w:rPr>
              <w:i/>
            </w:rPr>
            <w:t>Watershed Protection</w:t>
          </w:r>
          <w:r w:rsidRPr="001008B4">
            <w:t>, or any other state statute, rule, or regulation.</w:t>
          </w:r>
        </w:p>
        <w:p w14:paraId="1FCA3FFD" w14:textId="4E1EE2CA" w:rsidR="001D5B07" w:rsidRPr="001008B4" w:rsidRDefault="001D5B07" w:rsidP="0072475A">
          <w:pPr>
            <w:pStyle w:val="ListNumber2"/>
          </w:pPr>
          <w:r w:rsidRPr="001008B4">
            <w:t>The executive director shall deny or suspend a facility’s authorization for disposal under this general permit based on a rating of “unsatisfactory performer” according to commission rules in 30 TAC §</w:t>
          </w:r>
          <w:r w:rsidR="001008B4">
            <w:t xml:space="preserve"> </w:t>
          </w:r>
          <w:r w:rsidRPr="001008B4">
            <w:t xml:space="preserve">60.3, </w:t>
          </w:r>
          <w:r w:rsidRPr="001008B4">
            <w:rPr>
              <w:i/>
            </w:rPr>
            <w:t>Use of Compliance History</w:t>
          </w:r>
          <w:r w:rsidRPr="001008B4">
            <w:t>. The executive director shall deny an application for authorization under this general permit for any of the reasons described in 30 TAC §§</w:t>
          </w:r>
          <w:r w:rsidR="001008B4">
            <w:t xml:space="preserve"> </w:t>
          </w:r>
          <w:r w:rsidRPr="001008B4">
            <w:t xml:space="preserve">205.4(c)(2)(A) - (F). </w:t>
          </w:r>
          <w:r w:rsidRPr="001008B4">
            <w:rPr>
              <w:bCs/>
              <w:szCs w:val="20"/>
            </w:rPr>
            <w:t xml:space="preserve">An applicant who owns or operates a facility classified as an “unsatisfactory performer” is entitled to a hearing before the commission prior to having its </w:t>
          </w:r>
          <w:r w:rsidR="00EE3625">
            <w:rPr>
              <w:bCs/>
              <w:szCs w:val="20"/>
            </w:rPr>
            <w:t>authorization</w:t>
          </w:r>
          <w:r w:rsidR="00EE3625" w:rsidRPr="001008B4">
            <w:rPr>
              <w:bCs/>
              <w:szCs w:val="20"/>
            </w:rPr>
            <w:t xml:space="preserve"> </w:t>
          </w:r>
          <w:r w:rsidRPr="001008B4">
            <w:rPr>
              <w:bCs/>
              <w:szCs w:val="20"/>
            </w:rPr>
            <w:t>denied or suspended, in accordance with TWC, §</w:t>
          </w:r>
          <w:r w:rsidR="001008B4">
            <w:rPr>
              <w:bCs/>
              <w:szCs w:val="20"/>
            </w:rPr>
            <w:t xml:space="preserve"> </w:t>
          </w:r>
          <w:r w:rsidRPr="001008B4">
            <w:rPr>
              <w:bCs/>
              <w:szCs w:val="20"/>
            </w:rPr>
            <w:t xml:space="preserve">26.040(h). </w:t>
          </w:r>
          <w:r w:rsidRPr="001008B4">
            <w:t xml:space="preserve">Denial of authorization for disposal under this general permit will be done according to commission rules in 30 TAC Chapter 205, </w:t>
          </w:r>
          <w:r w:rsidRPr="001008B4">
            <w:rPr>
              <w:i/>
            </w:rPr>
            <w:t>General Permits for Waste Discharges</w:t>
          </w:r>
          <w:r w:rsidRPr="001008B4">
            <w:t xml:space="preserve">. </w:t>
          </w:r>
          <w:r w:rsidRPr="001008B4">
            <w:rPr>
              <w:szCs w:val="20"/>
            </w:rPr>
            <w:t xml:space="preserve">If authorization </w:t>
          </w:r>
          <w:r w:rsidRPr="001008B4">
            <w:t xml:space="preserve">for disposal </w:t>
          </w:r>
          <w:r w:rsidRPr="001008B4">
            <w:rPr>
              <w:szCs w:val="20"/>
            </w:rPr>
            <w:t>is denied under this general permit, the executive director may require the person whose authorization is denied to apply for an individual permit.</w:t>
          </w:r>
        </w:p>
        <w:p w14:paraId="2D05A327" w14:textId="6F72A4EB" w:rsidR="006C310D" w:rsidRPr="001008B4" w:rsidRDefault="001D5B07" w:rsidP="0072475A">
          <w:pPr>
            <w:pStyle w:val="ListNumber2"/>
          </w:pPr>
          <w:r w:rsidRPr="001008B4">
            <w:t xml:space="preserve">The executive director may deny an application for authorization under a general permit, and may require that the applicant apply for an individual permit, for any of the reasons described in </w:t>
          </w:r>
          <w:r w:rsidR="001008B4">
            <w:br/>
          </w:r>
          <w:r w:rsidRPr="001008B4">
            <w:t>30 TAC §§</w:t>
          </w:r>
          <w:r w:rsidR="001008B4">
            <w:t xml:space="preserve"> </w:t>
          </w:r>
          <w:r w:rsidRPr="001008B4">
            <w:t>205.4(c)(3)(A) - (F). Additionally, the executive director may cancel, revoke, or suspend authorization for disposal under this general permit based on a finding of historical and significant noncompliance with the provisions of this general permit.</w:t>
          </w:r>
        </w:p>
        <w:p w14:paraId="4C50EBA1" w14:textId="77777777" w:rsidR="0001110D" w:rsidRPr="001008B4" w:rsidRDefault="009477A1" w:rsidP="00B06411">
          <w:pPr>
            <w:pStyle w:val="Heading1"/>
            <w:tabs>
              <w:tab w:val="left" w:pos="540"/>
            </w:tabs>
            <w:spacing w:after="240"/>
            <w:rPr>
              <w:rFonts w:ascii="Lucida Bright" w:hAnsi="Lucida Bright"/>
              <w:szCs w:val="22"/>
            </w:rPr>
          </w:pPr>
          <w:r w:rsidRPr="001008B4">
            <w:rPr>
              <w:rFonts w:ascii="Lucida Bright" w:hAnsi="Lucida Bright"/>
              <w:szCs w:val="22"/>
            </w:rPr>
            <w:t>IV.</w:t>
          </w:r>
          <w:r w:rsidRPr="001008B4">
            <w:rPr>
              <w:rFonts w:ascii="Lucida Bright" w:hAnsi="Lucida Bright"/>
              <w:szCs w:val="22"/>
            </w:rPr>
            <w:tab/>
            <w:t xml:space="preserve">Permit </w:t>
          </w:r>
          <w:r w:rsidR="00450E27" w:rsidRPr="001008B4">
            <w:rPr>
              <w:rFonts w:ascii="Lucida Bright" w:hAnsi="Lucida Bright"/>
              <w:szCs w:val="22"/>
            </w:rPr>
            <w:t>L</w:t>
          </w:r>
          <w:r w:rsidRPr="001008B4">
            <w:rPr>
              <w:rFonts w:ascii="Lucida Bright" w:hAnsi="Lucida Bright"/>
              <w:szCs w:val="22"/>
            </w:rPr>
            <w:t>imitations</w:t>
          </w:r>
          <w:r w:rsidR="00D75265" w:rsidRPr="001008B4">
            <w:rPr>
              <w:rFonts w:ascii="Lucida Bright" w:hAnsi="Lucida Bright"/>
              <w:szCs w:val="22"/>
            </w:rPr>
            <w:t xml:space="preserve"> and Requirements</w:t>
          </w:r>
        </w:p>
        <w:p w14:paraId="576C5EDF" w14:textId="77777777" w:rsidR="001A5012" w:rsidRPr="001008B4" w:rsidRDefault="00E95502" w:rsidP="0072475A">
          <w:pPr>
            <w:pStyle w:val="ListNumber"/>
            <w:numPr>
              <w:ilvl w:val="0"/>
              <w:numId w:val="36"/>
            </w:numPr>
            <w:ind w:left="360"/>
          </w:pPr>
          <w:r w:rsidRPr="001008B4">
            <w:t xml:space="preserve">All </w:t>
          </w:r>
          <w:r w:rsidR="00E62D51" w:rsidRPr="001008B4">
            <w:t>evaporation ponds</w:t>
          </w:r>
          <w:r w:rsidRPr="001008B4">
            <w:t xml:space="preserve"> shall be designed </w:t>
          </w:r>
          <w:r w:rsidR="006A63EC" w:rsidRPr="001008B4">
            <w:t xml:space="preserve">by a licensed Texas professional engineer </w:t>
          </w:r>
          <w:r w:rsidRPr="001008B4">
            <w:t xml:space="preserve">and </w:t>
          </w:r>
          <w:r w:rsidR="0019235A" w:rsidRPr="001008B4">
            <w:t xml:space="preserve">be </w:t>
          </w:r>
          <w:r w:rsidR="00B8300A" w:rsidRPr="001008B4">
            <w:t xml:space="preserve">maintained to prevent any discharge </w:t>
          </w:r>
          <w:r w:rsidR="009D1CF6" w:rsidRPr="001008B4">
            <w:t>in</w:t>
          </w:r>
          <w:r w:rsidR="00B8300A" w:rsidRPr="001008B4">
            <w:t>to</w:t>
          </w:r>
          <w:r w:rsidR="009D1CF6" w:rsidRPr="001008B4">
            <w:t xml:space="preserve"> </w:t>
          </w:r>
          <w:r w:rsidR="00B8300A" w:rsidRPr="001008B4">
            <w:t>water in the state</w:t>
          </w:r>
          <w:r w:rsidR="009105F5" w:rsidRPr="001008B4">
            <w:t>.</w:t>
          </w:r>
        </w:p>
        <w:p w14:paraId="7380739D" w14:textId="77777777" w:rsidR="00F872C4" w:rsidRPr="001008B4" w:rsidRDefault="00B8641F" w:rsidP="0072475A">
          <w:pPr>
            <w:pStyle w:val="ListNumber"/>
          </w:pPr>
          <w:r w:rsidRPr="001008B4">
            <w:t>Evaporation pond</w:t>
          </w:r>
          <w:r w:rsidR="00533CD5" w:rsidRPr="001008B4">
            <w:t xml:space="preserve"> </w:t>
          </w:r>
          <w:r w:rsidRPr="001008B4">
            <w:t>sizing</w:t>
          </w:r>
          <w:r w:rsidR="00533CD5" w:rsidRPr="001008B4">
            <w:t xml:space="preserve"> shall be based on</w:t>
          </w:r>
          <w:r w:rsidR="003F17EB" w:rsidRPr="001008B4">
            <w:t xml:space="preserve"> </w:t>
          </w:r>
          <w:r w:rsidR="00CE06F1" w:rsidRPr="001008B4">
            <w:t xml:space="preserve">whichever of </w:t>
          </w:r>
          <w:r w:rsidR="006C1C22" w:rsidRPr="001008B4">
            <w:t xml:space="preserve">the </w:t>
          </w:r>
          <w:r w:rsidR="00CE06F1" w:rsidRPr="001008B4">
            <w:t>following two evaluations results in a larger capacity pond</w:t>
          </w:r>
          <w:r w:rsidR="00533CD5" w:rsidRPr="001008B4">
            <w:t>:</w:t>
          </w:r>
          <w:r w:rsidR="00CE06F1" w:rsidRPr="001008B4">
            <w:t xml:space="preserve"> a</w:t>
          </w:r>
          <w:r w:rsidR="00F872C4" w:rsidRPr="001008B4">
            <w:t xml:space="preserve">verage conditions </w:t>
          </w:r>
          <w:r w:rsidR="00166EAD" w:rsidRPr="001008B4">
            <w:t>or</w:t>
          </w:r>
          <w:r w:rsidR="00CE06F1" w:rsidRPr="001008B4">
            <w:t xml:space="preserve"> critical</w:t>
          </w:r>
          <w:r w:rsidR="00F872C4" w:rsidRPr="001008B4">
            <w:t xml:space="preserve"> conditions.</w:t>
          </w:r>
          <w:r w:rsidR="0019235A" w:rsidRPr="001008B4">
            <w:t xml:space="preserve"> Both evaluations must use the example water balances provided in Appendix A of the draft general permit. </w:t>
          </w:r>
          <w:r w:rsidR="000B5792" w:rsidRPr="001008B4">
            <w:t xml:space="preserve">For evaporation ponds that </w:t>
          </w:r>
          <w:r w:rsidR="00884141" w:rsidRPr="001008B4">
            <w:t>were</w:t>
          </w:r>
          <w:r w:rsidR="000B5792" w:rsidRPr="001008B4">
            <w:t xml:space="preserve"> constructed prior to </w:t>
          </w:r>
          <w:r w:rsidR="00884141" w:rsidRPr="001008B4">
            <w:t>September 15, 2015</w:t>
          </w:r>
          <w:r w:rsidR="000B5792" w:rsidRPr="001008B4">
            <w:t xml:space="preserve"> that do not comply with the sizing requirements</w:t>
          </w:r>
          <w:r w:rsidR="007C5CFD" w:rsidRPr="001008B4">
            <w:t>, the permittee shall implement measures or prov</w:t>
          </w:r>
          <w:r w:rsidR="00634BB4" w:rsidRPr="001008B4">
            <w:t xml:space="preserve">ide additional storage to store and </w:t>
          </w:r>
          <w:r w:rsidR="007C5CFD" w:rsidRPr="001008B4">
            <w:t>dispose of the additional wastewater</w:t>
          </w:r>
          <w:r w:rsidR="00634BB4" w:rsidRPr="001008B4">
            <w:t xml:space="preserve"> as provided in the draft general permit</w:t>
          </w:r>
          <w:r w:rsidR="007C5CFD" w:rsidRPr="001008B4">
            <w:t>.</w:t>
          </w:r>
        </w:p>
        <w:p w14:paraId="21E04FBD" w14:textId="77777777" w:rsidR="001A5012" w:rsidRPr="001008B4" w:rsidRDefault="001A5012" w:rsidP="0072475A">
          <w:pPr>
            <w:pStyle w:val="ListNumber"/>
          </w:pPr>
          <w:r w:rsidRPr="001008B4">
            <w:lastRenderedPageBreak/>
            <w:t xml:space="preserve">Evaporation ponds shall be designed with a volume allocation for </w:t>
          </w:r>
          <w:r w:rsidR="0019235A" w:rsidRPr="001008B4">
            <w:t>solids</w:t>
          </w:r>
          <w:r w:rsidRPr="001008B4">
            <w:t xml:space="preserve"> accumulation based on the expected settleable solids content of the wastewater.</w:t>
          </w:r>
          <w:r w:rsidR="005D2A5D" w:rsidRPr="001008B4">
            <w:t xml:space="preserve"> The design shall include a top freeboard of not less than two feet.</w:t>
          </w:r>
        </w:p>
        <w:p w14:paraId="355FC952" w14:textId="105838D8" w:rsidR="00886930" w:rsidRPr="001008B4" w:rsidRDefault="003328BF" w:rsidP="0072475A">
          <w:pPr>
            <w:pStyle w:val="ListNumber"/>
          </w:pPr>
          <w:r w:rsidRPr="001008B4">
            <w:t xml:space="preserve">All evaporation ponds shall be constructed according to requirements identified in the draft permit, except evaporation ponds for which: (1) a notification was provided to the TCEQ in accordance with 30 TAC </w:t>
          </w:r>
          <w:r w:rsidR="00545A0E" w:rsidRPr="001008B4">
            <w:t>§</w:t>
          </w:r>
          <w:r w:rsidR="001008B4">
            <w:t xml:space="preserve"> </w:t>
          </w:r>
          <w:r w:rsidRPr="001008B4">
            <w:t>335.2(</w:t>
          </w:r>
          <w:r w:rsidR="00F50015">
            <w:t>h</w:t>
          </w:r>
          <w:r w:rsidRPr="001008B4">
            <w:t xml:space="preserve">) and </w:t>
          </w:r>
          <w:r w:rsidR="00545A0E" w:rsidRPr="001008B4">
            <w:t>§</w:t>
          </w:r>
          <w:r w:rsidR="00F50015">
            <w:t xml:space="preserve"> </w:t>
          </w:r>
          <w:r w:rsidRPr="001008B4">
            <w:t xml:space="preserve">335.6 that was acknowledged, in writing, prior </w:t>
          </w:r>
          <w:r w:rsidR="00612DF3">
            <w:t xml:space="preserve">to </w:t>
          </w:r>
          <w:r w:rsidR="00884141" w:rsidRPr="001008B4">
            <w:t>September 15, 2015</w:t>
          </w:r>
          <w:r w:rsidRPr="001008B4">
            <w:t xml:space="preserve">; or (2) a water quality Texas Land Application Permit was issued prior to </w:t>
          </w:r>
          <w:r w:rsidR="00884141" w:rsidRPr="001008B4">
            <w:t>September 15, 2015</w:t>
          </w:r>
          <w:r w:rsidRPr="001008B4">
            <w:t>. The construction requirements include a pond liner, embankment wall construction and stabilization, loc</w:t>
          </w:r>
          <w:r w:rsidR="009E6F8C" w:rsidRPr="001008B4">
            <w:t>ation setbacks from water wells and odor receptors</w:t>
          </w:r>
          <w:r w:rsidRPr="001008B4">
            <w:t xml:space="preserve">. </w:t>
          </w:r>
        </w:p>
        <w:p w14:paraId="36BB2974" w14:textId="77777777" w:rsidR="00877DB6" w:rsidRPr="001008B4" w:rsidRDefault="00877DB6" w:rsidP="0072475A">
          <w:pPr>
            <w:pStyle w:val="ListNumber"/>
          </w:pPr>
          <w:r w:rsidRPr="001008B4">
            <w:t xml:space="preserve">The permittee shall measure the </w:t>
          </w:r>
          <w:r w:rsidR="00D95B5F" w:rsidRPr="001008B4">
            <w:t>solid</w:t>
          </w:r>
          <w:r w:rsidR="0019235A" w:rsidRPr="001008B4">
            <w:t>s</w:t>
          </w:r>
          <w:r w:rsidRPr="001008B4">
            <w:t xml:space="preserve"> volume in each evaporation pond every five years or at a frequency equal to the design period used to calculate the </w:t>
          </w:r>
          <w:r w:rsidR="0019235A" w:rsidRPr="001008B4">
            <w:t>solids</w:t>
          </w:r>
          <w:r w:rsidRPr="001008B4">
            <w:t xml:space="preserve"> volume allocati</w:t>
          </w:r>
          <w:r w:rsidR="00D95B5F" w:rsidRPr="001008B4">
            <w:t>on, whichever is sooner. S</w:t>
          </w:r>
          <w:r w:rsidR="0019235A" w:rsidRPr="001008B4">
            <w:t>olids</w:t>
          </w:r>
          <w:r w:rsidRPr="001008B4">
            <w:t xml:space="preserve"> shall be removed from the evaporation pond to prevent the </w:t>
          </w:r>
          <w:r w:rsidR="0019235A" w:rsidRPr="001008B4">
            <w:t>solids</w:t>
          </w:r>
          <w:r w:rsidRPr="001008B4">
            <w:t xml:space="preserve"> volume from exceeding the designed volume allocation for </w:t>
          </w:r>
          <w:r w:rsidR="0019235A" w:rsidRPr="001008B4">
            <w:t>solids</w:t>
          </w:r>
          <w:r w:rsidRPr="001008B4">
            <w:t xml:space="preserve"> accumulation.</w:t>
          </w:r>
        </w:p>
        <w:p w14:paraId="453218BD" w14:textId="77777777" w:rsidR="00D40B8B" w:rsidRPr="001008B4" w:rsidRDefault="00877DB6" w:rsidP="0072475A">
          <w:pPr>
            <w:pStyle w:val="ListNumber"/>
          </w:pPr>
          <w:r w:rsidRPr="001008B4">
            <w:t xml:space="preserve">Wastewater </w:t>
          </w:r>
          <w:r w:rsidR="00E738F6" w:rsidRPr="001008B4">
            <w:t xml:space="preserve">grab </w:t>
          </w:r>
          <w:r w:rsidRPr="001008B4">
            <w:t xml:space="preserve">samples shall be collected and analyzed quarterly </w:t>
          </w:r>
          <w:r w:rsidR="00166EAD" w:rsidRPr="001008B4">
            <w:t xml:space="preserve">for </w:t>
          </w:r>
          <w:r w:rsidRPr="001008B4">
            <w:t>pH, total suspended solids, and oil and grease.</w:t>
          </w:r>
          <w:r w:rsidR="00E95502" w:rsidRPr="001008B4">
            <w:t xml:space="preserve"> </w:t>
          </w:r>
        </w:p>
        <w:p w14:paraId="2DEBDD15" w14:textId="77777777" w:rsidR="00D40B8B" w:rsidRPr="001008B4" w:rsidRDefault="00D40B8B" w:rsidP="0072475A">
          <w:pPr>
            <w:pStyle w:val="ListNumber"/>
          </w:pPr>
          <w:r w:rsidRPr="001008B4">
            <w:t>The permittee shall make a visual inspection of each evaporation pond weekly and keep a record of inspections onsite for five years from the date of each inspection. The inspection shall document:</w:t>
          </w:r>
        </w:p>
        <w:p w14:paraId="4C8D40FA" w14:textId="77777777" w:rsidR="00D40B8B" w:rsidRPr="001008B4" w:rsidRDefault="00D40B8B" w:rsidP="0072475A">
          <w:pPr>
            <w:pStyle w:val="ListNumber2"/>
            <w:numPr>
              <w:ilvl w:val="0"/>
              <w:numId w:val="37"/>
            </w:numPr>
          </w:pPr>
          <w:r w:rsidRPr="001008B4">
            <w:t>the wastewater level;</w:t>
          </w:r>
        </w:p>
        <w:p w14:paraId="62028232" w14:textId="77777777" w:rsidR="00D40B8B" w:rsidRPr="001008B4" w:rsidRDefault="00D40B8B" w:rsidP="0072475A">
          <w:pPr>
            <w:pStyle w:val="ListNumber2"/>
          </w:pPr>
          <w:r w:rsidRPr="001008B4">
            <w:t>the presence of scum, floating solids, or floating vegetation;</w:t>
          </w:r>
        </w:p>
        <w:p w14:paraId="1549AE07" w14:textId="77777777" w:rsidR="00D40B8B" w:rsidRPr="001008B4" w:rsidRDefault="00D40B8B" w:rsidP="0072475A">
          <w:pPr>
            <w:pStyle w:val="ListNumber2"/>
          </w:pPr>
          <w:r w:rsidRPr="001008B4">
            <w:t xml:space="preserve">if erosion of the embankment has occurred;  </w:t>
          </w:r>
        </w:p>
        <w:p w14:paraId="46A611AB" w14:textId="77777777" w:rsidR="00D40B8B" w:rsidRPr="001008B4" w:rsidRDefault="00D40B8B" w:rsidP="0072475A">
          <w:pPr>
            <w:pStyle w:val="ListNumber2"/>
          </w:pPr>
          <w:r w:rsidRPr="001008B4">
            <w:t xml:space="preserve">if trees, shrubs, or other woody vegetation is growing in the evaporation pond or on the embankment; </w:t>
          </w:r>
        </w:p>
        <w:p w14:paraId="6C009FC4" w14:textId="77777777" w:rsidR="00D40B8B" w:rsidRPr="001008B4" w:rsidRDefault="00D40B8B" w:rsidP="0072475A">
          <w:pPr>
            <w:pStyle w:val="ListNumber2"/>
          </w:pPr>
          <w:r w:rsidRPr="001008B4">
            <w:t>if the synthetic liner is torn, punctured, or deteriorated; and</w:t>
          </w:r>
        </w:p>
        <w:p w14:paraId="6EFE0974" w14:textId="77777777" w:rsidR="00D40B8B" w:rsidRPr="001008B4" w:rsidRDefault="00634BB4" w:rsidP="0072475A">
          <w:pPr>
            <w:pStyle w:val="ListNumber2"/>
          </w:pPr>
          <w:r w:rsidRPr="001008B4">
            <w:t xml:space="preserve">if leak detection and </w:t>
          </w:r>
          <w:r w:rsidR="00D40B8B" w:rsidRPr="001008B4">
            <w:t xml:space="preserve">collection systems, if applicable, are in proper working condition and if a leak has occurred. </w:t>
          </w:r>
        </w:p>
        <w:p w14:paraId="22BD8CAC" w14:textId="77777777" w:rsidR="00D75265" w:rsidRPr="001008B4" w:rsidRDefault="00D40B8B" w:rsidP="0072475A">
          <w:pPr>
            <w:pStyle w:val="ListNumber"/>
          </w:pPr>
          <w:r w:rsidRPr="001008B4">
            <w:t>The permittee shall take corrective action within 24 hours after a visual inspection that identifies a wastewater level that may cause an overflow; scum, floating solids, or floating vegetation in the evaporation pond; embankment erosion; trees, shrubs, or other woody vegetation growing in the evaporation pond or the embankment; faulty leak detection systems; or leaks from the evaporation pond liner or embankment.</w:t>
          </w:r>
          <w:r w:rsidR="00D95B5F" w:rsidRPr="001008B4">
            <w:t xml:space="preserve"> Leaking evaporation ponds shall be removed from service either until repairs are made or replacements are constructed.</w:t>
          </w:r>
        </w:p>
        <w:p w14:paraId="5CCA5AC1" w14:textId="77777777" w:rsidR="00B550DD" w:rsidRPr="001008B4" w:rsidRDefault="009F05E9" w:rsidP="003B7276">
          <w:pPr>
            <w:pStyle w:val="Heading1"/>
            <w:tabs>
              <w:tab w:val="left" w:pos="540"/>
            </w:tabs>
            <w:spacing w:before="0" w:after="240"/>
            <w:rPr>
              <w:rFonts w:ascii="Lucida Bright" w:hAnsi="Lucida Bright"/>
              <w:szCs w:val="22"/>
            </w:rPr>
          </w:pPr>
          <w:r w:rsidRPr="001008B4">
            <w:rPr>
              <w:rFonts w:ascii="Lucida Bright" w:hAnsi="Lucida Bright"/>
              <w:szCs w:val="22"/>
            </w:rPr>
            <w:lastRenderedPageBreak/>
            <w:t>V</w:t>
          </w:r>
          <w:r w:rsidR="003072B0" w:rsidRPr="001008B4">
            <w:rPr>
              <w:rFonts w:ascii="Lucida Bright" w:hAnsi="Lucida Bright"/>
              <w:szCs w:val="22"/>
            </w:rPr>
            <w:t>.</w:t>
          </w:r>
          <w:r w:rsidR="003072B0" w:rsidRPr="001008B4">
            <w:rPr>
              <w:rFonts w:ascii="Lucida Bright" w:hAnsi="Lucida Bright"/>
              <w:szCs w:val="22"/>
            </w:rPr>
            <w:tab/>
          </w:r>
          <w:r w:rsidR="00B550DD" w:rsidRPr="001008B4">
            <w:rPr>
              <w:rFonts w:ascii="Lucida Bright" w:hAnsi="Lucida Bright"/>
              <w:szCs w:val="22"/>
            </w:rPr>
            <w:t>Changes From Existing General Permit</w:t>
          </w:r>
        </w:p>
        <w:p w14:paraId="55EAC3D9" w14:textId="79FED4CE" w:rsidR="00E15C61" w:rsidRDefault="00E15C61" w:rsidP="00952D26">
          <w:pPr>
            <w:pStyle w:val="ListNumber"/>
            <w:numPr>
              <w:ilvl w:val="0"/>
              <w:numId w:val="47"/>
            </w:numPr>
            <w:ind w:left="360"/>
          </w:pPr>
          <w:r>
            <w:t xml:space="preserve">Modified the definition for Permittee to specify, “Any person issued </w:t>
          </w:r>
          <w:r w:rsidRPr="00D50A93">
            <w:rPr>
              <w:u w:val="single"/>
            </w:rPr>
            <w:t>an individual permit or order</w:t>
          </w:r>
          <w:r w:rsidRPr="005823F9">
            <w:t xml:space="preserve"> </w:t>
          </w:r>
          <w:r>
            <w:t xml:space="preserve">or </w:t>
          </w:r>
          <w:r w:rsidRPr="00D50A93">
            <w:rPr>
              <w:u w:val="single"/>
            </w:rPr>
            <w:t>is authorized</w:t>
          </w:r>
          <w:r>
            <w:t xml:space="preserve"> [</w:t>
          </w:r>
          <w:r w:rsidRPr="00FE1592">
            <w:rPr>
              <w:strike/>
            </w:rPr>
            <w:t>covered</w:t>
          </w:r>
          <w:r>
            <w:t xml:space="preserve">] by a </w:t>
          </w:r>
          <w:r w:rsidRPr="00D50A93">
            <w:rPr>
              <w:u w:val="single"/>
            </w:rPr>
            <w:t>general</w:t>
          </w:r>
          <w:r>
            <w:t xml:space="preserve"> permit.”</w:t>
          </w:r>
        </w:p>
        <w:p w14:paraId="2A6851B2" w14:textId="4036E6C9" w:rsidR="00E15C61" w:rsidRDefault="00E15C61" w:rsidP="00E15C61">
          <w:pPr>
            <w:pStyle w:val="ListNumber"/>
          </w:pPr>
          <w:r>
            <w:t>Updated the word Coverage to Authorization through the draft permit.</w:t>
          </w:r>
        </w:p>
        <w:p w14:paraId="7F12E8C9" w14:textId="04FC43AC" w:rsidR="00E15C61" w:rsidRDefault="00E15C61" w:rsidP="00E15C61">
          <w:pPr>
            <w:pStyle w:val="ListNumber"/>
          </w:pPr>
          <w:r>
            <w:t>Updated Part II, Section B.1.d, to clarify that hazardous wastes as defined under 30 TAC 3</w:t>
          </w:r>
          <w:r w:rsidR="00B6777A">
            <w:t>30.3(</w:t>
          </w:r>
          <w:r w:rsidR="006C4D8E">
            <w:t>65</w:t>
          </w:r>
          <w:r>
            <w:t>) may not be authorized for disposal under this general permit.</w:t>
          </w:r>
        </w:p>
        <w:p w14:paraId="13796008" w14:textId="66C4C021" w:rsidR="00E15C61" w:rsidRDefault="00E15C61" w:rsidP="00E15C61">
          <w:pPr>
            <w:pStyle w:val="ListNumber"/>
          </w:pPr>
          <w:r>
            <w:t xml:space="preserve">Revised Part II, Section B.1, to include new provision II.B.1.e clarifying that wastewater which </w:t>
          </w:r>
          <w:r w:rsidRPr="00D15286">
            <w:t>emits one or more air contaminants as defined under Texas Clean Air Act Section 382.003(2) or combination of air contaminants in such concentration and of such duration that are or may tend to be injurious to or to adversely affect human health or welfare, animal life, vegetation, or property; or interfere with the normal use or enjoyment of animal life, vegetation, or property</w:t>
          </w:r>
          <w:r>
            <w:t xml:space="preserve"> may not be authorized for disposal under this general permit.</w:t>
          </w:r>
        </w:p>
        <w:p w14:paraId="3265D3DF" w14:textId="250B8ED4" w:rsidR="00E15C61" w:rsidRPr="002F7E4F" w:rsidRDefault="00E15C61" w:rsidP="00E15C61">
          <w:pPr>
            <w:pStyle w:val="ListNumber"/>
          </w:pPr>
          <w:r w:rsidRPr="002F7E4F">
            <w:t>Update</w:t>
          </w:r>
          <w:r>
            <w:t>d</w:t>
          </w:r>
          <w:r w:rsidRPr="002F7E4F">
            <w:t xml:space="preserve"> Part II, Section C.</w:t>
          </w:r>
          <w:r>
            <w:t>3</w:t>
          </w:r>
          <w:r w:rsidRPr="002F7E4F">
            <w:t>, with current contact information for the Edwards Aquifer Protection Program and corrected the counties listed in the general permit for consistency with requirements under 30 TAC Chapter 213, Edwards Aquifer.</w:t>
          </w:r>
        </w:p>
        <w:p w14:paraId="077DD800" w14:textId="77777777" w:rsidR="00E15C61" w:rsidRPr="002F7E4F" w:rsidRDefault="00E15C61" w:rsidP="00E15C61">
          <w:pPr>
            <w:pStyle w:val="ListNumber"/>
          </w:pPr>
          <w:r w:rsidRPr="002F7E4F">
            <w:t xml:space="preserve">Updated Part III, Section </w:t>
          </w:r>
          <w:r>
            <w:t>A</w:t>
          </w:r>
          <w:r w:rsidRPr="002F7E4F">
            <w:t>.</w:t>
          </w:r>
          <w:r>
            <w:t>7</w:t>
          </w:r>
          <w:r w:rsidRPr="002F7E4F">
            <w:t xml:space="preserve">.a, to </w:t>
          </w:r>
          <w:r>
            <w:t xml:space="preserve">add the option for email and </w:t>
          </w:r>
          <w:r w:rsidRPr="002F7E4F">
            <w:t>remove the option for FAX notification for consistency with 30 TAC § 305.125(9), Standard Permit Conditions.</w:t>
          </w:r>
        </w:p>
        <w:p w14:paraId="01D41E25" w14:textId="47731084" w:rsidR="00E15C61" w:rsidRDefault="00E15C61" w:rsidP="00E15C61">
          <w:pPr>
            <w:pStyle w:val="ListNumber"/>
          </w:pPr>
          <w:r>
            <w:t xml:space="preserve">Revised Part III, Section B.1.d, to clarify that the design of the evaporation pond shall include a top freeboard of not less than two feet above the normal operating level for consistency with </w:t>
          </w:r>
          <w:r w:rsidRPr="002F7E4F">
            <w:t xml:space="preserve">requirements under </w:t>
          </w:r>
          <w:r>
            <w:t xml:space="preserve">30 TAC </w:t>
          </w:r>
          <w:r w:rsidRPr="002F7E4F">
            <w:t xml:space="preserve">§ </w:t>
          </w:r>
          <w:r>
            <w:t>217.203, Design Criteria for Natural Treatment Systems.</w:t>
          </w:r>
        </w:p>
        <w:p w14:paraId="55A8B84B" w14:textId="5DD596F7" w:rsidR="008F73BF" w:rsidRDefault="008F73BF" w:rsidP="00E15C61">
          <w:pPr>
            <w:pStyle w:val="ListNumber"/>
          </w:pPr>
          <w:r>
            <w:t>Revise and restructure Part III, Section B.2, relating to evaporation pond construction requirement, as follows:</w:t>
          </w:r>
        </w:p>
        <w:p w14:paraId="0A3EA945" w14:textId="76E92401" w:rsidR="008F73BF" w:rsidRDefault="008F73BF" w:rsidP="008F73BF">
          <w:pPr>
            <w:pStyle w:val="ListNumber2"/>
            <w:numPr>
              <w:ilvl w:val="0"/>
              <w:numId w:val="48"/>
            </w:numPr>
          </w:pPr>
          <w:r>
            <w:t xml:space="preserve">Establish more stringent requirements for evaporation ponds constructed on or after the effective date of this permit to ensure consistency with design criteria under 30 TAC </w:t>
          </w:r>
          <w:r w:rsidRPr="002F7E4F">
            <w:rPr>
              <w:rFonts w:cs="Arial"/>
            </w:rPr>
            <w:t xml:space="preserve">§ </w:t>
          </w:r>
          <w:r>
            <w:t>217.203, Natural Treatment Systems, as follows:</w:t>
          </w:r>
        </w:p>
        <w:p w14:paraId="0EAFF8F7" w14:textId="77777777" w:rsidR="008F73BF" w:rsidRPr="0068797B" w:rsidRDefault="008F73BF" w:rsidP="00FE1592">
          <w:pPr>
            <w:pStyle w:val="ListNumber3"/>
          </w:pPr>
          <w:r>
            <w:t>soil liner material:</w:t>
          </w:r>
        </w:p>
        <w:p w14:paraId="0FEED0DC" w14:textId="77777777" w:rsidR="008F73BF" w:rsidRPr="001237B7" w:rsidRDefault="008F73BF" w:rsidP="00FE1592">
          <w:pPr>
            <w:pStyle w:val="ListNumber4"/>
          </w:pPr>
          <w:r>
            <w:t>clay-rich soil material should have a liquid limit greater than [</w:t>
          </w:r>
          <w:r w:rsidRPr="00130DBA">
            <w:rPr>
              <w:strike/>
            </w:rPr>
            <w:t>or equal to</w:t>
          </w:r>
          <w:r>
            <w:t>] 30</w:t>
          </w:r>
          <w:r w:rsidRPr="005823F9">
            <w:rPr>
              <w:u w:val="single"/>
            </w:rPr>
            <w:t>%</w:t>
          </w:r>
          <w:r>
            <w:t>;</w:t>
          </w:r>
        </w:p>
        <w:p w14:paraId="57CF3314" w14:textId="77777777" w:rsidR="008F73BF" w:rsidRDefault="008F73BF" w:rsidP="00FE1592">
          <w:pPr>
            <w:pStyle w:val="ListNumber4"/>
          </w:pPr>
          <w:r>
            <w:t>l</w:t>
          </w:r>
          <w:r w:rsidRPr="009D5DF7">
            <w:t xml:space="preserve">iner material shall be compacted in lifts of no more than </w:t>
          </w:r>
          <w:r w:rsidRPr="005823F9">
            <w:rPr>
              <w:u w:val="single"/>
            </w:rPr>
            <w:t>six</w:t>
          </w:r>
          <w:r>
            <w:t xml:space="preserve"> [</w:t>
          </w:r>
          <w:r w:rsidRPr="00130DBA">
            <w:rPr>
              <w:strike/>
            </w:rPr>
            <w:t>8</w:t>
          </w:r>
          <w:r>
            <w:t>]</w:t>
          </w:r>
          <w:r w:rsidRPr="009D5DF7">
            <w:t xml:space="preserve"> inches </w:t>
          </w:r>
          <w:r w:rsidRPr="005823F9">
            <w:rPr>
              <w:u w:val="single"/>
            </w:rPr>
            <w:t>after compaction</w:t>
          </w:r>
          <w:r w:rsidRPr="009D5DF7">
            <w:t xml:space="preserve"> to 95% standard proctor density at </w:t>
          </w:r>
          <w:r w:rsidRPr="005823F9">
            <w:rPr>
              <w:u w:val="single"/>
            </w:rPr>
            <w:t>-1 to +3%</w:t>
          </w:r>
          <w:r w:rsidRPr="009D5DF7">
            <w:t xml:space="preserve"> of optimum moisture</w:t>
          </w:r>
          <w:r>
            <w:t xml:space="preserve"> [</w:t>
          </w:r>
          <w:r w:rsidRPr="00130DBA">
            <w:rPr>
              <w:strike/>
            </w:rPr>
            <w:t>content</w:t>
          </w:r>
          <w:r>
            <w:t>]</w:t>
          </w:r>
          <w:r w:rsidRPr="009D5DF7">
            <w:t xml:space="preserve"> in accordance with ASTM D 698</w:t>
          </w:r>
          <w:r>
            <w:t xml:space="preserve">; </w:t>
          </w:r>
        </w:p>
        <w:p w14:paraId="42E77815" w14:textId="77777777" w:rsidR="008F73BF" w:rsidRDefault="008F73BF" w:rsidP="00FE1592">
          <w:pPr>
            <w:pStyle w:val="ListNumber3"/>
          </w:pPr>
          <w:r>
            <w:rPr>
              <w:rFonts w:cs="Arial"/>
            </w:rPr>
            <w:lastRenderedPageBreak/>
            <w:t>a</w:t>
          </w:r>
          <w:r w:rsidRPr="008C23CB">
            <w:rPr>
              <w:rFonts w:cs="Arial"/>
            </w:rPr>
            <w:t xml:space="preserve"> synthetic liner </w:t>
          </w:r>
          <w:r>
            <w:rPr>
              <w:rFonts w:cs="Arial"/>
            </w:rPr>
            <w:t>may not be</w:t>
          </w:r>
          <w:r w:rsidRPr="008C23CB">
            <w:t xml:space="preserve"> subject to degradation due to constant sunlight</w:t>
          </w:r>
          <w:r>
            <w:t>;</w:t>
          </w:r>
        </w:p>
        <w:p w14:paraId="44F69419" w14:textId="77777777" w:rsidR="008F73BF" w:rsidRPr="00AB3E90" w:rsidRDefault="008F73BF" w:rsidP="00FE1592">
          <w:pPr>
            <w:pStyle w:val="ListNumber3"/>
          </w:pPr>
          <w:r w:rsidRPr="0035229C">
            <w:t xml:space="preserve">the liner </w:t>
          </w:r>
          <w:r>
            <w:t>should</w:t>
          </w:r>
          <w:r w:rsidRPr="0035229C">
            <w:t xml:space="preserve"> extend from the lowest elevation in an evaporation pond up to an elevation of 2.0 feet above normal water elevation</w:t>
          </w:r>
          <w:r>
            <w:t>; and</w:t>
          </w:r>
        </w:p>
        <w:p w14:paraId="429C4E16" w14:textId="77777777" w:rsidR="008F73BF" w:rsidRPr="00AB3E90" w:rsidRDefault="008F73BF" w:rsidP="00FE1592">
          <w:pPr>
            <w:pStyle w:val="ListNumber3"/>
          </w:pPr>
          <w:r>
            <w:t>soil embankment walls:</w:t>
          </w:r>
        </w:p>
        <w:p w14:paraId="016C7504" w14:textId="77777777" w:rsidR="008F73BF" w:rsidRPr="00AB3E90" w:rsidRDefault="008F73BF" w:rsidP="00FE1592">
          <w:pPr>
            <w:pStyle w:val="ListNumber4"/>
          </w:pPr>
          <w:r>
            <w:t xml:space="preserve">shall have a top width of </w:t>
          </w:r>
          <w:r w:rsidRPr="00A76283">
            <w:rPr>
              <w:u w:val="single"/>
            </w:rPr>
            <w:t>ten</w:t>
          </w:r>
          <w:r>
            <w:t xml:space="preserve"> [</w:t>
          </w:r>
          <w:r w:rsidRPr="00130DBA">
            <w:rPr>
              <w:strike/>
            </w:rPr>
            <w:t>five</w:t>
          </w:r>
          <w:r>
            <w:t xml:space="preserve">] feet; </w:t>
          </w:r>
        </w:p>
        <w:p w14:paraId="38D1D7D2" w14:textId="77777777" w:rsidR="008F73BF" w:rsidRPr="00AB3E90" w:rsidRDefault="008F73BF" w:rsidP="00FE1592">
          <w:pPr>
            <w:pStyle w:val="ListNumber4"/>
          </w:pPr>
          <w:r>
            <w:t xml:space="preserve">shall have </w:t>
          </w:r>
          <w:r w:rsidRPr="007E4CA2">
            <w:t xml:space="preserve">interior and exterior slopes no steeper than one foot vertical to </w:t>
          </w:r>
          <w:r w:rsidRPr="00A76283">
            <w:rPr>
              <w:u w:val="single"/>
            </w:rPr>
            <w:t>four</w:t>
          </w:r>
          <w:r>
            <w:t xml:space="preserve"> [</w:t>
          </w:r>
          <w:r w:rsidRPr="00130DBA">
            <w:rPr>
              <w:strike/>
            </w:rPr>
            <w:t>three</w:t>
          </w:r>
          <w:r>
            <w:t xml:space="preserve">] </w:t>
          </w:r>
          <w:r w:rsidRPr="0014739E">
            <w:t>feet horizontal</w:t>
          </w:r>
          <w:r>
            <w:t>,</w:t>
          </w:r>
          <w:r w:rsidRPr="0014739E">
            <w:t xml:space="preserve"> unless alternate methods of slope stabilization are utilized</w:t>
          </w:r>
          <w:r>
            <w:t>;</w:t>
          </w:r>
        </w:p>
        <w:p w14:paraId="65516410" w14:textId="77777777" w:rsidR="008F73BF" w:rsidRPr="00AB3E90" w:rsidRDefault="008F73BF" w:rsidP="00FE1592">
          <w:pPr>
            <w:pStyle w:val="ListNumber4"/>
          </w:pPr>
          <w:r w:rsidRPr="0014739E">
            <w:t xml:space="preserve">must be constructed of material compacted in lifts no greater than six inches to 95% standard proctor density at </w:t>
          </w:r>
          <w:r w:rsidRPr="00A76283">
            <w:rPr>
              <w:u w:val="single"/>
            </w:rPr>
            <w:t>-</w:t>
          </w:r>
          <w:r w:rsidRPr="0014739E">
            <w:t xml:space="preserve">1% to </w:t>
          </w:r>
          <w:r w:rsidRPr="00A76283">
            <w:rPr>
              <w:u w:val="single"/>
            </w:rPr>
            <w:t>+</w:t>
          </w:r>
          <w:r w:rsidRPr="0014739E">
            <w:t>3% of optimum moisture</w:t>
          </w:r>
          <w:r>
            <w:t xml:space="preserve">; and </w:t>
          </w:r>
        </w:p>
        <w:p w14:paraId="55071B80" w14:textId="4012424F" w:rsidR="008F73BF" w:rsidRDefault="008F73BF" w:rsidP="008F73BF">
          <w:pPr>
            <w:pStyle w:val="ListNumber4"/>
          </w:pPr>
          <w:r w:rsidRPr="0014739E">
            <w:t xml:space="preserve">shall be protected by a vegetative cover </w:t>
          </w:r>
          <w:r w:rsidRPr="00A76283">
            <w:rPr>
              <w:u w:val="single"/>
            </w:rPr>
            <w:t>with a minimum cover of 6.0 inches of topsoil</w:t>
          </w:r>
          <w:r w:rsidRPr="0014739E">
            <w:t xml:space="preserve"> or other stabilizing material, excluding brush and trees, to prevent erosion</w:t>
          </w:r>
          <w:r>
            <w:t>.</w:t>
          </w:r>
        </w:p>
        <w:p w14:paraId="230D1008" w14:textId="32307827" w:rsidR="008F73BF" w:rsidRDefault="008F73BF" w:rsidP="008F73BF">
          <w:pPr>
            <w:pStyle w:val="ListNumber2"/>
          </w:pPr>
          <w:r>
            <w:t>Restructure and revise existing requirements to improve readability and clarify applicability, as follows:</w:t>
          </w:r>
        </w:p>
        <w:p w14:paraId="0C3B5CAA" w14:textId="77777777" w:rsidR="008F73BF" w:rsidRPr="001169D8" w:rsidRDefault="008F73BF" w:rsidP="00FE1592">
          <w:pPr>
            <w:pStyle w:val="ListNumber3"/>
          </w:pPr>
          <w:r>
            <w:t>Number existing requirement (previously contained within B.2) relating to e</w:t>
          </w:r>
          <w:r w:rsidRPr="00094329">
            <w:t xml:space="preserve">vaporation ponds </w:t>
          </w:r>
          <w:r>
            <w:t xml:space="preserve">constructed prior to September 15, 2015, as B.2.a. </w:t>
          </w:r>
          <w:r w:rsidRPr="001169D8">
            <w:t xml:space="preserve">Additionally, </w:t>
          </w:r>
          <w:r>
            <w:t>revise</w:t>
          </w:r>
          <w:r w:rsidRPr="001169D8">
            <w:t xml:space="preserve"> existing requirement language with current citation references for consistency with 30 TAC </w:t>
          </w:r>
          <w:r w:rsidRPr="001169D8">
            <w:rPr>
              <w:rFonts w:cs="Arial"/>
            </w:rPr>
            <w:t xml:space="preserve">§ </w:t>
          </w:r>
          <w:r w:rsidRPr="001169D8">
            <w:t>355.2, Permit Required</w:t>
          </w:r>
          <w:r>
            <w:t xml:space="preserve"> and to clarify applicability.</w:t>
          </w:r>
        </w:p>
        <w:p w14:paraId="5C5EA9DE" w14:textId="77777777" w:rsidR="008F73BF" w:rsidRDefault="008F73BF" w:rsidP="00FE1592">
          <w:pPr>
            <w:pStyle w:val="ListNumber3"/>
          </w:pPr>
          <w:r>
            <w:t>Number the existing requirement (previously contained within B.2) relating to e</w:t>
          </w:r>
          <w:r w:rsidRPr="00094329">
            <w:t>vaporation ponds that contain coal combustion residual</w:t>
          </w:r>
          <w:r>
            <w:t>s as B.2.b.</w:t>
          </w:r>
        </w:p>
        <w:p w14:paraId="36A79623" w14:textId="77777777" w:rsidR="008F73BF" w:rsidRPr="001169D8" w:rsidRDefault="008F73BF" w:rsidP="00FE1592">
          <w:pPr>
            <w:pStyle w:val="ListNumber3"/>
          </w:pPr>
          <w:r>
            <w:t xml:space="preserve">Renumber existing requirements (previously B.2.a, B.2.a(1) and (2)), relating to soil and synthetic liner requirements, as B.2.c(1), B.2.c(1)(a) and (b). </w:t>
          </w:r>
          <w:r w:rsidRPr="001169D8">
            <w:t>Revise B.2.c(1) to specify applicability of the existing requirements to evaporation ponds constructed on or after September 15, 2015, and prior to September 15, 2025.</w:t>
          </w:r>
        </w:p>
        <w:p w14:paraId="563787DE" w14:textId="77777777" w:rsidR="008F73BF" w:rsidRDefault="008F73BF" w:rsidP="00FE1592">
          <w:pPr>
            <w:pStyle w:val="ListNumber3"/>
          </w:pPr>
          <w:r>
            <w:t>Add new provisions B.2.c(2), B.2.c(2)(a) and B.2.c(2)(b), to establish more stringent liner</w:t>
          </w:r>
          <w:r w:rsidRPr="00902328">
            <w:t xml:space="preserve"> </w:t>
          </w:r>
          <w:r w:rsidRPr="00130DBA">
            <w:t>requirements</w:t>
          </w:r>
          <w:r>
            <w:t xml:space="preserve"> </w:t>
          </w:r>
          <w:r w:rsidRPr="00130DBA">
            <w:t>for</w:t>
          </w:r>
          <w:r>
            <w:t xml:space="preserve"> </w:t>
          </w:r>
          <w:r w:rsidRPr="00902328">
            <w:t>evaporation pond</w:t>
          </w:r>
          <w:r>
            <w:t>s</w:t>
          </w:r>
          <w:r w:rsidRPr="00902328">
            <w:t xml:space="preserve"> constructed on or after September 15, 202</w:t>
          </w:r>
          <w:r>
            <w:t>5 (see items described under item 7.a above).</w:t>
          </w:r>
        </w:p>
        <w:p w14:paraId="2B64309B" w14:textId="77777777" w:rsidR="008F73BF" w:rsidRPr="00306B69" w:rsidRDefault="008F73BF" w:rsidP="00FE1592">
          <w:pPr>
            <w:pStyle w:val="ListNumber3"/>
          </w:pPr>
          <w:r w:rsidRPr="001169D8">
            <w:t xml:space="preserve">Consolidate and renumber existing provisions </w:t>
          </w:r>
          <w:r>
            <w:t xml:space="preserve">(previously </w:t>
          </w:r>
          <w:r w:rsidRPr="001169D8">
            <w:t>B.2.b, B.2.c, and B.2.d</w:t>
          </w:r>
          <w:r>
            <w:t>)</w:t>
          </w:r>
          <w:r w:rsidRPr="001169D8">
            <w:t xml:space="preserve">, relating to construction requirements for leak detection systems, soil embankment walls, and buffer requirements, as new B.2.d(1), B.2.d(2), and </w:t>
          </w:r>
          <w:r w:rsidRPr="001169D8">
            <w:lastRenderedPageBreak/>
            <w:t xml:space="preserve">B.2.d(3), respectively. </w:t>
          </w:r>
          <w:r>
            <w:t xml:space="preserve">Revise B.2.d to specify applicability of the provisions to </w:t>
          </w:r>
          <w:r w:rsidRPr="00902328">
            <w:t>evaporation pond</w:t>
          </w:r>
          <w:r>
            <w:t>s</w:t>
          </w:r>
          <w:r w:rsidRPr="00902328">
            <w:t xml:space="preserve"> constructed on or after September 15, 2015</w:t>
          </w:r>
          <w:r>
            <w:t>.</w:t>
          </w:r>
        </w:p>
        <w:p w14:paraId="15D26DCC" w14:textId="5F83607E" w:rsidR="008F73BF" w:rsidRDefault="008F73BF" w:rsidP="008F73BF">
          <w:pPr>
            <w:pStyle w:val="ListNumber3"/>
          </w:pPr>
          <w:r>
            <w:t>Subsequent existing requirements were reorganized and renumbered.</w:t>
          </w:r>
        </w:p>
        <w:p w14:paraId="590B7ABD" w14:textId="11602ABD" w:rsidR="008F73BF" w:rsidRDefault="008F73BF" w:rsidP="00FE1592">
          <w:pPr>
            <w:pStyle w:val="ListNumber2"/>
          </w:pPr>
          <w:r w:rsidRPr="00226CC3">
            <w:t xml:space="preserve">Update </w:t>
          </w:r>
          <w:r>
            <w:t xml:space="preserve">existing provision </w:t>
          </w:r>
          <w:r w:rsidRPr="00226CC3">
            <w:t>B.2.d</w:t>
          </w:r>
          <w:r>
            <w:t>(1), relating to leak detection systems</w:t>
          </w:r>
          <w:r w:rsidRPr="00226CC3">
            <w:t xml:space="preserve"> (formerly B.2.b), to clarify that the engineering report and certification required by this general permit must be submitted to the appropriate TCEQ Regional Office prior to putting an evaporation pond into service for consistency with 30 TAC § 217.10, Final Engineering Report.</w:t>
          </w:r>
        </w:p>
        <w:p w14:paraId="4CF84409" w14:textId="22CE4155" w:rsidR="00E15C61" w:rsidRDefault="00F50015" w:rsidP="00E15C61">
          <w:pPr>
            <w:pStyle w:val="ListNumber"/>
          </w:pPr>
          <w:r>
            <w:t>t</w:t>
          </w:r>
          <w:r w:rsidR="00E15C61">
            <w:t>.</w:t>
          </w:r>
        </w:p>
        <w:p w14:paraId="6B56F9FD" w14:textId="0C7C16B9" w:rsidR="00E15C61" w:rsidRDefault="00E15C61" w:rsidP="00E15C61">
          <w:pPr>
            <w:pStyle w:val="ListNumber"/>
          </w:pPr>
          <w:r w:rsidRPr="002F7E4F">
            <w:t>Update</w:t>
          </w:r>
          <w:r>
            <w:t>d</w:t>
          </w:r>
          <w:r w:rsidRPr="002F7E4F">
            <w:t xml:space="preserve"> Part II</w:t>
          </w:r>
          <w:r>
            <w:t>I</w:t>
          </w:r>
          <w:r w:rsidRPr="002F7E4F">
            <w:t>, Section C.</w:t>
          </w:r>
          <w:r>
            <w:t>3.d</w:t>
          </w:r>
          <w:r w:rsidRPr="002F7E4F">
            <w:t xml:space="preserve">, </w:t>
          </w:r>
          <w:r>
            <w:t>from Texas Health and Safety Code Chapter 361, Solid Waste Disposal Act, to 30 TAC Chapter 330, Municipal Solid Waste</w:t>
          </w:r>
          <w:r w:rsidRPr="002F7E4F">
            <w:t>.</w:t>
          </w:r>
        </w:p>
        <w:p w14:paraId="78699496" w14:textId="5D920370" w:rsidR="00E15C61" w:rsidRPr="00451E96" w:rsidRDefault="00E15C61" w:rsidP="00451E96">
          <w:pPr>
            <w:pStyle w:val="ListNumber"/>
          </w:pPr>
          <w:r>
            <w:t>Other non-substantive changes.</w:t>
          </w:r>
        </w:p>
        <w:p w14:paraId="7A41C98D" w14:textId="77777777" w:rsidR="003072B0" w:rsidRPr="001008B4" w:rsidRDefault="00B550DD" w:rsidP="003B7276">
          <w:pPr>
            <w:pStyle w:val="Heading1"/>
            <w:tabs>
              <w:tab w:val="left" w:pos="540"/>
            </w:tabs>
            <w:spacing w:before="0" w:after="240"/>
            <w:rPr>
              <w:rFonts w:ascii="Lucida Bright" w:hAnsi="Lucida Bright"/>
              <w:szCs w:val="22"/>
            </w:rPr>
          </w:pPr>
          <w:r w:rsidRPr="001008B4">
            <w:rPr>
              <w:rFonts w:ascii="Lucida Bright" w:hAnsi="Lucida Bright"/>
              <w:szCs w:val="22"/>
            </w:rPr>
            <w:t>VI.</w:t>
          </w:r>
          <w:r w:rsidRPr="001008B4">
            <w:rPr>
              <w:rFonts w:ascii="Lucida Bright" w:hAnsi="Lucida Bright"/>
              <w:szCs w:val="22"/>
            </w:rPr>
            <w:tab/>
          </w:r>
          <w:r w:rsidR="003072B0" w:rsidRPr="001008B4">
            <w:rPr>
              <w:rFonts w:ascii="Lucida Bright" w:hAnsi="Lucida Bright"/>
              <w:szCs w:val="22"/>
            </w:rPr>
            <w:t>Addresses</w:t>
          </w:r>
        </w:p>
        <w:p w14:paraId="48DE2766" w14:textId="77777777" w:rsidR="0086433B" w:rsidRPr="001008B4" w:rsidRDefault="0086433B" w:rsidP="00CF775D">
          <w:pPr>
            <w:tabs>
              <w:tab w:val="left" w:pos="540"/>
            </w:tabs>
            <w:spacing w:after="240"/>
            <w:ind w:left="540"/>
            <w:rPr>
              <w:rFonts w:ascii="Lucida Bright" w:hAnsi="Lucida Bright"/>
              <w:sz w:val="22"/>
              <w:szCs w:val="22"/>
            </w:rPr>
          </w:pPr>
          <w:r w:rsidRPr="001008B4">
            <w:rPr>
              <w:rFonts w:ascii="Lucida Bright" w:hAnsi="Lucida Bright"/>
              <w:sz w:val="22"/>
              <w:szCs w:val="22"/>
            </w:rPr>
            <w:t>Questions concerning this draft general permit should be directed to:</w:t>
          </w:r>
        </w:p>
        <w:p w14:paraId="0D9A5397" w14:textId="28583753" w:rsidR="0086433B" w:rsidRPr="001008B4" w:rsidRDefault="001008B4" w:rsidP="00CF775D">
          <w:pPr>
            <w:tabs>
              <w:tab w:val="left" w:pos="1080"/>
            </w:tabs>
            <w:ind w:left="1080"/>
            <w:rPr>
              <w:rFonts w:ascii="Lucida Bright" w:hAnsi="Lucida Bright"/>
              <w:sz w:val="22"/>
              <w:szCs w:val="22"/>
            </w:rPr>
          </w:pPr>
          <w:r>
            <w:rPr>
              <w:rFonts w:ascii="Lucida Bright" w:hAnsi="Lucida Bright"/>
              <w:sz w:val="22"/>
              <w:szCs w:val="22"/>
            </w:rPr>
            <w:t>Shannon Gibson</w:t>
          </w:r>
        </w:p>
        <w:p w14:paraId="74859208" w14:textId="77777777" w:rsidR="0086433B" w:rsidRPr="001008B4" w:rsidRDefault="00081AF4" w:rsidP="00CF775D">
          <w:pPr>
            <w:tabs>
              <w:tab w:val="left" w:pos="1080"/>
            </w:tabs>
            <w:ind w:left="1080"/>
            <w:rPr>
              <w:rFonts w:ascii="Lucida Bright" w:hAnsi="Lucida Bright"/>
              <w:sz w:val="22"/>
              <w:szCs w:val="22"/>
            </w:rPr>
          </w:pPr>
          <w:r w:rsidRPr="001008B4">
            <w:rPr>
              <w:rFonts w:ascii="Lucida Bright" w:hAnsi="Lucida Bright"/>
              <w:sz w:val="22"/>
              <w:szCs w:val="22"/>
            </w:rPr>
            <w:t>Wastewater Permitting</w:t>
          </w:r>
          <w:r w:rsidR="0086433B" w:rsidRPr="001008B4">
            <w:rPr>
              <w:rFonts w:ascii="Lucida Bright" w:hAnsi="Lucida Bright"/>
              <w:sz w:val="22"/>
              <w:szCs w:val="22"/>
            </w:rPr>
            <w:t xml:space="preserve"> Section (MC-</w:t>
          </w:r>
          <w:r w:rsidRPr="001008B4">
            <w:rPr>
              <w:rFonts w:ascii="Lucida Bright" w:hAnsi="Lucida Bright"/>
              <w:sz w:val="22"/>
              <w:szCs w:val="22"/>
            </w:rPr>
            <w:t>148</w:t>
          </w:r>
          <w:r w:rsidR="0086433B" w:rsidRPr="001008B4">
            <w:rPr>
              <w:rFonts w:ascii="Lucida Bright" w:hAnsi="Lucida Bright"/>
              <w:sz w:val="22"/>
              <w:szCs w:val="22"/>
            </w:rPr>
            <w:t>)</w:t>
          </w:r>
        </w:p>
        <w:p w14:paraId="4340365D" w14:textId="77777777" w:rsidR="0086433B" w:rsidRPr="001008B4" w:rsidRDefault="00B9220D" w:rsidP="00CF775D">
          <w:pPr>
            <w:tabs>
              <w:tab w:val="left" w:pos="1080"/>
            </w:tabs>
            <w:ind w:left="1080"/>
            <w:rPr>
              <w:rFonts w:ascii="Lucida Bright" w:hAnsi="Lucida Bright"/>
              <w:sz w:val="22"/>
              <w:szCs w:val="22"/>
            </w:rPr>
          </w:pPr>
          <w:r w:rsidRPr="001008B4">
            <w:rPr>
              <w:rFonts w:ascii="Lucida Bright" w:hAnsi="Lucida Bright"/>
              <w:sz w:val="22"/>
              <w:szCs w:val="22"/>
            </w:rPr>
            <w:t>TCEQ</w:t>
          </w:r>
          <w:r w:rsidR="0086433B" w:rsidRPr="001008B4">
            <w:rPr>
              <w:rFonts w:ascii="Lucida Bright" w:hAnsi="Lucida Bright"/>
              <w:sz w:val="22"/>
              <w:szCs w:val="22"/>
            </w:rPr>
            <w:t xml:space="preserve"> </w:t>
          </w:r>
        </w:p>
        <w:p w14:paraId="11727890" w14:textId="77777777" w:rsidR="0086433B" w:rsidRPr="001008B4" w:rsidRDefault="0086433B" w:rsidP="00CF775D">
          <w:pPr>
            <w:tabs>
              <w:tab w:val="left" w:pos="1080"/>
            </w:tabs>
            <w:ind w:left="1080"/>
            <w:rPr>
              <w:rFonts w:ascii="Lucida Bright" w:hAnsi="Lucida Bright"/>
              <w:sz w:val="22"/>
              <w:szCs w:val="22"/>
            </w:rPr>
          </w:pPr>
          <w:r w:rsidRPr="001008B4">
            <w:rPr>
              <w:rFonts w:ascii="Lucida Bright" w:hAnsi="Lucida Bright"/>
              <w:sz w:val="22"/>
              <w:szCs w:val="22"/>
            </w:rPr>
            <w:t>P.O. Box 13087</w:t>
          </w:r>
        </w:p>
        <w:p w14:paraId="6F87D991" w14:textId="77777777" w:rsidR="0086433B" w:rsidRPr="001008B4" w:rsidRDefault="0086433B" w:rsidP="00CF775D">
          <w:pPr>
            <w:tabs>
              <w:tab w:val="left" w:pos="1080"/>
            </w:tabs>
            <w:ind w:left="1080"/>
            <w:rPr>
              <w:rFonts w:ascii="Lucida Bright" w:hAnsi="Lucida Bright"/>
              <w:sz w:val="22"/>
              <w:szCs w:val="22"/>
            </w:rPr>
          </w:pPr>
          <w:r w:rsidRPr="001008B4">
            <w:rPr>
              <w:rFonts w:ascii="Lucida Bright" w:hAnsi="Lucida Bright"/>
              <w:sz w:val="22"/>
              <w:szCs w:val="22"/>
            </w:rPr>
            <w:t>Austin, TX 78711-3087</w:t>
          </w:r>
        </w:p>
        <w:p w14:paraId="49B284CA" w14:textId="7DCAA674" w:rsidR="003072B0" w:rsidRPr="001008B4" w:rsidRDefault="0086433B" w:rsidP="00CF775D">
          <w:pPr>
            <w:tabs>
              <w:tab w:val="left" w:pos="1080"/>
            </w:tabs>
            <w:spacing w:after="240"/>
            <w:ind w:left="1080"/>
            <w:rPr>
              <w:rFonts w:ascii="Lucida Bright" w:hAnsi="Lucida Bright"/>
              <w:sz w:val="22"/>
              <w:szCs w:val="22"/>
            </w:rPr>
          </w:pPr>
          <w:r w:rsidRPr="001008B4">
            <w:rPr>
              <w:rFonts w:ascii="Lucida Bright" w:hAnsi="Lucida Bright"/>
              <w:sz w:val="22"/>
              <w:szCs w:val="22"/>
            </w:rPr>
            <w:t xml:space="preserve">(512) 239- </w:t>
          </w:r>
          <w:r w:rsidR="001008B4">
            <w:rPr>
              <w:rFonts w:ascii="Lucida Bright" w:hAnsi="Lucida Bright"/>
              <w:sz w:val="22"/>
              <w:szCs w:val="22"/>
            </w:rPr>
            <w:t>4284</w:t>
          </w:r>
        </w:p>
        <w:p w14:paraId="609D0FA0" w14:textId="77777777" w:rsidR="003072B0" w:rsidRPr="001008B4" w:rsidRDefault="003072B0" w:rsidP="00CF775D">
          <w:pPr>
            <w:tabs>
              <w:tab w:val="left" w:pos="540"/>
            </w:tabs>
            <w:spacing w:after="240"/>
            <w:ind w:left="540"/>
            <w:rPr>
              <w:rFonts w:ascii="Lucida Bright" w:hAnsi="Lucida Bright"/>
              <w:sz w:val="22"/>
              <w:szCs w:val="22"/>
            </w:rPr>
          </w:pPr>
          <w:r w:rsidRPr="001008B4">
            <w:rPr>
              <w:rFonts w:ascii="Lucida Bright" w:hAnsi="Lucida Bright"/>
              <w:sz w:val="22"/>
              <w:szCs w:val="22"/>
            </w:rPr>
            <w:t>Comments regarding this proposed draft general permit should be sent to:</w:t>
          </w:r>
        </w:p>
        <w:p w14:paraId="046D4997" w14:textId="77777777" w:rsidR="003072B0" w:rsidRPr="001008B4" w:rsidRDefault="003072B0" w:rsidP="00CF775D">
          <w:pPr>
            <w:tabs>
              <w:tab w:val="left" w:pos="1080"/>
            </w:tabs>
            <w:ind w:left="1080"/>
            <w:rPr>
              <w:rFonts w:ascii="Lucida Bright" w:hAnsi="Lucida Bright"/>
              <w:sz w:val="22"/>
              <w:szCs w:val="22"/>
            </w:rPr>
          </w:pPr>
          <w:r w:rsidRPr="001008B4">
            <w:rPr>
              <w:rFonts w:ascii="Lucida Bright" w:hAnsi="Lucida Bright"/>
              <w:sz w:val="22"/>
              <w:szCs w:val="22"/>
            </w:rPr>
            <w:t>Chief Clerk’s Office (MC-105)</w:t>
          </w:r>
        </w:p>
        <w:p w14:paraId="6FACDEE0" w14:textId="77777777" w:rsidR="003072B0" w:rsidRPr="001008B4" w:rsidRDefault="003072B0" w:rsidP="00CF775D">
          <w:pPr>
            <w:tabs>
              <w:tab w:val="left" w:pos="1080"/>
            </w:tabs>
            <w:ind w:left="1080"/>
            <w:rPr>
              <w:rFonts w:ascii="Lucida Bright" w:hAnsi="Lucida Bright"/>
              <w:sz w:val="22"/>
              <w:szCs w:val="22"/>
            </w:rPr>
          </w:pPr>
          <w:r w:rsidRPr="001008B4">
            <w:rPr>
              <w:rFonts w:ascii="Lucida Bright" w:hAnsi="Lucida Bright"/>
              <w:sz w:val="22"/>
              <w:szCs w:val="22"/>
            </w:rPr>
            <w:t>TCEQ</w:t>
          </w:r>
        </w:p>
        <w:p w14:paraId="55EF19FB" w14:textId="77777777" w:rsidR="003072B0" w:rsidRPr="001008B4" w:rsidRDefault="003072B0" w:rsidP="00CF775D">
          <w:pPr>
            <w:tabs>
              <w:tab w:val="left" w:pos="1080"/>
            </w:tabs>
            <w:ind w:left="1080"/>
            <w:rPr>
              <w:rFonts w:ascii="Lucida Bright" w:hAnsi="Lucida Bright"/>
              <w:sz w:val="22"/>
              <w:szCs w:val="22"/>
            </w:rPr>
          </w:pPr>
          <w:r w:rsidRPr="001008B4">
            <w:rPr>
              <w:rFonts w:ascii="Lucida Bright" w:hAnsi="Lucida Bright"/>
              <w:sz w:val="22"/>
              <w:szCs w:val="22"/>
            </w:rPr>
            <w:t>P.O. Box 13087</w:t>
          </w:r>
        </w:p>
        <w:p w14:paraId="50C48D85" w14:textId="77777777" w:rsidR="003170A2" w:rsidRPr="001008B4" w:rsidRDefault="003072B0" w:rsidP="00CF775D">
          <w:pPr>
            <w:tabs>
              <w:tab w:val="left" w:pos="1080"/>
            </w:tabs>
            <w:spacing w:after="240"/>
            <w:ind w:left="1080"/>
            <w:rPr>
              <w:rFonts w:ascii="Lucida Bright" w:hAnsi="Lucida Bright"/>
              <w:sz w:val="22"/>
              <w:szCs w:val="22"/>
            </w:rPr>
          </w:pPr>
          <w:r w:rsidRPr="001008B4">
            <w:rPr>
              <w:rFonts w:ascii="Lucida Bright" w:hAnsi="Lucida Bright"/>
              <w:sz w:val="22"/>
              <w:szCs w:val="22"/>
            </w:rPr>
            <w:t xml:space="preserve">Austin, TX 78711-3087 </w:t>
          </w:r>
        </w:p>
        <w:p w14:paraId="1F761144" w14:textId="77777777" w:rsidR="0086433B" w:rsidRPr="001008B4" w:rsidRDefault="0086433B" w:rsidP="00CF775D">
          <w:pPr>
            <w:tabs>
              <w:tab w:val="left" w:pos="540"/>
            </w:tabs>
            <w:spacing w:after="240"/>
            <w:ind w:left="540"/>
            <w:rPr>
              <w:rFonts w:ascii="Lucida Bright" w:hAnsi="Lucida Bright"/>
              <w:sz w:val="22"/>
              <w:szCs w:val="22"/>
            </w:rPr>
          </w:pPr>
          <w:r w:rsidRPr="001008B4">
            <w:rPr>
              <w:rFonts w:ascii="Lucida Bright" w:hAnsi="Lucida Bright"/>
              <w:sz w:val="22"/>
              <w:szCs w:val="22"/>
            </w:rPr>
            <w:t>Supplementary information on this Fact Sheet is organized as follows:</w:t>
          </w:r>
        </w:p>
        <w:p w14:paraId="0F813167" w14:textId="77777777" w:rsidR="0086433B" w:rsidRPr="001008B4" w:rsidRDefault="00CD2A3B" w:rsidP="00CF775D">
          <w:pPr>
            <w:tabs>
              <w:tab w:val="left" w:pos="-1440"/>
              <w:tab w:val="left" w:pos="1080"/>
              <w:tab w:val="left" w:pos="1800"/>
            </w:tabs>
            <w:ind w:left="1080"/>
            <w:rPr>
              <w:rFonts w:ascii="Lucida Bright" w:hAnsi="Lucida Bright"/>
              <w:sz w:val="22"/>
              <w:szCs w:val="22"/>
            </w:rPr>
          </w:pPr>
          <w:r w:rsidRPr="001008B4">
            <w:rPr>
              <w:rFonts w:ascii="Lucida Bright" w:hAnsi="Lucida Bright"/>
              <w:sz w:val="22"/>
              <w:szCs w:val="22"/>
            </w:rPr>
            <w:t>V</w:t>
          </w:r>
          <w:r w:rsidR="003072B0" w:rsidRPr="001008B4">
            <w:rPr>
              <w:rFonts w:ascii="Lucida Bright" w:hAnsi="Lucida Bright"/>
              <w:sz w:val="22"/>
              <w:szCs w:val="22"/>
            </w:rPr>
            <w:t>I.</w:t>
          </w:r>
          <w:r w:rsidR="003072B0" w:rsidRPr="001008B4">
            <w:rPr>
              <w:rFonts w:ascii="Lucida Bright" w:hAnsi="Lucida Bright"/>
              <w:sz w:val="22"/>
              <w:szCs w:val="22"/>
            </w:rPr>
            <w:tab/>
          </w:r>
          <w:r w:rsidR="0086433B" w:rsidRPr="001008B4">
            <w:rPr>
              <w:rFonts w:ascii="Lucida Bright" w:hAnsi="Lucida Bright"/>
              <w:sz w:val="22"/>
              <w:szCs w:val="22"/>
            </w:rPr>
            <w:t>Legal Basis</w:t>
          </w:r>
        </w:p>
        <w:p w14:paraId="6A50EBC5" w14:textId="77777777" w:rsidR="0086433B" w:rsidRPr="001008B4" w:rsidRDefault="00CD2A3B" w:rsidP="00CF775D">
          <w:pPr>
            <w:tabs>
              <w:tab w:val="left" w:pos="-1440"/>
              <w:tab w:val="left" w:pos="1080"/>
              <w:tab w:val="left" w:pos="1800"/>
            </w:tabs>
            <w:ind w:left="1080"/>
            <w:rPr>
              <w:rFonts w:ascii="Lucida Bright" w:hAnsi="Lucida Bright"/>
              <w:sz w:val="22"/>
              <w:szCs w:val="22"/>
            </w:rPr>
          </w:pPr>
          <w:r w:rsidRPr="001008B4">
            <w:rPr>
              <w:rFonts w:ascii="Lucida Bright" w:hAnsi="Lucida Bright"/>
              <w:sz w:val="22"/>
              <w:szCs w:val="22"/>
            </w:rPr>
            <w:t>VI</w:t>
          </w:r>
          <w:r w:rsidR="003072B0" w:rsidRPr="001008B4">
            <w:rPr>
              <w:rFonts w:ascii="Lucida Bright" w:hAnsi="Lucida Bright"/>
              <w:sz w:val="22"/>
              <w:szCs w:val="22"/>
            </w:rPr>
            <w:t>I.</w:t>
          </w:r>
          <w:r w:rsidR="003072B0" w:rsidRPr="001008B4">
            <w:rPr>
              <w:rFonts w:ascii="Lucida Bright" w:hAnsi="Lucida Bright"/>
              <w:sz w:val="22"/>
              <w:szCs w:val="22"/>
            </w:rPr>
            <w:tab/>
          </w:r>
          <w:r w:rsidR="0086433B" w:rsidRPr="001008B4">
            <w:rPr>
              <w:rFonts w:ascii="Lucida Bright" w:hAnsi="Lucida Bright"/>
              <w:sz w:val="22"/>
              <w:szCs w:val="22"/>
            </w:rPr>
            <w:t>Regulatory Background</w:t>
          </w:r>
        </w:p>
        <w:p w14:paraId="3D71DCFA" w14:textId="11EF4690" w:rsidR="0086433B" w:rsidRPr="001008B4" w:rsidRDefault="00CD2A3B" w:rsidP="00CF775D">
          <w:pPr>
            <w:tabs>
              <w:tab w:val="left" w:pos="-1440"/>
              <w:tab w:val="left" w:pos="1080"/>
              <w:tab w:val="left" w:pos="1800"/>
            </w:tabs>
            <w:ind w:left="1080"/>
            <w:rPr>
              <w:rFonts w:ascii="Lucida Bright" w:hAnsi="Lucida Bright"/>
              <w:sz w:val="22"/>
              <w:szCs w:val="22"/>
            </w:rPr>
          </w:pPr>
          <w:r w:rsidRPr="001008B4">
            <w:rPr>
              <w:rFonts w:ascii="Lucida Bright" w:hAnsi="Lucida Bright"/>
              <w:sz w:val="22"/>
              <w:szCs w:val="22"/>
            </w:rPr>
            <w:t>VIII</w:t>
          </w:r>
          <w:r w:rsidR="003072B0" w:rsidRPr="001008B4">
            <w:rPr>
              <w:rFonts w:ascii="Lucida Bright" w:hAnsi="Lucida Bright"/>
              <w:sz w:val="22"/>
              <w:szCs w:val="22"/>
            </w:rPr>
            <w:t>.</w:t>
          </w:r>
          <w:r w:rsidR="003072B0" w:rsidRPr="001008B4">
            <w:rPr>
              <w:rFonts w:ascii="Lucida Bright" w:hAnsi="Lucida Bright"/>
              <w:sz w:val="22"/>
              <w:szCs w:val="22"/>
            </w:rPr>
            <w:tab/>
          </w:r>
          <w:r w:rsidR="0086433B" w:rsidRPr="001008B4">
            <w:rPr>
              <w:rFonts w:ascii="Lucida Bright" w:hAnsi="Lucida Bright"/>
              <w:sz w:val="22"/>
              <w:szCs w:val="22"/>
            </w:rPr>
            <w:t xml:space="preserve">Permit </w:t>
          </w:r>
          <w:r w:rsidR="00EE3625">
            <w:rPr>
              <w:rFonts w:ascii="Lucida Bright" w:hAnsi="Lucida Bright"/>
              <w:sz w:val="22"/>
              <w:szCs w:val="22"/>
            </w:rPr>
            <w:t>Authorization</w:t>
          </w:r>
        </w:p>
        <w:p w14:paraId="543738B0" w14:textId="77777777" w:rsidR="0086433B" w:rsidRPr="001008B4" w:rsidRDefault="00CD2A3B" w:rsidP="00CF775D">
          <w:pPr>
            <w:tabs>
              <w:tab w:val="left" w:pos="-1440"/>
              <w:tab w:val="left" w:pos="1080"/>
              <w:tab w:val="left" w:pos="1800"/>
            </w:tabs>
            <w:ind w:left="1080"/>
            <w:rPr>
              <w:rFonts w:ascii="Lucida Bright" w:hAnsi="Lucida Bright"/>
              <w:sz w:val="22"/>
              <w:szCs w:val="22"/>
            </w:rPr>
          </w:pPr>
          <w:r w:rsidRPr="001008B4">
            <w:rPr>
              <w:rFonts w:ascii="Lucida Bright" w:hAnsi="Lucida Bright"/>
              <w:sz w:val="22"/>
              <w:szCs w:val="22"/>
            </w:rPr>
            <w:t>I</w:t>
          </w:r>
          <w:r w:rsidR="003072B0" w:rsidRPr="001008B4">
            <w:rPr>
              <w:rFonts w:ascii="Lucida Bright" w:hAnsi="Lucida Bright"/>
              <w:sz w:val="22"/>
              <w:szCs w:val="22"/>
            </w:rPr>
            <w:t>X.</w:t>
          </w:r>
          <w:r w:rsidR="003072B0" w:rsidRPr="001008B4">
            <w:rPr>
              <w:rFonts w:ascii="Lucida Bright" w:hAnsi="Lucida Bright"/>
              <w:sz w:val="22"/>
              <w:szCs w:val="22"/>
            </w:rPr>
            <w:tab/>
          </w:r>
          <w:r w:rsidR="0086433B" w:rsidRPr="001008B4">
            <w:rPr>
              <w:rFonts w:ascii="Lucida Bright" w:hAnsi="Lucida Bright"/>
              <w:sz w:val="22"/>
              <w:szCs w:val="22"/>
            </w:rPr>
            <w:t>Technology-based Requirements</w:t>
          </w:r>
        </w:p>
        <w:p w14:paraId="658697EB" w14:textId="77777777" w:rsidR="0086433B" w:rsidRPr="001008B4" w:rsidRDefault="003072B0" w:rsidP="00CF775D">
          <w:pPr>
            <w:tabs>
              <w:tab w:val="left" w:pos="-1440"/>
              <w:tab w:val="left" w:pos="1080"/>
              <w:tab w:val="left" w:pos="1800"/>
            </w:tabs>
            <w:ind w:left="1080"/>
            <w:rPr>
              <w:rFonts w:ascii="Lucida Bright" w:hAnsi="Lucida Bright"/>
              <w:sz w:val="22"/>
              <w:szCs w:val="22"/>
            </w:rPr>
          </w:pPr>
          <w:r w:rsidRPr="001008B4">
            <w:rPr>
              <w:rFonts w:ascii="Lucida Bright" w:hAnsi="Lucida Bright"/>
              <w:sz w:val="22"/>
              <w:szCs w:val="22"/>
            </w:rPr>
            <w:t>X.</w:t>
          </w:r>
          <w:r w:rsidRPr="001008B4">
            <w:rPr>
              <w:rFonts w:ascii="Lucida Bright" w:hAnsi="Lucida Bright"/>
              <w:sz w:val="22"/>
              <w:szCs w:val="22"/>
            </w:rPr>
            <w:tab/>
          </w:r>
          <w:r w:rsidR="0086433B" w:rsidRPr="001008B4">
            <w:rPr>
              <w:rFonts w:ascii="Lucida Bright" w:hAnsi="Lucida Bright"/>
              <w:sz w:val="22"/>
              <w:szCs w:val="22"/>
            </w:rPr>
            <w:t>Water Quality-based Requirements</w:t>
          </w:r>
        </w:p>
        <w:p w14:paraId="777F065B" w14:textId="77777777" w:rsidR="0086433B" w:rsidRPr="001008B4" w:rsidRDefault="003072B0" w:rsidP="00CF775D">
          <w:pPr>
            <w:tabs>
              <w:tab w:val="left" w:pos="-1440"/>
              <w:tab w:val="left" w:pos="1080"/>
              <w:tab w:val="left" w:pos="1800"/>
            </w:tabs>
            <w:ind w:left="1080"/>
            <w:rPr>
              <w:rFonts w:ascii="Lucida Bright" w:hAnsi="Lucida Bright"/>
              <w:sz w:val="22"/>
              <w:szCs w:val="22"/>
            </w:rPr>
          </w:pPr>
          <w:r w:rsidRPr="001008B4">
            <w:rPr>
              <w:rFonts w:ascii="Lucida Bright" w:hAnsi="Lucida Bright"/>
              <w:sz w:val="22"/>
              <w:szCs w:val="22"/>
            </w:rPr>
            <w:t>XI.</w:t>
          </w:r>
          <w:r w:rsidRPr="001008B4">
            <w:rPr>
              <w:rFonts w:ascii="Lucida Bright" w:hAnsi="Lucida Bright"/>
              <w:sz w:val="22"/>
              <w:szCs w:val="22"/>
            </w:rPr>
            <w:tab/>
          </w:r>
          <w:r w:rsidR="0086433B" w:rsidRPr="001008B4">
            <w:rPr>
              <w:rFonts w:ascii="Lucida Bright" w:hAnsi="Lucida Bright"/>
              <w:sz w:val="22"/>
              <w:szCs w:val="22"/>
            </w:rPr>
            <w:t xml:space="preserve">Requirements for the Protection of Groundwater </w:t>
          </w:r>
        </w:p>
        <w:p w14:paraId="5F23D827" w14:textId="77777777" w:rsidR="0086433B" w:rsidRPr="001008B4" w:rsidRDefault="003072B0" w:rsidP="00CF775D">
          <w:pPr>
            <w:tabs>
              <w:tab w:val="left" w:pos="1080"/>
              <w:tab w:val="left" w:pos="1800"/>
            </w:tabs>
            <w:ind w:left="1080"/>
            <w:rPr>
              <w:rFonts w:ascii="Lucida Bright" w:hAnsi="Lucida Bright"/>
              <w:sz w:val="22"/>
              <w:szCs w:val="22"/>
            </w:rPr>
          </w:pPr>
          <w:r w:rsidRPr="001008B4">
            <w:rPr>
              <w:rFonts w:ascii="Lucida Bright" w:hAnsi="Lucida Bright"/>
              <w:sz w:val="22"/>
              <w:szCs w:val="22"/>
            </w:rPr>
            <w:t>XII.</w:t>
          </w:r>
          <w:r w:rsidRPr="001008B4">
            <w:rPr>
              <w:rFonts w:ascii="Lucida Bright" w:hAnsi="Lucida Bright"/>
              <w:sz w:val="22"/>
              <w:szCs w:val="22"/>
            </w:rPr>
            <w:tab/>
          </w:r>
          <w:r w:rsidR="00A47E12" w:rsidRPr="001008B4">
            <w:rPr>
              <w:rFonts w:ascii="Lucida Bright" w:hAnsi="Lucida Bright"/>
              <w:sz w:val="22"/>
              <w:szCs w:val="22"/>
            </w:rPr>
            <w:t>Procedures for Final Decision</w:t>
          </w:r>
        </w:p>
        <w:p w14:paraId="7D283D2F" w14:textId="77777777" w:rsidR="007D1D6C" w:rsidRPr="001008B4" w:rsidRDefault="003072B0" w:rsidP="00CF775D">
          <w:pPr>
            <w:tabs>
              <w:tab w:val="left" w:pos="1080"/>
              <w:tab w:val="left" w:pos="1800"/>
            </w:tabs>
            <w:ind w:left="1080"/>
            <w:rPr>
              <w:rFonts w:ascii="Lucida Bright" w:hAnsi="Lucida Bright"/>
              <w:sz w:val="22"/>
              <w:szCs w:val="22"/>
            </w:rPr>
          </w:pPr>
          <w:r w:rsidRPr="001008B4">
            <w:rPr>
              <w:rFonts w:ascii="Lucida Bright" w:hAnsi="Lucida Bright"/>
              <w:sz w:val="22"/>
              <w:szCs w:val="22"/>
            </w:rPr>
            <w:t>XI</w:t>
          </w:r>
          <w:r w:rsidR="00CD2A3B" w:rsidRPr="001008B4">
            <w:rPr>
              <w:rFonts w:ascii="Lucida Bright" w:hAnsi="Lucida Bright"/>
              <w:sz w:val="22"/>
              <w:szCs w:val="22"/>
            </w:rPr>
            <w:t>II</w:t>
          </w:r>
          <w:r w:rsidRPr="001008B4">
            <w:rPr>
              <w:rFonts w:ascii="Lucida Bright" w:hAnsi="Lucida Bright"/>
              <w:sz w:val="22"/>
              <w:szCs w:val="22"/>
            </w:rPr>
            <w:t>.</w:t>
          </w:r>
          <w:r w:rsidRPr="001008B4">
            <w:rPr>
              <w:rFonts w:ascii="Lucida Bright" w:hAnsi="Lucida Bright"/>
              <w:sz w:val="22"/>
              <w:szCs w:val="22"/>
            </w:rPr>
            <w:tab/>
          </w:r>
          <w:r w:rsidR="00A47E12" w:rsidRPr="001008B4">
            <w:rPr>
              <w:rFonts w:ascii="Lucida Bright" w:hAnsi="Lucida Bright"/>
              <w:sz w:val="22"/>
              <w:szCs w:val="22"/>
            </w:rPr>
            <w:t>Administrative Record</w:t>
          </w:r>
        </w:p>
        <w:p w14:paraId="0BC03F4B" w14:textId="221954F8" w:rsidR="0086433B" w:rsidRPr="001008B4" w:rsidRDefault="00CD2A3B" w:rsidP="00B06411">
          <w:pPr>
            <w:pStyle w:val="Heading1"/>
            <w:tabs>
              <w:tab w:val="left" w:pos="540"/>
            </w:tabs>
            <w:spacing w:after="240"/>
            <w:rPr>
              <w:rFonts w:ascii="Lucida Bright" w:hAnsi="Lucida Bright"/>
              <w:szCs w:val="22"/>
            </w:rPr>
          </w:pPr>
          <w:r w:rsidRPr="001008B4">
            <w:rPr>
              <w:rFonts w:ascii="Lucida Bright" w:hAnsi="Lucida Bright"/>
              <w:szCs w:val="22"/>
            </w:rPr>
            <w:lastRenderedPageBreak/>
            <w:t>VI</w:t>
          </w:r>
          <w:r w:rsidR="007514A4" w:rsidRPr="001008B4">
            <w:rPr>
              <w:rFonts w:ascii="Lucida Bright" w:hAnsi="Lucida Bright"/>
              <w:szCs w:val="22"/>
            </w:rPr>
            <w:t>I</w:t>
          </w:r>
          <w:r w:rsidR="004A0805" w:rsidRPr="001008B4">
            <w:rPr>
              <w:rFonts w:ascii="Lucida Bright" w:hAnsi="Lucida Bright"/>
              <w:szCs w:val="22"/>
            </w:rPr>
            <w:t>.</w:t>
          </w:r>
          <w:r w:rsidR="001008B4">
            <w:rPr>
              <w:rFonts w:ascii="Lucida Bright" w:hAnsi="Lucida Bright"/>
              <w:szCs w:val="22"/>
            </w:rPr>
            <w:tab/>
          </w:r>
          <w:r w:rsidR="003072B0" w:rsidRPr="001008B4">
            <w:rPr>
              <w:rFonts w:ascii="Lucida Bright" w:hAnsi="Lucida Bright"/>
              <w:szCs w:val="22"/>
            </w:rPr>
            <w:t>Legal Basis</w:t>
          </w:r>
        </w:p>
        <w:p w14:paraId="6948E69A" w14:textId="43626547" w:rsidR="0086433B" w:rsidRPr="001008B4" w:rsidRDefault="00F1195A" w:rsidP="005E6D4C">
          <w:pPr>
            <w:tabs>
              <w:tab w:val="left" w:pos="990"/>
            </w:tabs>
            <w:spacing w:after="240"/>
            <w:rPr>
              <w:rFonts w:ascii="Lucida Bright" w:hAnsi="Lucida Bright"/>
              <w:sz w:val="22"/>
              <w:szCs w:val="22"/>
            </w:rPr>
          </w:pPr>
          <w:r w:rsidRPr="001008B4">
            <w:rPr>
              <w:rFonts w:ascii="Lucida Bright" w:hAnsi="Lucida Bright"/>
              <w:sz w:val="22"/>
              <w:szCs w:val="22"/>
            </w:rPr>
            <w:t>TWC</w:t>
          </w:r>
          <w:r w:rsidR="00545A0E" w:rsidRPr="001008B4">
            <w:rPr>
              <w:rFonts w:ascii="Lucida Bright" w:hAnsi="Lucida Bright"/>
              <w:sz w:val="22"/>
              <w:szCs w:val="22"/>
            </w:rPr>
            <w:t>,</w:t>
          </w:r>
          <w:r w:rsidRPr="001008B4">
            <w:rPr>
              <w:rFonts w:ascii="Lucida Bright" w:hAnsi="Lucida Bright"/>
              <w:sz w:val="22"/>
              <w:szCs w:val="22"/>
            </w:rPr>
            <w:t xml:space="preserve"> §</w:t>
          </w:r>
          <w:r w:rsidR="00CF497E">
            <w:rPr>
              <w:rFonts w:ascii="Lucida Bright" w:hAnsi="Lucida Bright"/>
              <w:sz w:val="22"/>
              <w:szCs w:val="22"/>
            </w:rPr>
            <w:t xml:space="preserve"> </w:t>
          </w:r>
          <w:r w:rsidR="0086433B" w:rsidRPr="001008B4">
            <w:rPr>
              <w:rFonts w:ascii="Lucida Bright" w:hAnsi="Lucida Bright"/>
              <w:sz w:val="22"/>
              <w:szCs w:val="22"/>
            </w:rPr>
            <w:t>26.1</w:t>
          </w:r>
          <w:r w:rsidRPr="001008B4">
            <w:rPr>
              <w:rFonts w:ascii="Lucida Bright" w:hAnsi="Lucida Bright"/>
              <w:sz w:val="22"/>
              <w:szCs w:val="22"/>
            </w:rPr>
            <w:t>21</w:t>
          </w:r>
          <w:r w:rsidR="0086433B" w:rsidRPr="001008B4">
            <w:rPr>
              <w:rFonts w:ascii="Lucida Bright" w:hAnsi="Lucida Bright"/>
              <w:sz w:val="22"/>
              <w:szCs w:val="22"/>
            </w:rPr>
            <w:t xml:space="preserve"> makes it unlawful to discharge pollutants into or adjacent to water in the state </w:t>
          </w:r>
          <w:r w:rsidR="009D6682" w:rsidRPr="001008B4">
            <w:rPr>
              <w:rFonts w:ascii="Lucida Bright" w:hAnsi="Lucida Bright"/>
              <w:sz w:val="22"/>
              <w:szCs w:val="22"/>
            </w:rPr>
            <w:t>except as authorized by a rule, permit, or order issued by the commission. TWC</w:t>
          </w:r>
          <w:r w:rsidR="00D53613" w:rsidRPr="001008B4">
            <w:rPr>
              <w:rFonts w:ascii="Lucida Bright" w:hAnsi="Lucida Bright"/>
              <w:sz w:val="22"/>
              <w:szCs w:val="22"/>
            </w:rPr>
            <w:t>,</w:t>
          </w:r>
          <w:r w:rsidR="009D6682" w:rsidRPr="001008B4">
            <w:rPr>
              <w:rFonts w:ascii="Lucida Bright" w:hAnsi="Lucida Bright"/>
              <w:sz w:val="22"/>
              <w:szCs w:val="22"/>
            </w:rPr>
            <w:t xml:space="preserve"> §</w:t>
          </w:r>
          <w:r w:rsidR="00CF497E">
            <w:rPr>
              <w:rFonts w:ascii="Lucida Bright" w:hAnsi="Lucida Bright"/>
              <w:sz w:val="22"/>
              <w:szCs w:val="22"/>
            </w:rPr>
            <w:t xml:space="preserve"> </w:t>
          </w:r>
          <w:r w:rsidR="009D6682" w:rsidRPr="001008B4">
            <w:rPr>
              <w:rFonts w:ascii="Lucida Bright" w:hAnsi="Lucida Bright"/>
              <w:sz w:val="22"/>
              <w:szCs w:val="22"/>
            </w:rPr>
            <w:t>26.027 authorizes the commission to issue permit</w:t>
          </w:r>
          <w:r w:rsidR="009477A1" w:rsidRPr="001008B4">
            <w:rPr>
              <w:rFonts w:ascii="Lucida Bright" w:hAnsi="Lucida Bright"/>
              <w:sz w:val="22"/>
              <w:szCs w:val="22"/>
            </w:rPr>
            <w:t>s</w:t>
          </w:r>
          <w:r w:rsidR="009D6682" w:rsidRPr="001008B4">
            <w:rPr>
              <w:rFonts w:ascii="Lucida Bright" w:hAnsi="Lucida Bright"/>
              <w:sz w:val="22"/>
              <w:szCs w:val="22"/>
            </w:rPr>
            <w:t xml:space="preserve"> and amendments to permits, for the discharge of waste or pollutants into or adjacent to water in the state</w:t>
          </w:r>
          <w:r w:rsidR="009477A1" w:rsidRPr="001008B4">
            <w:rPr>
              <w:rFonts w:ascii="Lucida Bright" w:hAnsi="Lucida Bright"/>
              <w:sz w:val="22"/>
              <w:szCs w:val="22"/>
            </w:rPr>
            <w:t xml:space="preserve">, and </w:t>
          </w:r>
          <w:r w:rsidR="00D53613" w:rsidRPr="001008B4">
            <w:rPr>
              <w:rFonts w:ascii="Lucida Bright" w:hAnsi="Lucida Bright"/>
              <w:sz w:val="22"/>
              <w:szCs w:val="22"/>
            </w:rPr>
            <w:t xml:space="preserve">TWC, </w:t>
          </w:r>
          <w:r w:rsidR="00401154" w:rsidRPr="001008B4">
            <w:rPr>
              <w:rFonts w:ascii="Lucida Bright" w:hAnsi="Lucida Bright"/>
              <w:sz w:val="22"/>
              <w:szCs w:val="22"/>
            </w:rPr>
            <w:t>§</w:t>
          </w:r>
          <w:r w:rsidR="00CF497E">
            <w:rPr>
              <w:rFonts w:ascii="Lucida Bright" w:hAnsi="Lucida Bright"/>
              <w:sz w:val="22"/>
              <w:szCs w:val="22"/>
            </w:rPr>
            <w:t xml:space="preserve"> </w:t>
          </w:r>
          <w:r w:rsidR="0086433B" w:rsidRPr="001008B4">
            <w:rPr>
              <w:rFonts w:ascii="Lucida Bright" w:hAnsi="Lucida Bright"/>
              <w:sz w:val="22"/>
              <w:szCs w:val="22"/>
            </w:rPr>
            <w:t xml:space="preserve">26.040 provides the </w:t>
          </w:r>
          <w:r w:rsidR="00545A0E" w:rsidRPr="001008B4">
            <w:rPr>
              <w:rFonts w:ascii="Lucida Bright" w:hAnsi="Lucida Bright"/>
              <w:sz w:val="22"/>
              <w:szCs w:val="22"/>
            </w:rPr>
            <w:t>c</w:t>
          </w:r>
          <w:r w:rsidR="0086433B" w:rsidRPr="001008B4">
            <w:rPr>
              <w:rFonts w:ascii="Lucida Bright" w:hAnsi="Lucida Bright"/>
              <w:sz w:val="22"/>
              <w:szCs w:val="22"/>
            </w:rPr>
            <w:t>ommission with authority to develop and issue general permits</w:t>
          </w:r>
          <w:r w:rsidR="009477A1" w:rsidRPr="001008B4">
            <w:rPr>
              <w:rFonts w:ascii="Lucida Bright" w:hAnsi="Lucida Bright"/>
              <w:sz w:val="22"/>
              <w:szCs w:val="22"/>
            </w:rPr>
            <w:t>.</w:t>
          </w:r>
        </w:p>
        <w:p w14:paraId="2CC3914A" w14:textId="17D3E4DE" w:rsidR="009477A1" w:rsidRPr="001008B4" w:rsidRDefault="00B9220D" w:rsidP="005E6D4C">
          <w:pPr>
            <w:spacing w:after="240"/>
            <w:rPr>
              <w:rFonts w:ascii="Lucida Bright" w:hAnsi="Lucida Bright"/>
              <w:sz w:val="22"/>
              <w:szCs w:val="22"/>
            </w:rPr>
          </w:pPr>
          <w:r w:rsidRPr="001008B4">
            <w:rPr>
              <w:rFonts w:ascii="Lucida Bright" w:hAnsi="Lucida Bright"/>
              <w:sz w:val="22"/>
              <w:szCs w:val="22"/>
            </w:rPr>
            <w:t>TCEQ</w:t>
          </w:r>
          <w:r w:rsidR="0086433B" w:rsidRPr="001008B4">
            <w:rPr>
              <w:rFonts w:ascii="Lucida Bright" w:hAnsi="Lucida Bright"/>
              <w:sz w:val="22"/>
              <w:szCs w:val="22"/>
            </w:rPr>
            <w:t xml:space="preserve"> developed regulations in 30 TAC Chapter 205, which form the basis for development of general permits.</w:t>
          </w:r>
          <w:r w:rsidR="00807B46" w:rsidRPr="001008B4">
            <w:rPr>
              <w:rFonts w:ascii="Lucida Bright" w:hAnsi="Lucida Bright"/>
              <w:sz w:val="22"/>
              <w:szCs w:val="22"/>
            </w:rPr>
            <w:t xml:space="preserve"> </w:t>
          </w:r>
          <w:r w:rsidR="0086433B" w:rsidRPr="001008B4">
            <w:rPr>
              <w:rFonts w:ascii="Lucida Bright" w:hAnsi="Lucida Bright"/>
              <w:sz w:val="22"/>
              <w:szCs w:val="22"/>
            </w:rPr>
            <w:t>Chapter 205 describes when it is permissible to issue a general permit, the procedural requirements for the involvement of the public in the permitting process, how qualified dischargers can obtain authorization under a general permit, the manner in which permit terms are developed, how general permits are amended or renewed, and the fees that are assessed on dischargers authorized under the permit.</w:t>
          </w:r>
        </w:p>
        <w:p w14:paraId="65A99A93" w14:textId="77777777" w:rsidR="001174C7" w:rsidRPr="001008B4" w:rsidRDefault="009477A1" w:rsidP="005E6D4C">
          <w:pPr>
            <w:tabs>
              <w:tab w:val="left" w:pos="990"/>
            </w:tabs>
            <w:spacing w:after="240"/>
            <w:rPr>
              <w:rFonts w:ascii="Lucida Bright" w:hAnsi="Lucida Bright"/>
              <w:sz w:val="22"/>
              <w:szCs w:val="22"/>
            </w:rPr>
          </w:pPr>
          <w:r w:rsidRPr="001008B4">
            <w:rPr>
              <w:rFonts w:ascii="Lucida Bright" w:hAnsi="Lucida Bright"/>
              <w:sz w:val="22"/>
              <w:szCs w:val="22"/>
            </w:rPr>
            <w:t>This permit is proposed under state authority and is not a Texas Pollutant Discharge Elimination System permit, since the permit would not authorize any discharge into waters of the United States as defined un</w:t>
          </w:r>
          <w:r w:rsidR="00FC12C6" w:rsidRPr="001008B4">
            <w:rPr>
              <w:rFonts w:ascii="Lucida Bright" w:hAnsi="Lucida Bright"/>
              <w:sz w:val="22"/>
              <w:szCs w:val="22"/>
            </w:rPr>
            <w:t>der the federal Clean Water Act</w:t>
          </w:r>
          <w:r w:rsidRPr="001008B4">
            <w:rPr>
              <w:rFonts w:ascii="Lucida Bright" w:hAnsi="Lucida Bright"/>
              <w:sz w:val="22"/>
              <w:szCs w:val="22"/>
            </w:rPr>
            <w:t xml:space="preserve"> and National Polluta</w:t>
          </w:r>
          <w:r w:rsidR="00FC12C6" w:rsidRPr="001008B4">
            <w:rPr>
              <w:rFonts w:ascii="Lucida Bright" w:hAnsi="Lucida Bright"/>
              <w:sz w:val="22"/>
              <w:szCs w:val="22"/>
            </w:rPr>
            <w:t>nt Discharge Elimination System</w:t>
          </w:r>
          <w:r w:rsidRPr="001008B4">
            <w:rPr>
              <w:rFonts w:ascii="Lucida Bright" w:hAnsi="Lucida Bright"/>
              <w:sz w:val="22"/>
              <w:szCs w:val="22"/>
            </w:rPr>
            <w:t xml:space="preserve"> requirements.</w:t>
          </w:r>
        </w:p>
        <w:p w14:paraId="369BD950" w14:textId="77777777" w:rsidR="009477A1" w:rsidRPr="001008B4" w:rsidRDefault="001174C7" w:rsidP="005E6D4C">
          <w:pPr>
            <w:widowControl/>
            <w:tabs>
              <w:tab w:val="left" w:pos="990"/>
            </w:tabs>
            <w:rPr>
              <w:rFonts w:ascii="Lucida Bright" w:hAnsi="Lucida Bright"/>
              <w:sz w:val="22"/>
              <w:szCs w:val="22"/>
            </w:rPr>
          </w:pPr>
          <w:r w:rsidRPr="001008B4">
            <w:rPr>
              <w:rFonts w:ascii="Lucida Bright" w:hAnsi="Lucida Bright"/>
              <w:sz w:val="22"/>
              <w:szCs w:val="22"/>
            </w:rPr>
            <w:t xml:space="preserve">Neither national nor state guidelines establishing technology-based effluent limits have been promulgated </w:t>
          </w:r>
          <w:r w:rsidR="00166EAD" w:rsidRPr="001008B4">
            <w:rPr>
              <w:rFonts w:ascii="Lucida Bright" w:hAnsi="Lucida Bright"/>
              <w:sz w:val="22"/>
              <w:szCs w:val="22"/>
            </w:rPr>
            <w:t xml:space="preserve">for </w:t>
          </w:r>
          <w:r w:rsidR="007A3395" w:rsidRPr="001008B4">
            <w:rPr>
              <w:rFonts w:ascii="Lucida Bright" w:hAnsi="Lucida Bright"/>
              <w:sz w:val="22"/>
              <w:szCs w:val="22"/>
            </w:rPr>
            <w:t>facilities</w:t>
          </w:r>
          <w:r w:rsidRPr="001008B4">
            <w:rPr>
              <w:rFonts w:ascii="Lucida Bright" w:hAnsi="Lucida Bright"/>
              <w:sz w:val="22"/>
              <w:szCs w:val="22"/>
            </w:rPr>
            <w:t xml:space="preserve"> </w:t>
          </w:r>
          <w:r w:rsidR="00FC12C6" w:rsidRPr="001008B4">
            <w:rPr>
              <w:rFonts w:ascii="Lucida Bright" w:hAnsi="Lucida Bright"/>
              <w:sz w:val="22"/>
              <w:szCs w:val="22"/>
            </w:rPr>
            <w:t>that</w:t>
          </w:r>
          <w:r w:rsidRPr="001008B4">
            <w:rPr>
              <w:rFonts w:ascii="Lucida Bright" w:hAnsi="Lucida Bright"/>
              <w:sz w:val="22"/>
              <w:szCs w:val="22"/>
            </w:rPr>
            <w:t xml:space="preserve"> dispose of waste</w:t>
          </w:r>
          <w:r w:rsidR="002A470D" w:rsidRPr="001008B4">
            <w:rPr>
              <w:rFonts w:ascii="Lucida Bright" w:hAnsi="Lucida Bright"/>
              <w:sz w:val="22"/>
              <w:szCs w:val="22"/>
            </w:rPr>
            <w:t>water</w:t>
          </w:r>
          <w:r w:rsidRPr="001008B4">
            <w:rPr>
              <w:rFonts w:ascii="Lucida Bright" w:hAnsi="Lucida Bright"/>
              <w:sz w:val="22"/>
              <w:szCs w:val="22"/>
            </w:rPr>
            <w:t xml:space="preserve"> </w:t>
          </w:r>
          <w:r w:rsidR="007A3395" w:rsidRPr="001008B4">
            <w:rPr>
              <w:rFonts w:ascii="Lucida Bright" w:hAnsi="Lucida Bright"/>
              <w:sz w:val="22"/>
              <w:szCs w:val="22"/>
            </w:rPr>
            <w:t>by evaporation</w:t>
          </w:r>
          <w:r w:rsidRPr="001008B4">
            <w:rPr>
              <w:rFonts w:ascii="Lucida Bright" w:hAnsi="Lucida Bright"/>
              <w:sz w:val="22"/>
              <w:szCs w:val="22"/>
            </w:rPr>
            <w:t>.</w:t>
          </w:r>
          <w:r w:rsidR="00807B46" w:rsidRPr="001008B4">
            <w:rPr>
              <w:rFonts w:ascii="Lucida Bright" w:hAnsi="Lucida Bright"/>
              <w:sz w:val="22"/>
              <w:szCs w:val="22"/>
            </w:rPr>
            <w:t xml:space="preserve"> </w:t>
          </w:r>
          <w:r w:rsidRPr="001008B4">
            <w:rPr>
              <w:rFonts w:ascii="Lucida Bright" w:hAnsi="Lucida Bright"/>
              <w:sz w:val="22"/>
              <w:szCs w:val="22"/>
            </w:rPr>
            <w:t xml:space="preserve">Due to the lack of federal guidelines, the requirements for these </w:t>
          </w:r>
          <w:r w:rsidR="00EC6D15" w:rsidRPr="001008B4">
            <w:rPr>
              <w:rFonts w:ascii="Lucida Bright" w:hAnsi="Lucida Bright"/>
              <w:sz w:val="22"/>
              <w:szCs w:val="22"/>
            </w:rPr>
            <w:t>disposal activities</w:t>
          </w:r>
          <w:r w:rsidRPr="001008B4">
            <w:rPr>
              <w:rFonts w:ascii="Lucida Bright" w:hAnsi="Lucida Bright"/>
              <w:sz w:val="22"/>
              <w:szCs w:val="22"/>
            </w:rPr>
            <w:t xml:space="preserve"> have, therefore, been established using best professional judgment</w:t>
          </w:r>
          <w:r w:rsidR="006B2058" w:rsidRPr="001008B4">
            <w:rPr>
              <w:rFonts w:ascii="Lucida Bright" w:hAnsi="Lucida Bright"/>
              <w:sz w:val="22"/>
              <w:szCs w:val="22"/>
            </w:rPr>
            <w:t>.</w:t>
          </w:r>
        </w:p>
        <w:p w14:paraId="13EC98B9" w14:textId="77777777" w:rsidR="0086433B" w:rsidRPr="001008B4" w:rsidRDefault="009477A1" w:rsidP="00B06411">
          <w:pPr>
            <w:pStyle w:val="Heading1"/>
            <w:tabs>
              <w:tab w:val="left" w:pos="540"/>
            </w:tabs>
            <w:spacing w:after="240"/>
            <w:rPr>
              <w:rFonts w:ascii="Lucida Bright" w:hAnsi="Lucida Bright"/>
              <w:szCs w:val="22"/>
            </w:rPr>
          </w:pPr>
          <w:r w:rsidRPr="001008B4">
            <w:rPr>
              <w:rFonts w:ascii="Lucida Bright" w:hAnsi="Lucida Bright"/>
              <w:szCs w:val="22"/>
            </w:rPr>
            <w:t>V</w:t>
          </w:r>
          <w:r w:rsidR="0086433B" w:rsidRPr="001008B4">
            <w:rPr>
              <w:rFonts w:ascii="Lucida Bright" w:hAnsi="Lucida Bright"/>
              <w:szCs w:val="22"/>
            </w:rPr>
            <w:t>II</w:t>
          </w:r>
          <w:r w:rsidR="007514A4" w:rsidRPr="001008B4">
            <w:rPr>
              <w:rFonts w:ascii="Lucida Bright" w:hAnsi="Lucida Bright"/>
              <w:szCs w:val="22"/>
            </w:rPr>
            <w:t>I</w:t>
          </w:r>
          <w:r w:rsidR="0086433B" w:rsidRPr="001008B4">
            <w:rPr>
              <w:rFonts w:ascii="Lucida Bright" w:hAnsi="Lucida Bright"/>
              <w:szCs w:val="22"/>
            </w:rPr>
            <w:t>. Regulatory Background</w:t>
          </w:r>
        </w:p>
        <w:p w14:paraId="76ABAFB2" w14:textId="77777777" w:rsidR="007D1D6C" w:rsidRPr="001008B4" w:rsidRDefault="007A3395" w:rsidP="005E6D4C">
          <w:pPr>
            <w:spacing w:after="240"/>
            <w:rPr>
              <w:rFonts w:ascii="Lucida Bright" w:hAnsi="Lucida Bright"/>
              <w:sz w:val="22"/>
              <w:szCs w:val="22"/>
            </w:rPr>
          </w:pPr>
          <w:r w:rsidRPr="001008B4">
            <w:rPr>
              <w:rFonts w:ascii="Lucida Bright" w:hAnsi="Lucida Bright"/>
              <w:sz w:val="22"/>
              <w:szCs w:val="22"/>
            </w:rPr>
            <w:t xml:space="preserve">The executive director </w:t>
          </w:r>
          <w:r w:rsidR="001174C7" w:rsidRPr="001008B4">
            <w:rPr>
              <w:rFonts w:ascii="Lucida Bright" w:hAnsi="Lucida Bright"/>
              <w:sz w:val="22"/>
              <w:szCs w:val="22"/>
            </w:rPr>
            <w:t>p</w:t>
          </w:r>
          <w:r w:rsidRPr="001008B4">
            <w:rPr>
              <w:rFonts w:ascii="Lucida Bright" w:hAnsi="Lucida Bright"/>
              <w:sz w:val="22"/>
              <w:szCs w:val="22"/>
            </w:rPr>
            <w:t>roposes to issue the</w:t>
          </w:r>
          <w:r w:rsidR="001174C7" w:rsidRPr="001008B4">
            <w:rPr>
              <w:rFonts w:ascii="Lucida Bright" w:hAnsi="Lucida Bright"/>
              <w:sz w:val="22"/>
              <w:szCs w:val="22"/>
            </w:rPr>
            <w:t xml:space="preserve"> proposed general permit</w:t>
          </w:r>
          <w:r w:rsidR="00FC12C6" w:rsidRPr="001008B4">
            <w:rPr>
              <w:rFonts w:ascii="Lucida Bright" w:hAnsi="Lucida Bright"/>
              <w:sz w:val="22"/>
              <w:szCs w:val="22"/>
            </w:rPr>
            <w:t>,</w:t>
          </w:r>
          <w:r w:rsidRPr="001008B4">
            <w:rPr>
              <w:rFonts w:ascii="Lucida Bright" w:hAnsi="Lucida Bright"/>
              <w:sz w:val="22"/>
              <w:szCs w:val="22"/>
            </w:rPr>
            <w:t xml:space="preserve"> </w:t>
          </w:r>
          <w:r w:rsidR="0041361F" w:rsidRPr="001008B4">
            <w:rPr>
              <w:rFonts w:ascii="Lucida Bright" w:hAnsi="Lucida Bright"/>
              <w:sz w:val="22"/>
              <w:szCs w:val="22"/>
            </w:rPr>
            <w:t>which would authorize wastewater generated by industrial or water treatment facilities to be disposed of by evaporation from surface impoundments</w:t>
          </w:r>
          <w:r w:rsidR="00390B11" w:rsidRPr="001008B4">
            <w:rPr>
              <w:rFonts w:ascii="Lucida Bright" w:hAnsi="Lucida Bright"/>
              <w:sz w:val="22"/>
              <w:szCs w:val="22"/>
            </w:rPr>
            <w:t xml:space="preserve"> adjacent to water in the state</w:t>
          </w:r>
          <w:r w:rsidR="001174C7" w:rsidRPr="001008B4">
            <w:rPr>
              <w:rFonts w:ascii="Lucida Bright" w:hAnsi="Lucida Bright"/>
              <w:sz w:val="22"/>
              <w:szCs w:val="22"/>
            </w:rPr>
            <w:t xml:space="preserve">. </w:t>
          </w:r>
        </w:p>
        <w:p w14:paraId="33802C3C" w14:textId="099E6B05" w:rsidR="0086433B" w:rsidRPr="001008B4" w:rsidRDefault="00D63C9F" w:rsidP="005E6D4C">
          <w:pPr>
            <w:rPr>
              <w:rFonts w:ascii="Lucida Bright" w:hAnsi="Lucida Bright"/>
              <w:sz w:val="22"/>
              <w:szCs w:val="22"/>
            </w:rPr>
          </w:pPr>
          <w:r w:rsidRPr="001008B4">
            <w:rPr>
              <w:rFonts w:ascii="Lucida Bright" w:hAnsi="Lucida Bright"/>
              <w:sz w:val="22"/>
              <w:szCs w:val="22"/>
            </w:rPr>
            <w:t xml:space="preserve">Consistent with 30 TAC </w:t>
          </w:r>
          <w:r w:rsidR="00F53CD6" w:rsidRPr="001008B4">
            <w:rPr>
              <w:rFonts w:ascii="Lucida Bright" w:hAnsi="Lucida Bright"/>
              <w:sz w:val="22"/>
              <w:szCs w:val="22"/>
            </w:rPr>
            <w:t>§</w:t>
          </w:r>
          <w:r w:rsidR="00CF497E">
            <w:rPr>
              <w:rFonts w:ascii="Lucida Bright" w:hAnsi="Lucida Bright"/>
              <w:sz w:val="22"/>
              <w:szCs w:val="22"/>
            </w:rPr>
            <w:t xml:space="preserve"> </w:t>
          </w:r>
          <w:r w:rsidRPr="001008B4">
            <w:rPr>
              <w:rFonts w:ascii="Lucida Bright" w:hAnsi="Lucida Bright"/>
              <w:sz w:val="22"/>
              <w:szCs w:val="22"/>
            </w:rPr>
            <w:t xml:space="preserve">205.2, issuance of this permit is allowable, since </w:t>
          </w:r>
          <w:r w:rsidR="007A3395" w:rsidRPr="001008B4">
            <w:rPr>
              <w:rFonts w:ascii="Lucida Bright" w:hAnsi="Lucida Bright"/>
              <w:sz w:val="22"/>
              <w:szCs w:val="22"/>
            </w:rPr>
            <w:t>t</w:t>
          </w:r>
          <w:r w:rsidRPr="001008B4">
            <w:rPr>
              <w:rFonts w:ascii="Lucida Bright" w:hAnsi="Lucida Bright"/>
              <w:sz w:val="22"/>
              <w:szCs w:val="22"/>
            </w:rPr>
            <w:t xml:space="preserve">he general permit, if issued, would establish the same operating conditions and similar monitoring requirements for </w:t>
          </w:r>
          <w:r w:rsidR="007A3395" w:rsidRPr="001008B4">
            <w:rPr>
              <w:rFonts w:ascii="Lucida Bright" w:hAnsi="Lucida Bright"/>
              <w:sz w:val="22"/>
              <w:szCs w:val="22"/>
            </w:rPr>
            <w:t>industrial</w:t>
          </w:r>
          <w:r w:rsidRPr="001008B4">
            <w:rPr>
              <w:rFonts w:ascii="Lucida Bright" w:hAnsi="Lucida Bright"/>
              <w:sz w:val="22"/>
              <w:szCs w:val="22"/>
            </w:rPr>
            <w:t xml:space="preserve"> </w:t>
          </w:r>
          <w:r w:rsidR="00634BB4" w:rsidRPr="001008B4">
            <w:rPr>
              <w:rFonts w:ascii="Lucida Bright" w:hAnsi="Lucida Bright"/>
              <w:sz w:val="22"/>
              <w:szCs w:val="22"/>
            </w:rPr>
            <w:t xml:space="preserve">and water treatment </w:t>
          </w:r>
          <w:r w:rsidRPr="001008B4">
            <w:rPr>
              <w:rFonts w:ascii="Lucida Bright" w:hAnsi="Lucida Bright"/>
              <w:sz w:val="22"/>
              <w:szCs w:val="22"/>
            </w:rPr>
            <w:t>facilities</w:t>
          </w:r>
          <w:r w:rsidR="007A3395" w:rsidRPr="001008B4">
            <w:rPr>
              <w:rFonts w:ascii="Lucida Bright" w:hAnsi="Lucida Bright"/>
              <w:sz w:val="22"/>
              <w:szCs w:val="22"/>
            </w:rPr>
            <w:t xml:space="preserve"> that dispose of wastewater by evaporation</w:t>
          </w:r>
          <w:r w:rsidR="00D53613" w:rsidRPr="001008B4">
            <w:rPr>
              <w:rFonts w:ascii="Lucida Bright" w:hAnsi="Lucida Bright"/>
              <w:sz w:val="22"/>
              <w:szCs w:val="22"/>
            </w:rPr>
            <w:t xml:space="preserve"> from surface impoundments</w:t>
          </w:r>
          <w:r w:rsidR="00390B11" w:rsidRPr="001008B4">
            <w:rPr>
              <w:rFonts w:ascii="Lucida Bright" w:hAnsi="Lucida Bright"/>
              <w:sz w:val="22"/>
              <w:szCs w:val="22"/>
            </w:rPr>
            <w:t xml:space="preserve"> adjacent to water in the state</w:t>
          </w:r>
          <w:r w:rsidRPr="001008B4">
            <w:rPr>
              <w:rFonts w:ascii="Lucida Bright" w:hAnsi="Lucida Bright"/>
              <w:sz w:val="22"/>
              <w:szCs w:val="22"/>
            </w:rPr>
            <w:t>.</w:t>
          </w:r>
          <w:r w:rsidR="00807B46" w:rsidRPr="001008B4">
            <w:rPr>
              <w:rFonts w:ascii="Lucida Bright" w:hAnsi="Lucida Bright"/>
              <w:sz w:val="22"/>
              <w:szCs w:val="22"/>
            </w:rPr>
            <w:t xml:space="preserve"> </w:t>
          </w:r>
          <w:r w:rsidRPr="001008B4">
            <w:rPr>
              <w:rFonts w:ascii="Lucida Bright" w:hAnsi="Lucida Bright"/>
              <w:sz w:val="22"/>
              <w:szCs w:val="22"/>
            </w:rPr>
            <w:t>These types of dis</w:t>
          </w:r>
          <w:r w:rsidR="00EC6D15" w:rsidRPr="001008B4">
            <w:rPr>
              <w:rFonts w:ascii="Lucida Bright" w:hAnsi="Lucida Bright"/>
              <w:sz w:val="22"/>
              <w:szCs w:val="22"/>
            </w:rPr>
            <w:t>posal activities</w:t>
          </w:r>
          <w:r w:rsidRPr="001008B4">
            <w:rPr>
              <w:rFonts w:ascii="Lucida Bright" w:hAnsi="Lucida Bright"/>
              <w:sz w:val="22"/>
              <w:szCs w:val="22"/>
            </w:rPr>
            <w:t xml:space="preserve"> are more appropriately regulated under a general permit based upon the requirements of </w:t>
          </w:r>
          <w:r w:rsidR="00D53613" w:rsidRPr="001008B4">
            <w:rPr>
              <w:rFonts w:ascii="Lucida Bright" w:hAnsi="Lucida Bright"/>
              <w:sz w:val="22"/>
              <w:szCs w:val="22"/>
            </w:rPr>
            <w:t xml:space="preserve">30 TAC </w:t>
          </w:r>
          <w:r w:rsidR="00F53CD6" w:rsidRPr="001008B4">
            <w:rPr>
              <w:rFonts w:ascii="Lucida Bright" w:hAnsi="Lucida Bright"/>
              <w:sz w:val="22"/>
              <w:szCs w:val="22"/>
            </w:rPr>
            <w:t>§</w:t>
          </w:r>
          <w:r w:rsidR="00CF497E">
            <w:rPr>
              <w:rFonts w:ascii="Lucida Bright" w:hAnsi="Lucida Bright"/>
              <w:sz w:val="22"/>
              <w:szCs w:val="22"/>
            </w:rPr>
            <w:t xml:space="preserve"> </w:t>
          </w:r>
          <w:r w:rsidRPr="001008B4">
            <w:rPr>
              <w:rFonts w:ascii="Lucida Bright" w:hAnsi="Lucida Bright"/>
              <w:sz w:val="22"/>
              <w:szCs w:val="22"/>
            </w:rPr>
            <w:t>205.2(a)(5), insomuch as TCEQ can readily enforce the general permit and can monitor compliance of the terms of the permit.</w:t>
          </w:r>
          <w:r w:rsidR="00807B46" w:rsidRPr="001008B4">
            <w:rPr>
              <w:rFonts w:ascii="Lucida Bright" w:hAnsi="Lucida Bright"/>
              <w:sz w:val="22"/>
              <w:szCs w:val="22"/>
            </w:rPr>
            <w:t xml:space="preserve"> </w:t>
          </w:r>
          <w:r w:rsidRPr="001008B4">
            <w:rPr>
              <w:rFonts w:ascii="Lucida Bright" w:hAnsi="Lucida Bright"/>
              <w:sz w:val="22"/>
              <w:szCs w:val="22"/>
            </w:rPr>
            <w:t>The permit would establish monitoring, recordkeeping, and reporting requirements.</w:t>
          </w:r>
          <w:r w:rsidR="00807B46" w:rsidRPr="001008B4">
            <w:rPr>
              <w:rFonts w:ascii="Lucida Bright" w:hAnsi="Lucida Bright"/>
              <w:sz w:val="22"/>
              <w:szCs w:val="22"/>
            </w:rPr>
            <w:t xml:space="preserve"> </w:t>
          </w:r>
          <w:r w:rsidRPr="001008B4">
            <w:rPr>
              <w:rFonts w:ascii="Lucida Bright" w:hAnsi="Lucida Bright"/>
              <w:sz w:val="22"/>
              <w:szCs w:val="22"/>
            </w:rPr>
            <w:t xml:space="preserve">The permit </w:t>
          </w:r>
          <w:r w:rsidR="00066542" w:rsidRPr="001008B4">
            <w:rPr>
              <w:rFonts w:ascii="Lucida Bright" w:hAnsi="Lucida Bright"/>
              <w:sz w:val="22"/>
              <w:szCs w:val="22"/>
            </w:rPr>
            <w:t>would also establish</w:t>
          </w:r>
          <w:r w:rsidRPr="001008B4">
            <w:rPr>
              <w:rFonts w:ascii="Lucida Bright" w:hAnsi="Lucida Bright"/>
              <w:sz w:val="22"/>
              <w:szCs w:val="22"/>
            </w:rPr>
            <w:t xml:space="preserve"> requirements for the protection of underlying groundwater, </w:t>
          </w:r>
          <w:r w:rsidR="0050483E" w:rsidRPr="001008B4">
            <w:rPr>
              <w:rFonts w:ascii="Lucida Bright" w:hAnsi="Lucida Bright"/>
              <w:sz w:val="22"/>
              <w:szCs w:val="22"/>
            </w:rPr>
            <w:t>and prohibit</w:t>
          </w:r>
          <w:r w:rsidRPr="001008B4">
            <w:rPr>
              <w:rFonts w:ascii="Lucida Bright" w:hAnsi="Lucida Bright"/>
              <w:sz w:val="22"/>
              <w:szCs w:val="22"/>
            </w:rPr>
            <w:t xml:space="preserve"> any discharge into water</w:t>
          </w:r>
          <w:r w:rsidR="00390B11" w:rsidRPr="001008B4">
            <w:rPr>
              <w:rFonts w:ascii="Lucida Bright" w:hAnsi="Lucida Bright"/>
              <w:sz w:val="22"/>
              <w:szCs w:val="22"/>
            </w:rPr>
            <w:t xml:space="preserve"> in the state</w:t>
          </w:r>
          <w:r w:rsidRPr="001008B4">
            <w:rPr>
              <w:rFonts w:ascii="Lucida Bright" w:hAnsi="Lucida Bright"/>
              <w:sz w:val="22"/>
              <w:szCs w:val="22"/>
            </w:rPr>
            <w:t>, and thus, is not expected to result in an adverse effect on the quality of either resource.</w:t>
          </w:r>
        </w:p>
        <w:p w14:paraId="572DDB47" w14:textId="2372BA5C" w:rsidR="0086433B" w:rsidRPr="001008B4" w:rsidRDefault="00CD2A3B" w:rsidP="007A3B5B">
          <w:pPr>
            <w:pStyle w:val="Heading1"/>
            <w:spacing w:after="240"/>
            <w:rPr>
              <w:rFonts w:ascii="Lucida Bright" w:hAnsi="Lucida Bright"/>
              <w:szCs w:val="22"/>
            </w:rPr>
          </w:pPr>
          <w:r w:rsidRPr="001008B4">
            <w:rPr>
              <w:rFonts w:ascii="Lucida Bright" w:hAnsi="Lucida Bright"/>
              <w:szCs w:val="22"/>
            </w:rPr>
            <w:lastRenderedPageBreak/>
            <w:t>I</w:t>
          </w:r>
          <w:r w:rsidR="007514A4" w:rsidRPr="001008B4">
            <w:rPr>
              <w:rFonts w:ascii="Lucida Bright" w:hAnsi="Lucida Bright"/>
              <w:szCs w:val="22"/>
            </w:rPr>
            <w:t>X</w:t>
          </w:r>
          <w:r w:rsidR="0086433B" w:rsidRPr="001008B4">
            <w:rPr>
              <w:rFonts w:ascii="Lucida Bright" w:hAnsi="Lucida Bright"/>
              <w:szCs w:val="22"/>
            </w:rPr>
            <w:t xml:space="preserve">. Permit </w:t>
          </w:r>
          <w:r w:rsidR="00EE3625">
            <w:rPr>
              <w:rFonts w:ascii="Lucida Bright" w:hAnsi="Lucida Bright"/>
              <w:szCs w:val="22"/>
            </w:rPr>
            <w:t>Authorization</w:t>
          </w:r>
        </w:p>
        <w:p w14:paraId="154218B3" w14:textId="77777777" w:rsidR="00250DC1" w:rsidRPr="001008B4" w:rsidRDefault="00250DC1" w:rsidP="0072475A">
          <w:pPr>
            <w:pStyle w:val="ListNumber"/>
            <w:numPr>
              <w:ilvl w:val="0"/>
              <w:numId w:val="39"/>
            </w:numPr>
            <w:ind w:left="360"/>
          </w:pPr>
          <w:r w:rsidRPr="001008B4">
            <w:t xml:space="preserve">All applicants seeking </w:t>
          </w:r>
          <w:r w:rsidR="00507430" w:rsidRPr="001008B4">
            <w:t xml:space="preserve">initial </w:t>
          </w:r>
          <w:r w:rsidRPr="001008B4">
            <w:t xml:space="preserve">authorization to </w:t>
          </w:r>
          <w:r w:rsidR="00292F8D" w:rsidRPr="001008B4">
            <w:t>dispose of wastewater under the</w:t>
          </w:r>
          <w:r w:rsidRPr="001008B4">
            <w:t xml:space="preserve"> general permit must submit a completed Notice of Intent (NOI) on a form approved by the </w:t>
          </w:r>
          <w:r w:rsidR="00333517" w:rsidRPr="001008B4">
            <w:t>e</w:t>
          </w:r>
          <w:r w:rsidRPr="001008B4">
            <w:t xml:space="preserve">xecutive </w:t>
          </w:r>
          <w:r w:rsidR="00333517" w:rsidRPr="001008B4">
            <w:t>d</w:t>
          </w:r>
          <w:r w:rsidRPr="001008B4">
            <w:t>irector.</w:t>
          </w:r>
          <w:r w:rsidR="00807B46" w:rsidRPr="001008B4">
            <w:t xml:space="preserve"> </w:t>
          </w:r>
        </w:p>
        <w:p w14:paraId="23BA3FB4" w14:textId="1A1ECE9A" w:rsidR="00250DC1" w:rsidRPr="001008B4" w:rsidRDefault="00292F8D" w:rsidP="0072475A">
          <w:pPr>
            <w:pStyle w:val="ListNumber"/>
          </w:pPr>
          <w:r w:rsidRPr="001008B4">
            <w:t>Submission of a</w:t>
          </w:r>
          <w:r w:rsidR="00634BB4" w:rsidRPr="001008B4">
            <w:t>n</w:t>
          </w:r>
          <w:r w:rsidRPr="001008B4">
            <w:t xml:space="preserve"> NOI is an acknowledgment that the conditions of the general permit are applicable to the proposed disposal, and that the applicant agrees to comply with the conditions of the general permit. Provisional authorization to dispose of wastewater under the terms and conditions of the general permit begins 48 hours after a completed NOI is postmarked for delivery to TCEQ. If TCEQ provides for electronic submission of NOIs during the term of the permit, provisional authorization begins immediately following confirmation of receipt of the electronic NOI form by the TCEQ.</w:t>
          </w:r>
        </w:p>
        <w:p w14:paraId="3B2AAA77" w14:textId="77777777" w:rsidR="00292F8D" w:rsidRPr="001008B4" w:rsidRDefault="00292F8D" w:rsidP="0072475A">
          <w:pPr>
            <w:pStyle w:val="ListNumber"/>
          </w:pPr>
          <w:r w:rsidRPr="001008B4">
            <w:t>Authorization under the general permit is not transferable. If the owner or operator of the regulated entity changes, the present owner and operator shall submit a Notice of Termination (NOT) and the new owner and operator shall submit a</w:t>
          </w:r>
          <w:r w:rsidR="00FC12C6" w:rsidRPr="001008B4">
            <w:t>n</w:t>
          </w:r>
          <w:r w:rsidRPr="001008B4">
            <w:t xml:space="preserve"> NOI. Any change in a permittee’s Charter Number, as registered with the Texas Secretary of State, is considered a change in ownership of the company. The NOT and NOI must be submitted no later than 10 days prior to the changes to avoid a lapse in authorization for the facility.</w:t>
          </w:r>
        </w:p>
        <w:p w14:paraId="6EDA7B68" w14:textId="77777777" w:rsidR="00292F8D" w:rsidRPr="001008B4" w:rsidRDefault="00292F8D" w:rsidP="0072475A">
          <w:pPr>
            <w:pStyle w:val="ListNumber"/>
          </w:pPr>
          <w:r w:rsidRPr="001008B4">
            <w:t>If the owner or operator becomes aware that they failed to submit any relevant facts or submitted incorrect information in a</w:t>
          </w:r>
          <w:r w:rsidR="00BD02F4" w:rsidRPr="001008B4">
            <w:t>n</w:t>
          </w:r>
          <w:r w:rsidRPr="001008B4">
            <w:t xml:space="preserve"> NOI or that information provided in the NOI changes (for example, permittee address or details about an evaporation pond), the correct information shall be provided to the executive director in a Notice of Change (NOC) within 14 days after discovery. A</w:t>
          </w:r>
          <w:r w:rsidR="00783B2B" w:rsidRPr="001008B4">
            <w:t>n</w:t>
          </w:r>
          <w:r w:rsidRPr="001008B4">
            <w:t xml:space="preserve"> NOT </w:t>
          </w:r>
          <w:r w:rsidR="000A215D" w:rsidRPr="001008B4">
            <w:t>and a new NOI are</w:t>
          </w:r>
          <w:r w:rsidRPr="001008B4">
            <w:t xml:space="preserve"> required for a change in the site location or changes in ownership or operator.</w:t>
          </w:r>
        </w:p>
        <w:p w14:paraId="4EBD3F5D" w14:textId="3C1DB4EA" w:rsidR="00D85320" w:rsidRPr="001008B4" w:rsidRDefault="00292F8D" w:rsidP="0072475A">
          <w:pPr>
            <w:pStyle w:val="ListNumber"/>
          </w:pPr>
          <w:r w:rsidRPr="001008B4">
            <w:t xml:space="preserve">A permittee shall terminate </w:t>
          </w:r>
          <w:r w:rsidR="00EE3625">
            <w:t>authorization</w:t>
          </w:r>
          <w:r w:rsidR="00EE3625" w:rsidRPr="001008B4">
            <w:t xml:space="preserve"> </w:t>
          </w:r>
          <w:r w:rsidRPr="001008B4">
            <w:t>under this general permit through the submittal of a</w:t>
          </w:r>
          <w:r w:rsidR="0050483E" w:rsidRPr="001008B4">
            <w:t>n</w:t>
          </w:r>
          <w:r w:rsidRPr="001008B4">
            <w:t xml:space="preserve"> NOT, on a form approved by the executive director, when the owner or operator of the facility changes, when disposal becomes unnecessary, is delayed, or is authorized under an individual permit. Authorization to dispose of wastewater terminates on the day that a</w:t>
          </w:r>
          <w:r w:rsidR="0050483E" w:rsidRPr="001008B4">
            <w:t>n</w:t>
          </w:r>
          <w:r w:rsidRPr="001008B4">
            <w:t xml:space="preserve"> NOT is postmarked for delivery. If TCEQ provides for electronic submission of NOTs, authorization under this permit terminates immediately following confirmation of receipt of the electronic NOT form by TCEQ.</w:t>
          </w:r>
          <w:r w:rsidR="00D85320" w:rsidRPr="001008B4">
            <w:t xml:space="preserve"> </w:t>
          </w:r>
          <w:r w:rsidRPr="001008B4">
            <w:t>A</w:t>
          </w:r>
          <w:r w:rsidR="0050483E" w:rsidRPr="001008B4">
            <w:t>n</w:t>
          </w:r>
          <w:r w:rsidRPr="001008B4">
            <w:t xml:space="preserve"> NOT must be submitted within </w:t>
          </w:r>
          <w:r w:rsidR="000A215D" w:rsidRPr="001008B4">
            <w:t>10</w:t>
          </w:r>
          <w:r w:rsidRPr="001008B4">
            <w:t xml:space="preserve"> days after the facility completes the closure requirements in Part III.B.3., obtains </w:t>
          </w:r>
          <w:r w:rsidR="00EE3625">
            <w:t>authorization</w:t>
          </w:r>
          <w:r w:rsidR="00EE3625" w:rsidRPr="001008B4">
            <w:t xml:space="preserve"> </w:t>
          </w:r>
          <w:r w:rsidRPr="001008B4">
            <w:t xml:space="preserve">under an individual permit, or obtains </w:t>
          </w:r>
          <w:r w:rsidR="00EE3625">
            <w:t>authorization</w:t>
          </w:r>
          <w:r w:rsidR="00EE3625" w:rsidRPr="001008B4">
            <w:t xml:space="preserve"> </w:t>
          </w:r>
          <w:r w:rsidRPr="001008B4">
            <w:t>under an alternative general permit.</w:t>
          </w:r>
        </w:p>
        <w:p w14:paraId="4D34B2EB" w14:textId="77777777" w:rsidR="0086433B" w:rsidRPr="001008B4" w:rsidRDefault="008C7963" w:rsidP="00783B2B">
          <w:pPr>
            <w:pStyle w:val="Heading1"/>
            <w:tabs>
              <w:tab w:val="left" w:pos="540"/>
            </w:tabs>
            <w:spacing w:after="240"/>
            <w:rPr>
              <w:rFonts w:ascii="Lucida Bright" w:hAnsi="Lucida Bright"/>
              <w:szCs w:val="22"/>
            </w:rPr>
          </w:pPr>
          <w:r w:rsidRPr="001008B4">
            <w:rPr>
              <w:rFonts w:ascii="Lucida Bright" w:hAnsi="Lucida Bright"/>
              <w:szCs w:val="22"/>
            </w:rPr>
            <w:t>X.</w:t>
          </w:r>
          <w:r w:rsidR="00B06411" w:rsidRPr="001008B4">
            <w:rPr>
              <w:rFonts w:ascii="Lucida Bright" w:hAnsi="Lucida Bright"/>
              <w:szCs w:val="22"/>
            </w:rPr>
            <w:tab/>
          </w:r>
          <w:r w:rsidR="0086433B" w:rsidRPr="001008B4">
            <w:rPr>
              <w:rFonts w:ascii="Lucida Bright" w:hAnsi="Lucida Bright"/>
              <w:szCs w:val="22"/>
            </w:rPr>
            <w:t>Technology-Based Requirements</w:t>
          </w:r>
        </w:p>
        <w:p w14:paraId="79C0BCEE" w14:textId="77777777" w:rsidR="00785251" w:rsidRPr="001008B4" w:rsidRDefault="005A52A6" w:rsidP="0072475A">
          <w:pPr>
            <w:rPr>
              <w:rFonts w:ascii="Lucida Bright" w:hAnsi="Lucida Bright"/>
              <w:sz w:val="22"/>
              <w:szCs w:val="22"/>
            </w:rPr>
          </w:pPr>
          <w:r w:rsidRPr="001008B4">
            <w:rPr>
              <w:rFonts w:ascii="Lucida Bright" w:hAnsi="Lucida Bright"/>
              <w:sz w:val="22"/>
              <w:szCs w:val="22"/>
            </w:rPr>
            <w:t>The r</w:t>
          </w:r>
          <w:r w:rsidR="0080007C" w:rsidRPr="001008B4">
            <w:rPr>
              <w:rFonts w:ascii="Lucida Bright" w:hAnsi="Lucida Bright"/>
              <w:sz w:val="22"/>
              <w:szCs w:val="22"/>
            </w:rPr>
            <w:t>egulations promulgated in 40 Code of Federal Regulations</w:t>
          </w:r>
          <w:r w:rsidR="00BD02F4" w:rsidRPr="001008B4">
            <w:rPr>
              <w:rFonts w:ascii="Lucida Bright" w:hAnsi="Lucida Bright"/>
              <w:sz w:val="22"/>
              <w:szCs w:val="22"/>
            </w:rPr>
            <w:t>,</w:t>
          </w:r>
          <w:r w:rsidR="0080007C" w:rsidRPr="001008B4">
            <w:rPr>
              <w:rFonts w:ascii="Lucida Bright" w:hAnsi="Lucida Bright"/>
              <w:sz w:val="22"/>
              <w:szCs w:val="22"/>
            </w:rPr>
            <w:t xml:space="preserve"> </w:t>
          </w:r>
          <w:r w:rsidRPr="001008B4">
            <w:rPr>
              <w:rFonts w:ascii="Lucida Bright" w:hAnsi="Lucida Bright"/>
              <w:sz w:val="22"/>
              <w:szCs w:val="22"/>
            </w:rPr>
            <w:t xml:space="preserve">which </w:t>
          </w:r>
          <w:r w:rsidR="0080007C" w:rsidRPr="001008B4">
            <w:rPr>
              <w:rFonts w:ascii="Lucida Bright" w:hAnsi="Lucida Bright"/>
              <w:sz w:val="22"/>
              <w:szCs w:val="22"/>
            </w:rPr>
            <w:t>require technology-based limitations be placed in wastewater discharge permits based on effluent limitations guidelines</w:t>
          </w:r>
          <w:r w:rsidR="00FC12C6" w:rsidRPr="001008B4">
            <w:rPr>
              <w:rFonts w:ascii="Lucida Bright" w:hAnsi="Lucida Bright"/>
              <w:sz w:val="22"/>
              <w:szCs w:val="22"/>
            </w:rPr>
            <w:t>,</w:t>
          </w:r>
          <w:r w:rsidR="0080007C" w:rsidRPr="001008B4">
            <w:rPr>
              <w:rFonts w:ascii="Lucida Bright" w:hAnsi="Lucida Bright"/>
              <w:sz w:val="22"/>
              <w:szCs w:val="22"/>
            </w:rPr>
            <w:t xml:space="preserve"> </w:t>
          </w:r>
          <w:r w:rsidR="005A61F5" w:rsidRPr="001008B4">
            <w:rPr>
              <w:rFonts w:ascii="Lucida Bright" w:hAnsi="Lucida Bright"/>
              <w:sz w:val="22"/>
              <w:szCs w:val="22"/>
            </w:rPr>
            <w:t>do not apply to this general permit</w:t>
          </w:r>
          <w:r w:rsidR="00FC12C6" w:rsidRPr="001008B4">
            <w:rPr>
              <w:rFonts w:ascii="Lucida Bright" w:hAnsi="Lucida Bright"/>
              <w:sz w:val="22"/>
              <w:szCs w:val="22"/>
            </w:rPr>
            <w:t>,</w:t>
          </w:r>
          <w:r w:rsidR="005A61F5" w:rsidRPr="001008B4">
            <w:rPr>
              <w:rFonts w:ascii="Lucida Bright" w:hAnsi="Lucida Bright"/>
              <w:sz w:val="22"/>
              <w:szCs w:val="22"/>
            </w:rPr>
            <w:t xml:space="preserve"> which </w:t>
          </w:r>
          <w:r w:rsidR="0050483E" w:rsidRPr="001008B4">
            <w:rPr>
              <w:rFonts w:ascii="Lucida Bright" w:hAnsi="Lucida Bright"/>
              <w:sz w:val="22"/>
              <w:szCs w:val="22"/>
            </w:rPr>
            <w:t xml:space="preserve">would </w:t>
          </w:r>
          <w:r w:rsidRPr="001008B4">
            <w:rPr>
              <w:rFonts w:ascii="Lucida Bright" w:hAnsi="Lucida Bright"/>
              <w:sz w:val="22"/>
              <w:szCs w:val="22"/>
            </w:rPr>
            <w:t xml:space="preserve">only </w:t>
          </w:r>
          <w:r w:rsidR="0050483E" w:rsidRPr="001008B4">
            <w:rPr>
              <w:rFonts w:ascii="Lucida Bright" w:hAnsi="Lucida Bright"/>
              <w:sz w:val="22"/>
              <w:szCs w:val="22"/>
            </w:rPr>
            <w:t>allow</w:t>
          </w:r>
          <w:r w:rsidR="005A61F5" w:rsidRPr="001008B4">
            <w:rPr>
              <w:rFonts w:ascii="Lucida Bright" w:hAnsi="Lucida Bright"/>
              <w:sz w:val="22"/>
              <w:szCs w:val="22"/>
            </w:rPr>
            <w:t xml:space="preserve"> </w:t>
          </w:r>
          <w:r w:rsidRPr="001008B4">
            <w:rPr>
              <w:rFonts w:ascii="Lucida Bright" w:hAnsi="Lucida Bright"/>
              <w:sz w:val="22"/>
              <w:szCs w:val="22"/>
            </w:rPr>
            <w:t xml:space="preserve">for </w:t>
          </w:r>
          <w:r w:rsidR="005A61F5" w:rsidRPr="001008B4">
            <w:rPr>
              <w:rFonts w:ascii="Lucida Bright" w:hAnsi="Lucida Bright"/>
              <w:sz w:val="22"/>
              <w:szCs w:val="22"/>
            </w:rPr>
            <w:t>the disposal of wastewater by evaporation</w:t>
          </w:r>
          <w:r w:rsidR="00D53613" w:rsidRPr="001008B4">
            <w:rPr>
              <w:rFonts w:ascii="Lucida Bright" w:hAnsi="Lucida Bright"/>
              <w:sz w:val="22"/>
              <w:szCs w:val="22"/>
            </w:rPr>
            <w:t xml:space="preserve"> from surface impoundments</w:t>
          </w:r>
          <w:r w:rsidR="00390B11" w:rsidRPr="001008B4">
            <w:rPr>
              <w:rFonts w:ascii="Lucida Bright" w:hAnsi="Lucida Bright"/>
              <w:sz w:val="22"/>
              <w:szCs w:val="22"/>
            </w:rPr>
            <w:t xml:space="preserve"> </w:t>
          </w:r>
          <w:r w:rsidR="00390B11" w:rsidRPr="001008B4">
            <w:rPr>
              <w:rFonts w:ascii="Lucida Bright" w:hAnsi="Lucida Bright"/>
              <w:sz w:val="22"/>
              <w:szCs w:val="22"/>
            </w:rPr>
            <w:lastRenderedPageBreak/>
            <w:t>adjacent to water in the state</w:t>
          </w:r>
          <w:r w:rsidR="005A61F5" w:rsidRPr="001008B4">
            <w:rPr>
              <w:rFonts w:ascii="Lucida Bright" w:hAnsi="Lucida Bright"/>
              <w:sz w:val="22"/>
              <w:szCs w:val="22"/>
            </w:rPr>
            <w:t>.</w:t>
          </w:r>
        </w:p>
        <w:p w14:paraId="721CF550" w14:textId="77777777" w:rsidR="004A16DB" w:rsidRPr="001008B4" w:rsidRDefault="00CD2A3B" w:rsidP="00783B2B">
          <w:pPr>
            <w:pStyle w:val="Heading1"/>
            <w:tabs>
              <w:tab w:val="left" w:pos="540"/>
            </w:tabs>
            <w:spacing w:after="240"/>
            <w:rPr>
              <w:rFonts w:ascii="Lucida Bright" w:hAnsi="Lucida Bright"/>
              <w:szCs w:val="22"/>
            </w:rPr>
          </w:pPr>
          <w:r w:rsidRPr="001008B4">
            <w:rPr>
              <w:rFonts w:ascii="Lucida Bright" w:hAnsi="Lucida Bright"/>
              <w:szCs w:val="22"/>
            </w:rPr>
            <w:t>X</w:t>
          </w:r>
          <w:r w:rsidR="007514A4" w:rsidRPr="001008B4">
            <w:rPr>
              <w:rFonts w:ascii="Lucida Bright" w:hAnsi="Lucida Bright"/>
              <w:szCs w:val="22"/>
            </w:rPr>
            <w:t>I</w:t>
          </w:r>
          <w:r w:rsidR="008C7963" w:rsidRPr="001008B4">
            <w:rPr>
              <w:rFonts w:ascii="Lucida Bright" w:hAnsi="Lucida Bright"/>
              <w:szCs w:val="22"/>
            </w:rPr>
            <w:t>.</w:t>
          </w:r>
          <w:r w:rsidR="008C7963" w:rsidRPr="001008B4">
            <w:rPr>
              <w:rFonts w:ascii="Lucida Bright" w:hAnsi="Lucida Bright"/>
              <w:szCs w:val="22"/>
            </w:rPr>
            <w:tab/>
          </w:r>
          <w:r w:rsidR="0086433B" w:rsidRPr="001008B4">
            <w:rPr>
              <w:rFonts w:ascii="Lucida Bright" w:hAnsi="Lucida Bright"/>
              <w:szCs w:val="22"/>
            </w:rPr>
            <w:t>Water Quality-Based Requirements</w:t>
          </w:r>
        </w:p>
        <w:p w14:paraId="5BFBEBD5" w14:textId="77777777" w:rsidR="00783B2B" w:rsidRPr="001008B4" w:rsidRDefault="00A5071D" w:rsidP="0072475A">
          <w:pPr>
            <w:spacing w:after="240"/>
            <w:rPr>
              <w:rFonts w:ascii="Lucida Bright" w:hAnsi="Lucida Bright"/>
              <w:sz w:val="22"/>
              <w:szCs w:val="22"/>
            </w:rPr>
          </w:pPr>
          <w:r w:rsidRPr="001008B4">
            <w:rPr>
              <w:rFonts w:ascii="Lucida Bright" w:hAnsi="Lucida Bright"/>
              <w:sz w:val="22"/>
              <w:szCs w:val="22"/>
            </w:rPr>
            <w:t>The Texas Surface Water Quality Standards found at 30 TAC Chapter 307 state that</w:t>
          </w:r>
          <w:r w:rsidR="00BD02F4" w:rsidRPr="001008B4">
            <w:rPr>
              <w:rFonts w:ascii="Lucida Bright" w:hAnsi="Lucida Bright"/>
              <w:sz w:val="22"/>
              <w:szCs w:val="22"/>
            </w:rPr>
            <w:t>,</w:t>
          </w:r>
          <w:r w:rsidRPr="001008B4">
            <w:rPr>
              <w:rFonts w:ascii="Lucida Bright" w:hAnsi="Lucida Bright"/>
              <w:sz w:val="22"/>
              <w:szCs w:val="22"/>
            </w:rPr>
            <w:t xml:space="preserve"> “surface waters will not be toxic to man from ingestion of water, consumption of organic organisms, or contact with the skin, or to terrestrial or aquatic life</w:t>
          </w:r>
          <w:r w:rsidR="00BD02F4" w:rsidRPr="001008B4">
            <w:rPr>
              <w:rFonts w:ascii="Lucida Bright" w:hAnsi="Lucida Bright"/>
              <w:sz w:val="22"/>
              <w:szCs w:val="22"/>
            </w:rPr>
            <w:t>.</w:t>
          </w:r>
          <w:r w:rsidRPr="001008B4">
            <w:rPr>
              <w:rFonts w:ascii="Lucida Bright" w:hAnsi="Lucida Bright"/>
              <w:sz w:val="22"/>
              <w:szCs w:val="22"/>
            </w:rPr>
            <w:t>”</w:t>
          </w:r>
          <w:r w:rsidR="00807B46" w:rsidRPr="001008B4">
            <w:rPr>
              <w:rFonts w:ascii="Lucida Bright" w:hAnsi="Lucida Bright"/>
              <w:sz w:val="22"/>
              <w:szCs w:val="22"/>
            </w:rPr>
            <w:t xml:space="preserve"> </w:t>
          </w:r>
          <w:r w:rsidR="00783B2B" w:rsidRPr="001008B4">
            <w:rPr>
              <w:rFonts w:ascii="Lucida Bright" w:hAnsi="Lucida Bright"/>
              <w:sz w:val="22"/>
              <w:szCs w:val="22"/>
            </w:rPr>
            <w:t>The draft</w:t>
          </w:r>
          <w:r w:rsidR="002319B7" w:rsidRPr="001008B4">
            <w:rPr>
              <w:rFonts w:ascii="Lucida Bright" w:hAnsi="Lucida Bright"/>
              <w:sz w:val="22"/>
              <w:szCs w:val="22"/>
            </w:rPr>
            <w:t xml:space="preserve"> general permit does not authorize a discharge into </w:t>
          </w:r>
          <w:r w:rsidR="00783B2B" w:rsidRPr="001008B4">
            <w:rPr>
              <w:rFonts w:ascii="Lucida Bright" w:hAnsi="Lucida Bright"/>
              <w:sz w:val="22"/>
              <w:szCs w:val="22"/>
            </w:rPr>
            <w:t>water in the state. Therefore</w:t>
          </w:r>
          <w:r w:rsidR="005B0241" w:rsidRPr="001008B4">
            <w:rPr>
              <w:rFonts w:ascii="Lucida Bright" w:hAnsi="Lucida Bright"/>
              <w:sz w:val="22"/>
              <w:szCs w:val="22"/>
            </w:rPr>
            <w:t>,</w:t>
          </w:r>
          <w:r w:rsidR="00783B2B" w:rsidRPr="001008B4">
            <w:rPr>
              <w:rFonts w:ascii="Lucida Bright" w:hAnsi="Lucida Bright"/>
              <w:sz w:val="22"/>
              <w:szCs w:val="22"/>
            </w:rPr>
            <w:t xml:space="preserve"> no water quality based requirements for the protection of surface waters are proposed. However, the draft general permit includes requirements related to the design, construction, and operation of evaporation ponds to protect water quality.</w:t>
          </w:r>
        </w:p>
        <w:p w14:paraId="6A932843" w14:textId="6F5A53B1" w:rsidR="00EA4CDD" w:rsidRPr="001008B4" w:rsidRDefault="00783B2B" w:rsidP="0072475A">
          <w:pPr>
            <w:pStyle w:val="ListNumber"/>
            <w:numPr>
              <w:ilvl w:val="0"/>
              <w:numId w:val="41"/>
            </w:numPr>
            <w:ind w:left="360"/>
          </w:pPr>
          <w:r w:rsidRPr="001008B4">
            <w:t xml:space="preserve">Evaporation ponds </w:t>
          </w:r>
          <w:r w:rsidR="003D66E0">
            <w:t>shall</w:t>
          </w:r>
          <w:r w:rsidRPr="001008B4">
            <w:t xml:space="preserve"> be sized based on the larger of two evaluations: average conditions and critical conditions. </w:t>
          </w:r>
          <w:r w:rsidR="00E10065" w:rsidRPr="001008B4">
            <w:t xml:space="preserve">For evaporation ponds that </w:t>
          </w:r>
          <w:r w:rsidR="00884141" w:rsidRPr="001008B4">
            <w:t>were</w:t>
          </w:r>
          <w:r w:rsidR="00E10065" w:rsidRPr="001008B4">
            <w:t xml:space="preserve"> constructed prior to </w:t>
          </w:r>
          <w:r w:rsidR="00884141" w:rsidRPr="001008B4">
            <w:t>September 15, 2015</w:t>
          </w:r>
          <w:r w:rsidR="00E10065" w:rsidRPr="001008B4">
            <w:t xml:space="preserve"> that do not comply with the sizing requirements</w:t>
          </w:r>
          <w:r w:rsidRPr="001008B4">
            <w:t>, the permittee shall implement measures or provide additio</w:t>
          </w:r>
          <w:r w:rsidR="00D95B5F" w:rsidRPr="001008B4">
            <w:t xml:space="preserve">nal storage to store and </w:t>
          </w:r>
          <w:r w:rsidRPr="001008B4">
            <w:t xml:space="preserve">dispose of the additional wastewater. </w:t>
          </w:r>
          <w:r w:rsidR="00F36A35" w:rsidRPr="001008B4">
            <w:t>The design shall include a top freeboard of not less than two feet.</w:t>
          </w:r>
        </w:p>
        <w:p w14:paraId="2A7C8309" w14:textId="77777777" w:rsidR="00EA4CDD" w:rsidRPr="001008B4" w:rsidRDefault="00EA4CDD" w:rsidP="0072475A">
          <w:pPr>
            <w:pStyle w:val="ListNumber"/>
          </w:pPr>
          <w:r w:rsidRPr="001008B4">
            <w:t>Evaporation ponds shall be designed with a volume allocation for solids accumulation based on the expected settleable solids content of the wastewater.</w:t>
          </w:r>
          <w:r w:rsidR="00F36A35" w:rsidRPr="001008B4">
            <w:t xml:space="preserve">  The permittee shall measure the solids volume in each evaporation pond every five years or at a frequency equal to the design period used to calculate the solids volume allocation</w:t>
          </w:r>
          <w:r w:rsidR="00D95B5F" w:rsidRPr="001008B4">
            <w:t>, whichever is sooner. S</w:t>
          </w:r>
          <w:r w:rsidR="00F36A35" w:rsidRPr="001008B4">
            <w:t>olids shall be removed from the evaporation pond to prevent the solids volume from exceeding the designed volume allocation for solids accumulation.</w:t>
          </w:r>
          <w:r w:rsidRPr="001008B4">
            <w:t xml:space="preserve"> </w:t>
          </w:r>
        </w:p>
        <w:p w14:paraId="05BBAAF1" w14:textId="77777777" w:rsidR="00EA4CDD" w:rsidRPr="001008B4" w:rsidRDefault="00D63AF1" w:rsidP="0072475A">
          <w:pPr>
            <w:pStyle w:val="ListNumber"/>
          </w:pPr>
          <w:r w:rsidRPr="001008B4">
            <w:t xml:space="preserve">The permittee shall conduct weekly visual inspections of the evaporation pond and take </w:t>
          </w:r>
          <w:r w:rsidR="00EA4CDD" w:rsidRPr="001008B4">
            <w:t>corrective action within 24 hours after a visual inspection that identifies a wastewater level that may cause an overflow.</w:t>
          </w:r>
        </w:p>
        <w:p w14:paraId="0B999BA6" w14:textId="77777777" w:rsidR="008D08DE" w:rsidRPr="001008B4" w:rsidRDefault="00536BEC" w:rsidP="00ED1147">
          <w:pPr>
            <w:pStyle w:val="Heading1"/>
            <w:spacing w:before="0" w:after="240"/>
            <w:rPr>
              <w:rFonts w:ascii="Lucida Bright" w:hAnsi="Lucida Bright"/>
              <w:szCs w:val="22"/>
            </w:rPr>
          </w:pPr>
          <w:r w:rsidRPr="001008B4">
            <w:rPr>
              <w:rFonts w:ascii="Lucida Bright" w:hAnsi="Lucida Bright"/>
              <w:szCs w:val="22"/>
            </w:rPr>
            <w:t>X</w:t>
          </w:r>
          <w:r w:rsidR="00CD2A3B" w:rsidRPr="001008B4">
            <w:rPr>
              <w:rFonts w:ascii="Lucida Bright" w:hAnsi="Lucida Bright"/>
              <w:szCs w:val="22"/>
            </w:rPr>
            <w:t>I</w:t>
          </w:r>
          <w:r w:rsidR="007514A4" w:rsidRPr="001008B4">
            <w:rPr>
              <w:rFonts w:ascii="Lucida Bright" w:hAnsi="Lucida Bright"/>
              <w:szCs w:val="22"/>
            </w:rPr>
            <w:t>I</w:t>
          </w:r>
          <w:r w:rsidR="0086433B" w:rsidRPr="001008B4">
            <w:rPr>
              <w:rFonts w:ascii="Lucida Bright" w:hAnsi="Lucida Bright"/>
              <w:szCs w:val="22"/>
            </w:rPr>
            <w:t>.</w:t>
          </w:r>
          <w:r w:rsidR="00807B46" w:rsidRPr="001008B4">
            <w:rPr>
              <w:rFonts w:ascii="Lucida Bright" w:hAnsi="Lucida Bright"/>
              <w:szCs w:val="22"/>
            </w:rPr>
            <w:t xml:space="preserve"> </w:t>
          </w:r>
          <w:r w:rsidR="0086433B" w:rsidRPr="001008B4">
            <w:rPr>
              <w:rFonts w:ascii="Lucida Bright" w:hAnsi="Lucida Bright"/>
              <w:szCs w:val="22"/>
            </w:rPr>
            <w:t>Requir</w:t>
          </w:r>
          <w:r w:rsidRPr="001008B4">
            <w:rPr>
              <w:rFonts w:ascii="Lucida Bright" w:hAnsi="Lucida Bright"/>
              <w:szCs w:val="22"/>
            </w:rPr>
            <w:t>e</w:t>
          </w:r>
          <w:r w:rsidR="0086433B" w:rsidRPr="001008B4">
            <w:rPr>
              <w:rFonts w:ascii="Lucida Bright" w:hAnsi="Lucida Bright"/>
              <w:szCs w:val="22"/>
            </w:rPr>
            <w:t>ments for the Protection of Groundwater</w:t>
          </w:r>
        </w:p>
        <w:p w14:paraId="1EF4D658" w14:textId="77777777" w:rsidR="008D08DE" w:rsidRPr="001008B4" w:rsidRDefault="00DB6A05" w:rsidP="0072475A">
          <w:pPr>
            <w:pStyle w:val="ListNumber"/>
            <w:numPr>
              <w:ilvl w:val="0"/>
              <w:numId w:val="42"/>
            </w:numPr>
            <w:ind w:left="360"/>
          </w:pPr>
          <w:r w:rsidRPr="001008B4">
            <w:t>The permittee shall notify the appropriate TCEQ regional office at least one calendar week before putting into operation any new or replacement evaporation pond.</w:t>
          </w:r>
        </w:p>
        <w:p w14:paraId="31CFB9CC" w14:textId="739A82B4" w:rsidR="005964BD" w:rsidRPr="001008B4" w:rsidRDefault="00DB6A05" w:rsidP="0072475A">
          <w:pPr>
            <w:pStyle w:val="ListNumber"/>
          </w:pPr>
          <w:r w:rsidRPr="001008B4">
            <w:t xml:space="preserve">Each evaporation pond shall be constructed with either a clay liner or </w:t>
          </w:r>
          <w:r w:rsidR="000C382E" w:rsidRPr="001008B4">
            <w:t xml:space="preserve">a </w:t>
          </w:r>
          <w:r w:rsidRPr="001008B4">
            <w:t>synthetic liner. The draft permit specifies the design and construction criteria for each type of liner. The liner and any required lea</w:t>
          </w:r>
          <w:r w:rsidR="00053D41" w:rsidRPr="001008B4">
            <w:t>k</w:t>
          </w:r>
          <w:r w:rsidR="00634BB4" w:rsidRPr="001008B4">
            <w:t xml:space="preserve"> detection and </w:t>
          </w:r>
          <w:r w:rsidRPr="001008B4">
            <w:t>collection system must be certified by a licensed Texas professional engineer.</w:t>
          </w:r>
          <w:r w:rsidR="00507430" w:rsidRPr="001008B4">
            <w:t xml:space="preserve"> Evaporation ponds for which: (1) a notification was provided to TCEQ in accordance with 30 TAC</w:t>
          </w:r>
          <w:r w:rsidR="005B0241" w:rsidRPr="001008B4">
            <w:t>§</w:t>
          </w:r>
          <w:r w:rsidR="00CF497E">
            <w:t xml:space="preserve"> </w:t>
          </w:r>
          <w:r w:rsidR="00507430" w:rsidRPr="001008B4">
            <w:t>335.2(</w:t>
          </w:r>
          <w:r w:rsidR="00CF497E">
            <w:t>h</w:t>
          </w:r>
          <w:r w:rsidR="00507430" w:rsidRPr="001008B4">
            <w:t xml:space="preserve">) and </w:t>
          </w:r>
          <w:r w:rsidR="005B0241" w:rsidRPr="001008B4">
            <w:t>§</w:t>
          </w:r>
          <w:r w:rsidR="00CF497E">
            <w:t xml:space="preserve"> </w:t>
          </w:r>
          <w:r w:rsidR="00507430" w:rsidRPr="001008B4">
            <w:t xml:space="preserve">335.6 that was acknowledged, in writing, prior to </w:t>
          </w:r>
          <w:r w:rsidR="00884141" w:rsidRPr="001008B4">
            <w:t>September 15, 2015</w:t>
          </w:r>
          <w:r w:rsidR="00507430" w:rsidRPr="001008B4">
            <w:t xml:space="preserve">; or (2) a water quality Texas Land Application Permit was issued prior to </w:t>
          </w:r>
          <w:r w:rsidR="00884141" w:rsidRPr="001008B4">
            <w:t>September 15, 2015</w:t>
          </w:r>
          <w:r w:rsidR="00A305B9" w:rsidRPr="001008B4">
            <w:t xml:space="preserve"> are not required to comply with the specific </w:t>
          </w:r>
          <w:r w:rsidR="007D4727" w:rsidRPr="001008B4">
            <w:t xml:space="preserve">construction </w:t>
          </w:r>
          <w:r w:rsidR="00A305B9" w:rsidRPr="001008B4">
            <w:t xml:space="preserve">requirements in this permit. </w:t>
          </w:r>
          <w:r w:rsidR="000F707C" w:rsidRPr="001008B4">
            <w:t xml:space="preserve"> </w:t>
          </w:r>
        </w:p>
        <w:p w14:paraId="09179A0F" w14:textId="77777777" w:rsidR="005964BD" w:rsidRPr="001008B4" w:rsidRDefault="005964BD" w:rsidP="0072475A">
          <w:pPr>
            <w:pStyle w:val="ListNumber"/>
          </w:pPr>
          <w:r w:rsidRPr="001008B4">
            <w:lastRenderedPageBreak/>
            <w:t xml:space="preserve">In designing the evaporation pond, the engineer shall generate a report that identifies: </w:t>
          </w:r>
        </w:p>
        <w:p w14:paraId="697DE7D8" w14:textId="77777777" w:rsidR="005964BD" w:rsidRPr="001008B4" w:rsidRDefault="005964BD" w:rsidP="0072475A">
          <w:pPr>
            <w:pStyle w:val="ListNumber2"/>
            <w:numPr>
              <w:ilvl w:val="0"/>
              <w:numId w:val="43"/>
            </w:numPr>
          </w:pPr>
          <w:r w:rsidRPr="001008B4">
            <w:t>the existence of any geological formations such as faults or sinkholes at the facility, which may provide a hydrologic connection for stored wastewater to recharge groundwater.</w:t>
          </w:r>
        </w:p>
        <w:p w14:paraId="1E3444BA" w14:textId="77777777" w:rsidR="005964BD" w:rsidRPr="001008B4" w:rsidRDefault="005964BD" w:rsidP="0072475A">
          <w:pPr>
            <w:pStyle w:val="ListNumber2"/>
          </w:pPr>
          <w:r w:rsidRPr="001008B4">
            <w:t>soil types and standard classifications for the location of each evaporation pond. Soil surveys compiled by the United States Department of Agriculture Natural Resources Conservation Service shall be utilized where available. Design aspects related to wastewater seepage shall address the soil’s physical and chemical properties, and hydraulic characteristics. Soil limitations should also be addressed such as, but not limited to, rapid permeability, seasonal perched groundwater, and decreased available water capacity.</w:t>
          </w:r>
        </w:p>
        <w:p w14:paraId="563D65B1" w14:textId="77777777" w:rsidR="000F707C" w:rsidRPr="001008B4" w:rsidRDefault="005964BD" w:rsidP="0072475A">
          <w:pPr>
            <w:pStyle w:val="ListNumber2"/>
          </w:pPr>
          <w:r w:rsidRPr="001008B4">
            <w:t>the impact of wastewater seepage on the uses and water quality of local groundwater resources. The design of evaporation ponds must preclude the migration of wastewater and recharge into the underlying groundwater.</w:t>
          </w:r>
        </w:p>
        <w:p w14:paraId="0C731424" w14:textId="77777777" w:rsidR="000F707C" w:rsidRPr="001008B4" w:rsidRDefault="000F707C" w:rsidP="0072475A">
          <w:pPr>
            <w:pStyle w:val="ListNumber"/>
          </w:pPr>
          <w:r w:rsidRPr="001008B4">
            <w:t xml:space="preserve">The permittee must maintain any evaporation pond liner to inhibit infiltration of wastewater. </w:t>
          </w:r>
          <w:r w:rsidR="00053D41" w:rsidRPr="001008B4">
            <w:t>The permittee shall conduct weekly visual inspections of the evaporation pond and take corrective action within 24 hours after a visual inspection that identifies a wastewater level that may cause an overflow; scum, floating solids, or floating vegetation in the evaporation pond; embankment erosion; trees, shrubs, or other woody vegetation growing in the evaporation pond or the embankment; faulty leak detection systems; or leaks from the evaporation pond liner or embankment.</w:t>
          </w:r>
          <w:r w:rsidRPr="001008B4">
            <w:t xml:space="preserve"> Any mechanical or structural damage to the liner shall be evaluated by a licensed Texas professional engineer within 30 days of the damage. A licensed Texas professional engineer must complete an onsite evaluation of each evaporation pond every five years.</w:t>
          </w:r>
        </w:p>
        <w:p w14:paraId="35D85E94" w14:textId="77777777" w:rsidR="008D08DE" w:rsidRPr="001008B4" w:rsidRDefault="00DB6A05" w:rsidP="0072475A">
          <w:pPr>
            <w:pStyle w:val="ListNumber"/>
          </w:pPr>
          <w:r w:rsidRPr="001008B4">
            <w:t xml:space="preserve">Closure of an evaporation pond </w:t>
          </w:r>
          <w:r w:rsidR="00621FC5" w:rsidRPr="001008B4">
            <w:t xml:space="preserve">includes the development of a closure plan, a final report of closure activities, and a closure certification by a licensed Texas professional engineer. </w:t>
          </w:r>
          <w:r w:rsidR="00BA6BD8" w:rsidRPr="001008B4">
            <w:t>A closure plan describes the actions that will be taken to ensure that al</w:t>
          </w:r>
          <w:r w:rsidR="00621FC5" w:rsidRPr="001008B4">
            <w:t>l wastes will be removed and disposed of properly</w:t>
          </w:r>
          <w:r w:rsidR="00BA6BD8" w:rsidRPr="001008B4">
            <w:t>.</w:t>
          </w:r>
        </w:p>
        <w:p w14:paraId="48B121C4" w14:textId="77777777" w:rsidR="0086433B" w:rsidRPr="001008B4" w:rsidRDefault="00CD2A3B" w:rsidP="00AF459A">
          <w:pPr>
            <w:pStyle w:val="Heading1"/>
            <w:tabs>
              <w:tab w:val="left" w:pos="540"/>
            </w:tabs>
            <w:spacing w:after="240"/>
            <w:rPr>
              <w:rFonts w:ascii="Lucida Bright" w:hAnsi="Lucida Bright"/>
              <w:szCs w:val="22"/>
            </w:rPr>
          </w:pPr>
          <w:r w:rsidRPr="001008B4">
            <w:rPr>
              <w:rFonts w:ascii="Lucida Bright" w:hAnsi="Lucida Bright"/>
              <w:szCs w:val="22"/>
            </w:rPr>
            <w:t>XII</w:t>
          </w:r>
          <w:r w:rsidR="007514A4" w:rsidRPr="001008B4">
            <w:rPr>
              <w:rFonts w:ascii="Lucida Bright" w:hAnsi="Lucida Bright"/>
              <w:szCs w:val="22"/>
            </w:rPr>
            <w:t>I</w:t>
          </w:r>
          <w:r w:rsidR="0086433B" w:rsidRPr="001008B4">
            <w:rPr>
              <w:rFonts w:ascii="Lucida Bright" w:hAnsi="Lucida Bright"/>
              <w:szCs w:val="22"/>
            </w:rPr>
            <w:t>.</w:t>
          </w:r>
          <w:r w:rsidR="00AF459A" w:rsidRPr="001008B4">
            <w:rPr>
              <w:rFonts w:ascii="Lucida Bright" w:hAnsi="Lucida Bright"/>
              <w:szCs w:val="22"/>
            </w:rPr>
            <w:tab/>
          </w:r>
          <w:r w:rsidR="00B06411" w:rsidRPr="001008B4">
            <w:rPr>
              <w:rFonts w:ascii="Lucida Bright" w:hAnsi="Lucida Bright"/>
              <w:szCs w:val="22"/>
            </w:rPr>
            <w:t>P</w:t>
          </w:r>
          <w:r w:rsidR="0086433B" w:rsidRPr="001008B4">
            <w:rPr>
              <w:rFonts w:ascii="Lucida Bright" w:hAnsi="Lucida Bright"/>
              <w:szCs w:val="22"/>
            </w:rPr>
            <w:t>rocedures for Final Decision</w:t>
          </w:r>
        </w:p>
        <w:p w14:paraId="4E69396A" w14:textId="77777777" w:rsidR="00F0108F" w:rsidRPr="001008B4" w:rsidRDefault="00D93F58" w:rsidP="0072475A">
          <w:pPr>
            <w:tabs>
              <w:tab w:val="left" w:pos="144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s>
            <w:spacing w:after="240"/>
            <w:rPr>
              <w:rFonts w:ascii="Lucida Bright" w:hAnsi="Lucida Bright"/>
              <w:sz w:val="22"/>
              <w:szCs w:val="22"/>
            </w:rPr>
          </w:pPr>
          <w:r w:rsidRPr="001008B4">
            <w:rPr>
              <w:rFonts w:ascii="Lucida Bright" w:hAnsi="Lucida Bright"/>
              <w:sz w:val="22"/>
              <w:szCs w:val="22"/>
            </w:rPr>
            <w:t>30 TAC Chapter 205 requires that</w:t>
          </w:r>
          <w:r w:rsidR="0027297D" w:rsidRPr="001008B4">
            <w:rPr>
              <w:rFonts w:ascii="Lucida Bright" w:hAnsi="Lucida Bright"/>
              <w:sz w:val="22"/>
              <w:szCs w:val="22"/>
            </w:rPr>
            <w:t xml:space="preserve"> when a</w:t>
          </w:r>
          <w:r w:rsidRPr="001008B4">
            <w:rPr>
              <w:rFonts w:ascii="Lucida Bright" w:hAnsi="Lucida Bright"/>
              <w:sz w:val="22"/>
              <w:szCs w:val="22"/>
            </w:rPr>
            <w:t xml:space="preserve"> draft </w:t>
          </w:r>
          <w:r w:rsidR="0086433B" w:rsidRPr="001008B4">
            <w:rPr>
              <w:rFonts w:ascii="Lucida Bright" w:hAnsi="Lucida Bright"/>
              <w:sz w:val="22"/>
              <w:szCs w:val="22"/>
            </w:rPr>
            <w:t xml:space="preserve">general permit </w:t>
          </w:r>
          <w:r w:rsidR="0027297D" w:rsidRPr="001008B4">
            <w:rPr>
              <w:rFonts w:ascii="Lucida Bright" w:hAnsi="Lucida Bright"/>
              <w:sz w:val="22"/>
              <w:szCs w:val="22"/>
            </w:rPr>
            <w:t xml:space="preserve">is proposed, notice must by </w:t>
          </w:r>
          <w:r w:rsidR="0086433B" w:rsidRPr="001008B4">
            <w:rPr>
              <w:rFonts w:ascii="Lucida Bright" w:hAnsi="Lucida Bright"/>
              <w:sz w:val="22"/>
              <w:szCs w:val="22"/>
            </w:rPr>
            <w:t>published in the</w:t>
          </w:r>
          <w:r w:rsidR="00D360EE" w:rsidRPr="001008B4">
            <w:rPr>
              <w:rFonts w:ascii="Lucida Bright" w:hAnsi="Lucida Bright"/>
              <w:sz w:val="22"/>
              <w:szCs w:val="22"/>
            </w:rPr>
            <w:t xml:space="preserve"> </w:t>
          </w:r>
          <w:r w:rsidR="0086433B" w:rsidRPr="001008B4">
            <w:rPr>
              <w:rFonts w:ascii="Lucida Bright" w:hAnsi="Lucida Bright"/>
              <w:i/>
              <w:iCs/>
              <w:sz w:val="22"/>
              <w:szCs w:val="22"/>
            </w:rPr>
            <w:t>Texas Register</w:t>
          </w:r>
          <w:r w:rsidR="0086433B" w:rsidRPr="001008B4">
            <w:rPr>
              <w:rFonts w:ascii="Lucida Bright" w:hAnsi="Lucida Bright"/>
              <w:sz w:val="22"/>
              <w:szCs w:val="22"/>
            </w:rPr>
            <w:t xml:space="preserve"> and in at least one newspaper in the state with statewide or regional circulation</w:t>
          </w:r>
          <w:r w:rsidR="005B3DC7" w:rsidRPr="001008B4">
            <w:rPr>
              <w:rFonts w:ascii="Lucida Bright" w:hAnsi="Lucida Bright"/>
              <w:sz w:val="22"/>
              <w:szCs w:val="22"/>
            </w:rPr>
            <w:t>.</w:t>
          </w:r>
          <w:r w:rsidR="00807B46" w:rsidRPr="001008B4">
            <w:rPr>
              <w:rFonts w:ascii="Lucida Bright" w:hAnsi="Lucida Bright"/>
              <w:sz w:val="22"/>
              <w:szCs w:val="22"/>
            </w:rPr>
            <w:t xml:space="preserve"> </w:t>
          </w:r>
          <w:r w:rsidR="005B3DC7" w:rsidRPr="001008B4">
            <w:rPr>
              <w:rFonts w:ascii="Lucida Bright" w:hAnsi="Lucida Bright"/>
              <w:sz w:val="22"/>
              <w:szCs w:val="22"/>
            </w:rPr>
            <w:t xml:space="preserve">The commission may also publish notice in additional newspapers of statewide or regional circulation. Notice must also be </w:t>
          </w:r>
          <w:r w:rsidR="00F0108F" w:rsidRPr="001008B4">
            <w:rPr>
              <w:rFonts w:ascii="Lucida Bright" w:hAnsi="Lucida Bright"/>
              <w:sz w:val="22"/>
              <w:szCs w:val="22"/>
            </w:rPr>
            <w:t>provided to the following</w:t>
          </w:r>
          <w:r w:rsidR="005B3DC7" w:rsidRPr="001008B4">
            <w:rPr>
              <w:rFonts w:ascii="Lucida Bright" w:hAnsi="Lucida Bright"/>
              <w:sz w:val="22"/>
              <w:szCs w:val="22"/>
            </w:rPr>
            <w:t>:</w:t>
          </w:r>
        </w:p>
        <w:p w14:paraId="35CC6FD9" w14:textId="02DE6321" w:rsidR="00206A68" w:rsidRPr="001008B4" w:rsidRDefault="00F0108F" w:rsidP="0072475A">
          <w:pPr>
            <w:pStyle w:val="ListNumber"/>
            <w:numPr>
              <w:ilvl w:val="0"/>
              <w:numId w:val="44"/>
            </w:numPr>
            <w:ind w:left="360"/>
          </w:pPr>
          <w:r w:rsidRPr="001008B4">
            <w:t xml:space="preserve">the county judge of the county or counties in which </w:t>
          </w:r>
          <w:r w:rsidR="00517CA3" w:rsidRPr="001008B4">
            <w:t>disposal</w:t>
          </w:r>
          <w:r w:rsidRPr="001008B4">
            <w:t xml:space="preserve"> under the general permit could be located;</w:t>
          </w:r>
        </w:p>
        <w:p w14:paraId="7EEBB796" w14:textId="097E74C8" w:rsidR="00206A68" w:rsidRPr="001008B4" w:rsidRDefault="00F0108F" w:rsidP="0072475A">
          <w:pPr>
            <w:pStyle w:val="ListNumber"/>
          </w:pPr>
          <w:r w:rsidRPr="001008B4">
            <w:lastRenderedPageBreak/>
            <w:t>persons on a relevant mailing list kept under 30 TAC §</w:t>
          </w:r>
          <w:r w:rsidR="00CF497E">
            <w:t xml:space="preserve"> </w:t>
          </w:r>
          <w:r w:rsidRPr="001008B4">
            <w:t xml:space="preserve">39.407, </w:t>
          </w:r>
          <w:r w:rsidR="0027297D" w:rsidRPr="001008B4">
            <w:rPr>
              <w:i/>
            </w:rPr>
            <w:t>Mailing Lists</w:t>
          </w:r>
          <w:r w:rsidR="0027297D" w:rsidRPr="001008B4">
            <w:t xml:space="preserve">; and </w:t>
          </w:r>
        </w:p>
        <w:p w14:paraId="33EEFAF1" w14:textId="661DF560" w:rsidR="0027297D" w:rsidRPr="001008B4" w:rsidRDefault="0027297D" w:rsidP="0072475A">
          <w:pPr>
            <w:pStyle w:val="ListNumber"/>
          </w:pPr>
          <w:r w:rsidRPr="001008B4">
            <w:t>any other person the executive director or chief clerk may elect to include.</w:t>
          </w:r>
        </w:p>
        <w:p w14:paraId="721DB65B" w14:textId="77777777" w:rsidR="0027297D" w:rsidRPr="001008B4" w:rsidRDefault="0027297D" w:rsidP="0072475A">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s>
            <w:spacing w:after="240"/>
            <w:rPr>
              <w:rFonts w:ascii="Lucida Bright" w:hAnsi="Lucida Bright"/>
              <w:sz w:val="22"/>
              <w:szCs w:val="22"/>
            </w:rPr>
          </w:pPr>
          <w:r w:rsidRPr="001008B4">
            <w:rPr>
              <w:rFonts w:ascii="Lucida Bright" w:hAnsi="Lucida Bright"/>
              <w:sz w:val="22"/>
              <w:szCs w:val="22"/>
            </w:rPr>
            <w:t xml:space="preserve">The public will have 30 days to provide public comment on the proposed general </w:t>
          </w:r>
          <w:r w:rsidR="004F3656" w:rsidRPr="001008B4">
            <w:rPr>
              <w:rFonts w:ascii="Lucida Bright" w:hAnsi="Lucida Bright"/>
              <w:sz w:val="22"/>
              <w:szCs w:val="22"/>
            </w:rPr>
            <w:t>permit.</w:t>
          </w:r>
        </w:p>
        <w:p w14:paraId="78E9B3D8" w14:textId="77777777" w:rsidR="004F3656" w:rsidRPr="001008B4" w:rsidRDefault="0027297D" w:rsidP="0072475A">
          <w:pPr>
            <w:tabs>
              <w:tab w:val="left" w:pos="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s>
            <w:spacing w:after="240"/>
            <w:rPr>
              <w:rFonts w:ascii="Lucida Bright" w:hAnsi="Lucida Bright"/>
              <w:sz w:val="22"/>
              <w:szCs w:val="22"/>
            </w:rPr>
          </w:pPr>
          <w:r w:rsidRPr="001008B4">
            <w:rPr>
              <w:rFonts w:ascii="Lucida Bright" w:hAnsi="Lucida Bright"/>
              <w:sz w:val="22"/>
              <w:szCs w:val="22"/>
            </w:rPr>
            <w:t>Any person, agency, or association may make a request for a public meeting on the proposed general permit before the end of the public comment period.</w:t>
          </w:r>
          <w:r w:rsidR="00807B46" w:rsidRPr="001008B4">
            <w:rPr>
              <w:rFonts w:ascii="Lucida Bright" w:hAnsi="Lucida Bright"/>
              <w:sz w:val="22"/>
              <w:szCs w:val="22"/>
            </w:rPr>
            <w:t xml:space="preserve"> </w:t>
          </w:r>
          <w:r w:rsidRPr="001008B4">
            <w:rPr>
              <w:rFonts w:ascii="Lucida Bright" w:hAnsi="Lucida Bright"/>
              <w:sz w:val="22"/>
              <w:szCs w:val="22"/>
            </w:rPr>
            <w:t>A public meeting will be granted</w:t>
          </w:r>
          <w:r w:rsidR="0035695A" w:rsidRPr="001008B4">
            <w:rPr>
              <w:rFonts w:ascii="Lucida Bright" w:hAnsi="Lucida Bright"/>
              <w:sz w:val="22"/>
              <w:szCs w:val="22"/>
            </w:rPr>
            <w:t xml:space="preserve"> when the executive director or commission determines, on the basis o</w:t>
          </w:r>
          <w:r w:rsidR="000C382E" w:rsidRPr="001008B4">
            <w:rPr>
              <w:rFonts w:ascii="Lucida Bright" w:hAnsi="Lucida Bright"/>
              <w:sz w:val="22"/>
              <w:szCs w:val="22"/>
            </w:rPr>
            <w:t>f</w:t>
          </w:r>
          <w:r w:rsidR="0035695A" w:rsidRPr="001008B4">
            <w:rPr>
              <w:rFonts w:ascii="Lucida Bright" w:hAnsi="Lucida Bright"/>
              <w:sz w:val="22"/>
              <w:szCs w:val="22"/>
            </w:rPr>
            <w:t xml:space="preserve"> requests, that a significant degree of public interest in the draft general permit exists.</w:t>
          </w:r>
          <w:r w:rsidR="00807B46" w:rsidRPr="001008B4">
            <w:rPr>
              <w:rFonts w:ascii="Lucida Bright" w:hAnsi="Lucida Bright"/>
              <w:sz w:val="22"/>
              <w:szCs w:val="22"/>
            </w:rPr>
            <w:t xml:space="preserve"> </w:t>
          </w:r>
          <w:r w:rsidR="004F3656" w:rsidRPr="001008B4">
            <w:rPr>
              <w:rFonts w:ascii="Lucida Bright" w:hAnsi="Lucida Bright"/>
              <w:sz w:val="22"/>
              <w:szCs w:val="22"/>
            </w:rPr>
            <w:t xml:space="preserve">A public meeting is intended for the taking of public comment, and is not a contested case proceeding under the </w:t>
          </w:r>
          <w:r w:rsidR="007A3B5B" w:rsidRPr="001008B4">
            <w:rPr>
              <w:rFonts w:ascii="Lucida Bright" w:hAnsi="Lucida Bright"/>
              <w:sz w:val="22"/>
              <w:szCs w:val="22"/>
            </w:rPr>
            <w:t>A</w:t>
          </w:r>
          <w:r w:rsidR="004F3656" w:rsidRPr="001008B4">
            <w:rPr>
              <w:rFonts w:ascii="Lucida Bright" w:hAnsi="Lucida Bright"/>
              <w:sz w:val="22"/>
              <w:szCs w:val="22"/>
            </w:rPr>
            <w:t>dministrative Procedure Act.</w:t>
          </w:r>
        </w:p>
        <w:p w14:paraId="38A57029" w14:textId="77777777" w:rsidR="0086433B" w:rsidRPr="001008B4" w:rsidRDefault="0035695A" w:rsidP="005E6D4C">
          <w:pPr>
            <w:widowControl/>
            <w:tabs>
              <w:tab w:val="left" w:pos="0"/>
              <w:tab w:val="left" w:pos="1620"/>
              <w:tab w:val="left" w:pos="216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35" w:lineRule="auto"/>
            <w:rPr>
              <w:rFonts w:ascii="Lucida Bright" w:hAnsi="Lucida Bright"/>
              <w:sz w:val="22"/>
              <w:szCs w:val="22"/>
            </w:rPr>
          </w:pPr>
          <w:r w:rsidRPr="001008B4">
            <w:rPr>
              <w:rFonts w:ascii="Lucida Bright" w:hAnsi="Lucida Bright"/>
              <w:sz w:val="22"/>
              <w:szCs w:val="22"/>
            </w:rPr>
            <w:t>If the executive director calls a public meeting, the commission will give notice of the date, time, and place of the meeting, as required by commission rule.</w:t>
          </w:r>
          <w:r w:rsidR="00807B46" w:rsidRPr="001008B4">
            <w:rPr>
              <w:rFonts w:ascii="Lucida Bright" w:hAnsi="Lucida Bright"/>
              <w:sz w:val="22"/>
              <w:szCs w:val="22"/>
            </w:rPr>
            <w:t xml:space="preserve"> </w:t>
          </w:r>
          <w:r w:rsidRPr="001008B4">
            <w:rPr>
              <w:rFonts w:ascii="Lucida Bright" w:hAnsi="Lucida Bright"/>
              <w:sz w:val="22"/>
              <w:szCs w:val="22"/>
            </w:rPr>
            <w:t>The executive director shall prepare a response to all public comments on the draft general permit raised during the public comment period.</w:t>
          </w:r>
          <w:r w:rsidR="00807B46" w:rsidRPr="001008B4">
            <w:rPr>
              <w:rFonts w:ascii="Lucida Bright" w:hAnsi="Lucida Bright"/>
              <w:sz w:val="22"/>
              <w:szCs w:val="22"/>
            </w:rPr>
            <w:t xml:space="preserve"> </w:t>
          </w:r>
          <w:r w:rsidRPr="001008B4">
            <w:rPr>
              <w:rFonts w:ascii="Lucida Bright" w:hAnsi="Lucida Bright"/>
              <w:sz w:val="22"/>
              <w:szCs w:val="22"/>
            </w:rPr>
            <w:t>The general permit will then be filed with the commission to consider final authorization of the permit.</w:t>
          </w:r>
          <w:r w:rsidR="00807B46" w:rsidRPr="001008B4">
            <w:rPr>
              <w:rFonts w:ascii="Lucida Bright" w:hAnsi="Lucida Bright"/>
              <w:sz w:val="22"/>
              <w:szCs w:val="22"/>
            </w:rPr>
            <w:t xml:space="preserve"> </w:t>
          </w:r>
          <w:r w:rsidRPr="001008B4">
            <w:rPr>
              <w:rFonts w:ascii="Lucida Bright" w:hAnsi="Lucida Bright"/>
              <w:sz w:val="22"/>
              <w:szCs w:val="22"/>
            </w:rPr>
            <w:t>The executive director’s response to public comment shall be made available to the public and filed with the chief clerk at least ten days before the commission acts on the general permit.</w:t>
          </w:r>
        </w:p>
        <w:p w14:paraId="3DCCB720" w14:textId="77777777" w:rsidR="0086433B" w:rsidRPr="001008B4" w:rsidRDefault="0086433B" w:rsidP="007A3B5B">
          <w:pPr>
            <w:pStyle w:val="Heading1"/>
            <w:spacing w:after="240"/>
            <w:rPr>
              <w:rFonts w:ascii="Lucida Bright" w:hAnsi="Lucida Bright"/>
              <w:szCs w:val="22"/>
            </w:rPr>
          </w:pPr>
          <w:r w:rsidRPr="001008B4">
            <w:rPr>
              <w:rFonts w:ascii="Lucida Bright" w:hAnsi="Lucida Bright"/>
              <w:szCs w:val="22"/>
            </w:rPr>
            <w:t>X</w:t>
          </w:r>
          <w:r w:rsidR="007514A4" w:rsidRPr="001008B4">
            <w:rPr>
              <w:rFonts w:ascii="Lucida Bright" w:hAnsi="Lucida Bright"/>
              <w:szCs w:val="22"/>
            </w:rPr>
            <w:t>IV</w:t>
          </w:r>
          <w:r w:rsidRPr="001008B4">
            <w:rPr>
              <w:rFonts w:ascii="Lucida Bright" w:hAnsi="Lucida Bright"/>
              <w:szCs w:val="22"/>
            </w:rPr>
            <w:t>. Administrative Record</w:t>
          </w:r>
        </w:p>
        <w:p w14:paraId="719A257B" w14:textId="77777777" w:rsidR="0086433B" w:rsidRPr="001008B4" w:rsidRDefault="0086433B" w:rsidP="0072475A">
          <w:pPr>
            <w:tabs>
              <w:tab w:val="left" w:pos="144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s>
            <w:spacing w:after="240"/>
            <w:rPr>
              <w:rFonts w:ascii="Lucida Bright" w:hAnsi="Lucida Bright"/>
              <w:sz w:val="22"/>
              <w:szCs w:val="22"/>
            </w:rPr>
          </w:pPr>
          <w:r w:rsidRPr="001008B4">
            <w:rPr>
              <w:rFonts w:ascii="Lucida Bright" w:hAnsi="Lucida Bright"/>
              <w:sz w:val="22"/>
              <w:szCs w:val="22"/>
            </w:rPr>
            <w:t>The following section is a list of the fact sheet citations to applicable statutory or regulatory provisions and appropriate supporting references.</w:t>
          </w:r>
        </w:p>
        <w:p w14:paraId="419CDE3D" w14:textId="13C3AA06" w:rsidR="0086433B" w:rsidRPr="003D66E0" w:rsidRDefault="003D66E0" w:rsidP="003D66E0">
          <w:pPr>
            <w:pStyle w:val="ListNumber"/>
            <w:numPr>
              <w:ilvl w:val="0"/>
              <w:numId w:val="45"/>
            </w:numPr>
            <w:ind w:left="360"/>
            <w:rPr>
              <w:u w:val="single"/>
            </w:rPr>
          </w:pPr>
          <w:r w:rsidRPr="003D66E0">
            <w:rPr>
              <w:u w:val="single"/>
            </w:rPr>
            <w:t xml:space="preserve">TCEQ </w:t>
          </w:r>
          <w:r w:rsidR="00D360EE" w:rsidRPr="003D66E0">
            <w:rPr>
              <w:u w:val="single"/>
            </w:rPr>
            <w:t>Rules</w:t>
          </w:r>
        </w:p>
        <w:p w14:paraId="3A069C0F" w14:textId="0DA37463" w:rsidR="000F707C" w:rsidRPr="001008B4" w:rsidRDefault="00D360EE" w:rsidP="0072475A">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s>
            <w:spacing w:after="240"/>
            <w:ind w:left="360"/>
            <w:rPr>
              <w:rFonts w:ascii="Lucida Bright" w:hAnsi="Lucida Bright"/>
              <w:sz w:val="22"/>
              <w:szCs w:val="22"/>
            </w:rPr>
          </w:pPr>
          <w:r w:rsidRPr="001008B4">
            <w:rPr>
              <w:rFonts w:ascii="Lucida Bright" w:hAnsi="Lucida Bright"/>
              <w:sz w:val="22"/>
              <w:szCs w:val="22"/>
            </w:rPr>
            <w:t xml:space="preserve">30 TAC Chapters </w:t>
          </w:r>
          <w:r w:rsidR="00AC5208" w:rsidRPr="001008B4">
            <w:rPr>
              <w:rFonts w:ascii="Lucida Bright" w:hAnsi="Lucida Bright"/>
              <w:sz w:val="22"/>
              <w:szCs w:val="22"/>
            </w:rPr>
            <w:t xml:space="preserve">39, </w:t>
          </w:r>
          <w:r w:rsidRPr="001008B4">
            <w:rPr>
              <w:rFonts w:ascii="Lucida Bright" w:hAnsi="Lucida Bright"/>
              <w:sz w:val="22"/>
              <w:szCs w:val="22"/>
            </w:rPr>
            <w:t>50</w:t>
          </w:r>
          <w:r w:rsidR="00AC5208" w:rsidRPr="001008B4">
            <w:rPr>
              <w:rFonts w:ascii="Lucida Bright" w:hAnsi="Lucida Bright"/>
              <w:sz w:val="22"/>
              <w:szCs w:val="22"/>
            </w:rPr>
            <w:t>, 60</w:t>
          </w:r>
          <w:r w:rsidRPr="001008B4">
            <w:rPr>
              <w:rFonts w:ascii="Lucida Bright" w:hAnsi="Lucida Bright"/>
              <w:sz w:val="22"/>
              <w:szCs w:val="22"/>
            </w:rPr>
            <w:t xml:space="preserve">, 205, </w:t>
          </w:r>
          <w:r w:rsidR="00AC5208" w:rsidRPr="001008B4">
            <w:rPr>
              <w:rFonts w:ascii="Lucida Bright" w:hAnsi="Lucida Bright"/>
              <w:sz w:val="22"/>
              <w:szCs w:val="22"/>
            </w:rPr>
            <w:t xml:space="preserve">213, </w:t>
          </w:r>
          <w:r w:rsidR="00CF497E">
            <w:rPr>
              <w:rFonts w:ascii="Lucida Bright" w:hAnsi="Lucida Bright"/>
              <w:sz w:val="22"/>
              <w:szCs w:val="22"/>
            </w:rPr>
            <w:t xml:space="preserve">217, </w:t>
          </w:r>
          <w:r w:rsidRPr="001008B4">
            <w:rPr>
              <w:rFonts w:ascii="Lucida Bright" w:hAnsi="Lucida Bright"/>
              <w:sz w:val="22"/>
              <w:szCs w:val="22"/>
            </w:rPr>
            <w:t>305</w:t>
          </w:r>
          <w:r w:rsidR="00BE2685" w:rsidRPr="001008B4">
            <w:rPr>
              <w:rFonts w:ascii="Lucida Bright" w:hAnsi="Lucida Bright"/>
              <w:sz w:val="22"/>
              <w:szCs w:val="22"/>
            </w:rPr>
            <w:t xml:space="preserve">, </w:t>
          </w:r>
          <w:r w:rsidR="00AC5208" w:rsidRPr="001008B4">
            <w:rPr>
              <w:rFonts w:ascii="Lucida Bright" w:hAnsi="Lucida Bright"/>
              <w:sz w:val="22"/>
              <w:szCs w:val="22"/>
            </w:rPr>
            <w:t xml:space="preserve">307, </w:t>
          </w:r>
          <w:r w:rsidR="00BE2685" w:rsidRPr="001008B4">
            <w:rPr>
              <w:rFonts w:ascii="Lucida Bright" w:hAnsi="Lucida Bright"/>
              <w:sz w:val="22"/>
              <w:szCs w:val="22"/>
            </w:rPr>
            <w:t xml:space="preserve">309, 312, </w:t>
          </w:r>
          <w:r w:rsidR="00AC5208" w:rsidRPr="001008B4">
            <w:rPr>
              <w:rFonts w:ascii="Lucida Bright" w:hAnsi="Lucida Bright"/>
              <w:sz w:val="22"/>
              <w:szCs w:val="22"/>
            </w:rPr>
            <w:t xml:space="preserve">330, </w:t>
          </w:r>
          <w:r w:rsidR="00BE2685" w:rsidRPr="001008B4">
            <w:rPr>
              <w:rFonts w:ascii="Lucida Bright" w:hAnsi="Lucida Bright"/>
              <w:sz w:val="22"/>
              <w:szCs w:val="22"/>
            </w:rPr>
            <w:t>332</w:t>
          </w:r>
          <w:r w:rsidR="00AC5208" w:rsidRPr="001008B4">
            <w:rPr>
              <w:rFonts w:ascii="Lucida Bright" w:hAnsi="Lucida Bright"/>
              <w:sz w:val="22"/>
              <w:szCs w:val="22"/>
            </w:rPr>
            <w:t>, 335</w:t>
          </w:r>
          <w:r w:rsidR="00E04D6F" w:rsidRPr="001008B4">
            <w:rPr>
              <w:rFonts w:ascii="Lucida Bright" w:hAnsi="Lucida Bright"/>
              <w:sz w:val="22"/>
              <w:szCs w:val="22"/>
            </w:rPr>
            <w:t>,</w:t>
          </w:r>
          <w:r w:rsidR="00D95B5F" w:rsidRPr="001008B4">
            <w:rPr>
              <w:rFonts w:ascii="Lucida Bright" w:hAnsi="Lucida Bright"/>
              <w:sz w:val="22"/>
              <w:szCs w:val="22"/>
            </w:rPr>
            <w:t xml:space="preserve"> 336</w:t>
          </w:r>
          <w:r w:rsidR="00E04D6F" w:rsidRPr="001008B4">
            <w:rPr>
              <w:rFonts w:ascii="Lucida Bright" w:hAnsi="Lucida Bright"/>
              <w:sz w:val="22"/>
              <w:szCs w:val="22"/>
            </w:rPr>
            <w:t>, and 350</w:t>
          </w:r>
        </w:p>
        <w:p w14:paraId="2A9DB362" w14:textId="545E5AE8" w:rsidR="00437CF5" w:rsidRPr="003D66E0" w:rsidRDefault="00437CF5" w:rsidP="003D66E0">
          <w:pPr>
            <w:pStyle w:val="ListNumber"/>
            <w:rPr>
              <w:u w:val="single"/>
            </w:rPr>
          </w:pPr>
          <w:r w:rsidRPr="003D66E0">
            <w:rPr>
              <w:u w:val="single"/>
            </w:rPr>
            <w:t>Statu</w:t>
          </w:r>
          <w:r w:rsidR="00B97602" w:rsidRPr="003D66E0">
            <w:rPr>
              <w:u w:val="single"/>
            </w:rPr>
            <w:t>t</w:t>
          </w:r>
          <w:r w:rsidRPr="003D66E0">
            <w:rPr>
              <w:u w:val="single"/>
            </w:rPr>
            <w:t>es</w:t>
          </w:r>
        </w:p>
        <w:p w14:paraId="7EF77876" w14:textId="72350E98" w:rsidR="000F707C" w:rsidRPr="001008B4" w:rsidRDefault="00D360EE" w:rsidP="0072475A">
          <w:pPr>
            <w:spacing w:after="240"/>
            <w:ind w:left="360"/>
            <w:rPr>
              <w:rFonts w:ascii="Lucida Bright" w:hAnsi="Lucida Bright"/>
              <w:sz w:val="22"/>
              <w:szCs w:val="22"/>
            </w:rPr>
          </w:pPr>
          <w:r w:rsidRPr="001008B4">
            <w:rPr>
              <w:rFonts w:ascii="Lucida Bright" w:hAnsi="Lucida Bright"/>
              <w:sz w:val="22"/>
              <w:szCs w:val="22"/>
            </w:rPr>
            <w:t>TWC</w:t>
          </w:r>
          <w:r w:rsidR="00547A43" w:rsidRPr="001008B4">
            <w:rPr>
              <w:rFonts w:ascii="Lucida Bright" w:hAnsi="Lucida Bright"/>
              <w:sz w:val="22"/>
              <w:szCs w:val="22"/>
            </w:rPr>
            <w:t>,</w:t>
          </w:r>
          <w:r w:rsidRPr="001008B4">
            <w:rPr>
              <w:rFonts w:ascii="Lucida Bright" w:hAnsi="Lucida Bright"/>
              <w:sz w:val="22"/>
              <w:szCs w:val="22"/>
            </w:rPr>
            <w:t xml:space="preserve"> §§</w:t>
          </w:r>
          <w:r w:rsidR="00CF497E">
            <w:rPr>
              <w:rFonts w:ascii="Lucida Bright" w:hAnsi="Lucida Bright"/>
              <w:sz w:val="22"/>
              <w:szCs w:val="22"/>
            </w:rPr>
            <w:t xml:space="preserve"> </w:t>
          </w:r>
          <w:r w:rsidRPr="001008B4">
            <w:rPr>
              <w:rFonts w:ascii="Lucida Bright" w:hAnsi="Lucida Bright"/>
              <w:sz w:val="22"/>
              <w:szCs w:val="22"/>
            </w:rPr>
            <w:t>5.103</w:t>
          </w:r>
          <w:r w:rsidR="00BE2685" w:rsidRPr="001008B4">
            <w:rPr>
              <w:rFonts w:ascii="Lucida Bright" w:hAnsi="Lucida Bright"/>
              <w:sz w:val="22"/>
              <w:szCs w:val="22"/>
            </w:rPr>
            <w:t xml:space="preserve">, </w:t>
          </w:r>
          <w:r w:rsidRPr="001008B4">
            <w:rPr>
              <w:rFonts w:ascii="Lucida Bright" w:hAnsi="Lucida Bright"/>
              <w:sz w:val="22"/>
              <w:szCs w:val="22"/>
            </w:rPr>
            <w:t>5.105</w:t>
          </w:r>
          <w:r w:rsidR="00BE2685" w:rsidRPr="001008B4">
            <w:rPr>
              <w:rFonts w:ascii="Lucida Bright" w:hAnsi="Lucida Bright"/>
              <w:sz w:val="22"/>
              <w:szCs w:val="22"/>
            </w:rPr>
            <w:t>, 26.001,</w:t>
          </w:r>
          <w:r w:rsidR="006B2058" w:rsidRPr="001008B4">
            <w:rPr>
              <w:rFonts w:ascii="Lucida Bright" w:hAnsi="Lucida Bright"/>
              <w:sz w:val="22"/>
              <w:szCs w:val="22"/>
            </w:rPr>
            <w:t xml:space="preserve"> </w:t>
          </w:r>
          <w:r w:rsidR="004308EA" w:rsidRPr="001008B4">
            <w:rPr>
              <w:rFonts w:ascii="Lucida Bright" w:hAnsi="Lucida Bright"/>
              <w:sz w:val="22"/>
              <w:szCs w:val="22"/>
            </w:rPr>
            <w:t xml:space="preserve">26.014, </w:t>
          </w:r>
          <w:r w:rsidR="006B2058" w:rsidRPr="001008B4">
            <w:rPr>
              <w:rFonts w:ascii="Lucida Bright" w:hAnsi="Lucida Bright"/>
              <w:sz w:val="22"/>
              <w:szCs w:val="22"/>
            </w:rPr>
            <w:t xml:space="preserve">26.027, 26.040, </w:t>
          </w:r>
          <w:r w:rsidR="00BE2685" w:rsidRPr="001008B4">
            <w:rPr>
              <w:rFonts w:ascii="Lucida Bright" w:hAnsi="Lucida Bright"/>
              <w:sz w:val="22"/>
              <w:szCs w:val="22"/>
            </w:rPr>
            <w:t>and 26.121</w:t>
          </w:r>
        </w:p>
        <w:p w14:paraId="76D53A1B" w14:textId="302AED5F" w:rsidR="00451D90" w:rsidRDefault="00D360EE" w:rsidP="0072475A">
          <w:pPr>
            <w:tabs>
              <w:tab w:val="left" w:pos="108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s>
            <w:spacing w:after="240"/>
            <w:ind w:left="360"/>
            <w:rPr>
              <w:rFonts w:ascii="Lucida Bright" w:hAnsi="Lucida Bright"/>
              <w:sz w:val="22"/>
              <w:szCs w:val="22"/>
            </w:rPr>
          </w:pPr>
          <w:r w:rsidRPr="001008B4">
            <w:rPr>
              <w:rFonts w:ascii="Lucida Bright" w:hAnsi="Lucida Bright"/>
              <w:sz w:val="22"/>
              <w:szCs w:val="22"/>
            </w:rPr>
            <w:t>Texas Health and Safety Code</w:t>
          </w:r>
          <w:r w:rsidR="00547A43" w:rsidRPr="001008B4">
            <w:rPr>
              <w:rFonts w:ascii="Lucida Bright" w:hAnsi="Lucida Bright"/>
              <w:sz w:val="22"/>
              <w:szCs w:val="22"/>
            </w:rPr>
            <w:t>,</w:t>
          </w:r>
          <w:r w:rsidRPr="001008B4">
            <w:rPr>
              <w:rFonts w:ascii="Lucida Bright" w:hAnsi="Lucida Bright"/>
              <w:sz w:val="22"/>
              <w:szCs w:val="22"/>
            </w:rPr>
            <w:t xml:space="preserve"> §§</w:t>
          </w:r>
          <w:r w:rsidR="00CF497E">
            <w:rPr>
              <w:rFonts w:ascii="Lucida Bright" w:hAnsi="Lucida Bright"/>
              <w:sz w:val="22"/>
              <w:szCs w:val="22"/>
            </w:rPr>
            <w:t xml:space="preserve"> </w:t>
          </w:r>
          <w:r w:rsidRPr="001008B4">
            <w:rPr>
              <w:rFonts w:ascii="Lucida Bright" w:hAnsi="Lucida Bright"/>
              <w:sz w:val="22"/>
              <w:szCs w:val="22"/>
            </w:rPr>
            <w:t>361.017</w:t>
          </w:r>
          <w:r w:rsidR="00E87842" w:rsidRPr="001008B4">
            <w:rPr>
              <w:rFonts w:ascii="Lucida Bright" w:hAnsi="Lucida Bright"/>
              <w:sz w:val="22"/>
              <w:szCs w:val="22"/>
            </w:rPr>
            <w:t>,</w:t>
          </w:r>
          <w:r w:rsidRPr="001008B4">
            <w:rPr>
              <w:rFonts w:ascii="Lucida Bright" w:hAnsi="Lucida Bright"/>
              <w:sz w:val="22"/>
              <w:szCs w:val="22"/>
            </w:rPr>
            <w:t xml:space="preserve"> 361.024</w:t>
          </w:r>
          <w:r w:rsidR="00E87842" w:rsidRPr="001008B4">
            <w:rPr>
              <w:rFonts w:ascii="Lucida Bright" w:hAnsi="Lucida Bright"/>
              <w:sz w:val="22"/>
              <w:szCs w:val="22"/>
            </w:rPr>
            <w:t>, 361.032-361.033, and 361.037</w:t>
          </w:r>
        </w:p>
        <w:p w14:paraId="7E1D23DA" w14:textId="77777777" w:rsidR="003D66E0" w:rsidRPr="000A2163" w:rsidRDefault="003D66E0" w:rsidP="003D66E0">
          <w:pPr>
            <w:pStyle w:val="ListNumber"/>
            <w:rPr>
              <w:u w:val="single"/>
            </w:rPr>
          </w:pPr>
          <w:r w:rsidRPr="000A2163">
            <w:rPr>
              <w:u w:val="single"/>
            </w:rPr>
            <w:t>Letters/Memoranda/Records of Communication</w:t>
          </w:r>
        </w:p>
        <w:p w14:paraId="6437928B" w14:textId="15752604" w:rsidR="003D66E0" w:rsidRDefault="003D66E0" w:rsidP="003D66E0">
          <w:pPr>
            <w:pStyle w:val="BodyText6"/>
            <w:tabs>
              <w:tab w:val="clear" w:pos="720"/>
            </w:tabs>
            <w:spacing w:after="120"/>
            <w:ind w:left="360"/>
          </w:pPr>
          <w:r>
            <w:t>WQG10</w:t>
          </w:r>
          <w:r w:rsidRPr="00B36895">
            <w:t xml:space="preserve">0000 Groundwater Review, Interoffice Memorandum from the Water Quality Assessments Team (A. Hoh) dated </w:t>
          </w:r>
          <w:r>
            <w:t>September 12</w:t>
          </w:r>
          <w:r w:rsidRPr="00B36895">
            <w:t>, 2024</w:t>
          </w:r>
          <w:r>
            <w:t>.</w:t>
          </w:r>
        </w:p>
        <w:p w14:paraId="192D68E0" w14:textId="0764BCEE" w:rsidR="003D66E0" w:rsidRPr="001008B4" w:rsidRDefault="00544A07" w:rsidP="0072475A">
          <w:pPr>
            <w:tabs>
              <w:tab w:val="left" w:pos="108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s>
            <w:spacing w:after="240"/>
            <w:ind w:left="360"/>
            <w:rPr>
              <w:rFonts w:ascii="Lucida Bright" w:hAnsi="Lucida Bright"/>
              <w:sz w:val="22"/>
              <w:szCs w:val="22"/>
            </w:rPr>
          </w:pPr>
        </w:p>
      </w:sdtContent>
    </w:sdt>
    <w:sectPr w:rsidR="003D66E0" w:rsidRPr="001008B4" w:rsidSect="003D66E0">
      <w:headerReference w:type="default" r:id="rId11"/>
      <w:footerReference w:type="default" r:id="rId12"/>
      <w:type w:val="continuous"/>
      <w:pgSz w:w="12240" w:h="15840" w:code="1"/>
      <w:pgMar w:top="1440" w:right="1440" w:bottom="1440" w:left="1440" w:header="1440" w:footer="86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59D43" w14:textId="77777777" w:rsidR="00F46ED0" w:rsidRDefault="00F46ED0">
      <w:r>
        <w:separator/>
      </w:r>
    </w:p>
  </w:endnote>
  <w:endnote w:type="continuationSeparator" w:id="0">
    <w:p w14:paraId="5D3EE383" w14:textId="77777777" w:rsidR="00F46ED0" w:rsidRDefault="00F4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9D58F" w14:textId="77777777" w:rsidR="007A3B5B" w:rsidRPr="003D66E0" w:rsidRDefault="007A3B5B" w:rsidP="007A3B5B">
    <w:pPr>
      <w:pStyle w:val="Footer"/>
      <w:jc w:val="center"/>
      <w:rPr>
        <w:rFonts w:ascii="Lucida Bright" w:hAnsi="Lucida Bright"/>
        <w:sz w:val="22"/>
        <w:szCs w:val="22"/>
      </w:rPr>
    </w:pPr>
  </w:p>
  <w:p w14:paraId="64429F0C" w14:textId="77777777" w:rsidR="00E87842" w:rsidRPr="003D66E0" w:rsidRDefault="00E87842" w:rsidP="007A3B5B">
    <w:pPr>
      <w:pStyle w:val="Footer"/>
      <w:jc w:val="center"/>
      <w:rPr>
        <w:rFonts w:ascii="Lucida Bright" w:hAnsi="Lucida Bright"/>
        <w:sz w:val="22"/>
        <w:szCs w:val="22"/>
      </w:rPr>
    </w:pPr>
    <w:r w:rsidRPr="003D66E0">
      <w:rPr>
        <w:rFonts w:ascii="Lucida Bright" w:hAnsi="Lucida Bright"/>
        <w:sz w:val="22"/>
        <w:szCs w:val="22"/>
      </w:rPr>
      <w:t xml:space="preserve">Page </w:t>
    </w:r>
    <w:r w:rsidRPr="003D66E0">
      <w:rPr>
        <w:rStyle w:val="PageNumber"/>
        <w:rFonts w:ascii="Lucida Bright" w:hAnsi="Lucida Bright"/>
        <w:sz w:val="22"/>
        <w:szCs w:val="22"/>
      </w:rPr>
      <w:fldChar w:fldCharType="begin"/>
    </w:r>
    <w:r w:rsidRPr="003D66E0">
      <w:rPr>
        <w:rStyle w:val="PageNumber"/>
        <w:rFonts w:ascii="Lucida Bright" w:hAnsi="Lucida Bright"/>
        <w:sz w:val="22"/>
        <w:szCs w:val="22"/>
      </w:rPr>
      <w:instrText xml:space="preserve"> PAGE </w:instrText>
    </w:r>
    <w:r w:rsidRPr="003D66E0">
      <w:rPr>
        <w:rStyle w:val="PageNumber"/>
        <w:rFonts w:ascii="Lucida Bright" w:hAnsi="Lucida Bright"/>
        <w:sz w:val="22"/>
        <w:szCs w:val="22"/>
      </w:rPr>
      <w:fldChar w:fldCharType="separate"/>
    </w:r>
    <w:r w:rsidR="004A0805" w:rsidRPr="003D66E0">
      <w:rPr>
        <w:rStyle w:val="PageNumber"/>
        <w:rFonts w:ascii="Lucida Bright" w:hAnsi="Lucida Bright"/>
        <w:noProof/>
        <w:sz w:val="22"/>
        <w:szCs w:val="22"/>
      </w:rPr>
      <w:t>10</w:t>
    </w:r>
    <w:r w:rsidRPr="003D66E0">
      <w:rPr>
        <w:rStyle w:val="PageNumber"/>
        <w:rFonts w:ascii="Lucida Bright" w:hAnsi="Lucida Bright"/>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C6FDD" w14:textId="77777777" w:rsidR="00F46ED0" w:rsidRDefault="00F46ED0">
      <w:r>
        <w:separator/>
      </w:r>
    </w:p>
  </w:footnote>
  <w:footnote w:type="continuationSeparator" w:id="0">
    <w:p w14:paraId="25BC6FB1" w14:textId="77777777" w:rsidR="00F46ED0" w:rsidRDefault="00F46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FD4BC" w14:textId="77777777" w:rsidR="00E87842" w:rsidRPr="003D66E0" w:rsidRDefault="00E87842" w:rsidP="00155A1D">
    <w:pPr>
      <w:tabs>
        <w:tab w:val="center" w:pos="4680"/>
      </w:tabs>
      <w:rPr>
        <w:rFonts w:ascii="Lucida Bright" w:hAnsi="Lucida Bright"/>
        <w:sz w:val="22"/>
        <w:szCs w:val="22"/>
      </w:rPr>
    </w:pPr>
    <w:r w:rsidRPr="003D66E0">
      <w:rPr>
        <w:rFonts w:ascii="Lucida Bright" w:hAnsi="Lucida Bright"/>
        <w:sz w:val="22"/>
        <w:szCs w:val="22"/>
      </w:rPr>
      <w:t>Fact Sheet and Executive Director’s Preliminary Decision</w:t>
    </w:r>
  </w:p>
  <w:p w14:paraId="55B12F99" w14:textId="77777777" w:rsidR="00E87842" w:rsidRPr="003D66E0" w:rsidRDefault="00E87842" w:rsidP="00155A1D">
    <w:pPr>
      <w:tabs>
        <w:tab w:val="center" w:pos="4680"/>
      </w:tabs>
      <w:rPr>
        <w:rFonts w:ascii="Lucida Bright" w:hAnsi="Lucida Bright"/>
        <w:sz w:val="22"/>
        <w:szCs w:val="22"/>
      </w:rPr>
    </w:pPr>
    <w:r w:rsidRPr="003D66E0">
      <w:rPr>
        <w:rFonts w:ascii="Lucida Bright" w:hAnsi="Lucida Bright"/>
        <w:sz w:val="22"/>
        <w:szCs w:val="22"/>
      </w:rPr>
      <w:t>General Permit No. WQG</w:t>
    </w:r>
    <w:r w:rsidR="00B63E5C" w:rsidRPr="003D66E0">
      <w:rPr>
        <w:rFonts w:ascii="Lucida Bright" w:hAnsi="Lucida Bright"/>
        <w:sz w:val="22"/>
        <w:szCs w:val="22"/>
      </w:rPr>
      <w:t>1</w:t>
    </w:r>
    <w:r w:rsidRPr="003D66E0">
      <w:rPr>
        <w:rFonts w:ascii="Lucida Bright" w:hAnsi="Lucida Bright"/>
        <w:sz w:val="22"/>
        <w:szCs w:val="22"/>
      </w:rPr>
      <w:t>00000</w:t>
    </w:r>
  </w:p>
  <w:p w14:paraId="097BF1CD" w14:textId="77777777" w:rsidR="00E87842" w:rsidRPr="00127772" w:rsidRDefault="00E87842" w:rsidP="00207F57">
    <w:pPr>
      <w:tabs>
        <w:tab w:val="center" w:pos="4680"/>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F1C3FF0"/>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AD3C6618"/>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6FC440DE"/>
    <w:lvl w:ilvl="0">
      <w:start w:val="1"/>
      <w:numFmt w:val="decimal"/>
      <w:lvlText w:val="%1."/>
      <w:lvlJc w:val="left"/>
      <w:pPr>
        <w:tabs>
          <w:tab w:val="num" w:pos="720"/>
        </w:tabs>
        <w:ind w:left="720" w:hanging="360"/>
      </w:pPr>
    </w:lvl>
  </w:abstractNum>
  <w:abstractNum w:abstractNumId="3" w15:restartNumberingAfterBreak="0">
    <w:nsid w:val="FFFFFF88"/>
    <w:multiLevelType w:val="singleLevel"/>
    <w:tmpl w:val="D9C8789A"/>
    <w:lvl w:ilvl="0">
      <w:start w:val="1"/>
      <w:numFmt w:val="decimal"/>
      <w:lvlText w:val="%1."/>
      <w:lvlJc w:val="left"/>
      <w:pPr>
        <w:tabs>
          <w:tab w:val="num" w:pos="360"/>
        </w:tabs>
        <w:ind w:left="360" w:hanging="360"/>
      </w:pPr>
    </w:lvl>
  </w:abstractNum>
  <w:abstractNum w:abstractNumId="4" w15:restartNumberingAfterBreak="0">
    <w:nsid w:val="00000001"/>
    <w:multiLevelType w:val="multilevel"/>
    <w:tmpl w:val="00000000"/>
    <w:name w:val="AutoList1"/>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5" w15:restartNumberingAfterBreak="0">
    <w:nsid w:val="00000002"/>
    <w:multiLevelType w:val="multilevel"/>
    <w:tmpl w:val="00000000"/>
    <w:name w:val="AutoList10"/>
    <w:lvl w:ilvl="0">
      <w:start w:val="1"/>
      <w:numFmt w:val="decimal"/>
      <w:lvlText w:val="IX"/>
      <w:lvlJc w:val="left"/>
    </w:lvl>
    <w:lvl w:ilvl="1">
      <w:start w:val="1"/>
      <w:numFmt w:val="decimal"/>
      <w:lvlText w:val="IX"/>
      <w:lvlJc w:val="left"/>
    </w:lvl>
    <w:lvl w:ilvl="2">
      <w:start w:val="1"/>
      <w:numFmt w:val="decimal"/>
      <w:lvlText w:val="IX"/>
      <w:lvlJc w:val="left"/>
    </w:lvl>
    <w:lvl w:ilvl="3">
      <w:start w:val="1"/>
      <w:numFmt w:val="decimal"/>
      <w:lvlText w:val="IX"/>
      <w:lvlJc w:val="left"/>
    </w:lvl>
    <w:lvl w:ilvl="4">
      <w:start w:val="1"/>
      <w:numFmt w:val="decimal"/>
      <w:lvlText w:val="IX"/>
      <w:lvlJc w:val="left"/>
    </w:lvl>
    <w:lvl w:ilvl="5">
      <w:start w:val="1"/>
      <w:numFmt w:val="decimal"/>
      <w:lvlText w:val="IX"/>
      <w:lvlJc w:val="left"/>
    </w:lvl>
    <w:lvl w:ilvl="6">
      <w:start w:val="1"/>
      <w:numFmt w:val="decimal"/>
      <w:lvlText w:val="IX"/>
      <w:lvlJc w:val="left"/>
    </w:lvl>
    <w:lvl w:ilvl="7">
      <w:start w:val="1"/>
      <w:numFmt w:val="decimal"/>
      <w:lvlText w:val="IX"/>
      <w:lvlJc w:val="left"/>
    </w:lvl>
    <w:lvl w:ilvl="8">
      <w:numFmt w:val="decimal"/>
      <w:lvlText w:val=""/>
      <w:lvlJc w:val="left"/>
    </w:lvl>
  </w:abstractNum>
  <w:abstractNum w:abstractNumId="6"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4"/>
    <w:multiLevelType w:val="multilevel"/>
    <w:tmpl w:val="00000000"/>
    <w:name w:val="AutoList6"/>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5"/>
    <w:multiLevelType w:val="multilevel"/>
    <w:tmpl w:val="00000000"/>
    <w:name w:val="AutoList3"/>
    <w:lvl w:ilvl="0">
      <w:start w:val="1"/>
      <w:numFmt w:val="decimal"/>
      <w:lvlText w:val="IV"/>
      <w:lvlJc w:val="left"/>
    </w:lvl>
    <w:lvl w:ilvl="1">
      <w:start w:val="1"/>
      <w:numFmt w:val="decimal"/>
      <w:lvlText w:val="IV"/>
      <w:lvlJc w:val="left"/>
    </w:lvl>
    <w:lvl w:ilvl="2">
      <w:start w:val="1"/>
      <w:numFmt w:val="decimal"/>
      <w:lvlText w:val="IV"/>
      <w:lvlJc w:val="left"/>
    </w:lvl>
    <w:lvl w:ilvl="3">
      <w:start w:val="1"/>
      <w:numFmt w:val="decimal"/>
      <w:lvlText w:val="IV"/>
      <w:lvlJc w:val="left"/>
    </w:lvl>
    <w:lvl w:ilvl="4">
      <w:start w:val="1"/>
      <w:numFmt w:val="decimal"/>
      <w:lvlText w:val="IV"/>
      <w:lvlJc w:val="left"/>
    </w:lvl>
    <w:lvl w:ilvl="5">
      <w:start w:val="1"/>
      <w:numFmt w:val="decimal"/>
      <w:lvlText w:val="IV"/>
      <w:lvlJc w:val="left"/>
    </w:lvl>
    <w:lvl w:ilvl="6">
      <w:start w:val="1"/>
      <w:numFmt w:val="decimal"/>
      <w:lvlText w:val="IV"/>
      <w:lvlJc w:val="left"/>
    </w:lvl>
    <w:lvl w:ilvl="7">
      <w:start w:val="1"/>
      <w:numFmt w:val="decimal"/>
      <w:lvlText w:val="IV"/>
      <w:lvlJc w:val="left"/>
    </w:lvl>
    <w:lvl w:ilvl="8">
      <w:numFmt w:val="decimal"/>
      <w:lvlText w:val=""/>
      <w:lvlJc w:val="left"/>
    </w:lvl>
  </w:abstractNum>
  <w:abstractNum w:abstractNumId="9" w15:restartNumberingAfterBreak="0">
    <w:nsid w:val="00000006"/>
    <w:multiLevelType w:val="multilevel"/>
    <w:tmpl w:val="00000000"/>
    <w:name w:val="AutoList8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name w:val="AutoList5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16"/>
    <w:multiLevelType w:val="multilevel"/>
    <w:tmpl w:val="00000000"/>
    <w:name w:val="AutoList8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64D5E87"/>
    <w:multiLevelType w:val="hybridMultilevel"/>
    <w:tmpl w:val="78E0923C"/>
    <w:lvl w:ilvl="0" w:tplc="04090015">
      <w:start w:val="1"/>
      <w:numFmt w:val="upp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3" w15:restartNumberingAfterBreak="0">
    <w:nsid w:val="066E4C0C"/>
    <w:multiLevelType w:val="hybridMultilevel"/>
    <w:tmpl w:val="46BE43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124914"/>
    <w:multiLevelType w:val="hybridMultilevel"/>
    <w:tmpl w:val="96C2146E"/>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082A634D"/>
    <w:multiLevelType w:val="hybridMultilevel"/>
    <w:tmpl w:val="7CD213B2"/>
    <w:lvl w:ilvl="0" w:tplc="CB24D344">
      <w:start w:val="1"/>
      <w:numFmt w:val="upperLetter"/>
      <w:lvlText w:val="%1."/>
      <w:lvlJc w:val="left"/>
      <w:pPr>
        <w:ind w:left="360"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6" w15:restartNumberingAfterBreak="0">
    <w:nsid w:val="08D624FD"/>
    <w:multiLevelType w:val="hybridMultilevel"/>
    <w:tmpl w:val="CEC86C48"/>
    <w:lvl w:ilvl="0" w:tplc="FFFFFFFF">
      <w:start w:val="1"/>
      <w:numFmt w:val="decimal"/>
      <w:lvlText w:val="%1."/>
      <w:lvlJc w:val="left"/>
      <w:pPr>
        <w:ind w:left="720" w:hanging="360"/>
      </w:pPr>
    </w:lvl>
    <w:lvl w:ilvl="1" w:tplc="FFFFFFFF">
      <w:start w:val="1"/>
      <w:numFmt w:val="lowerLetter"/>
      <w:lvlText w:val="%2."/>
      <w:lvlJc w:val="left"/>
      <w:pPr>
        <w:ind w:left="1080" w:hanging="360"/>
      </w:pPr>
    </w:lvl>
    <w:lvl w:ilvl="2" w:tplc="FFFFFFFF">
      <w:start w:val="1"/>
      <w:numFmt w:val="bullet"/>
      <w:lvlText w:val=""/>
      <w:lvlJc w:val="left"/>
      <w:pPr>
        <w:ind w:left="1440" w:hanging="360"/>
      </w:pPr>
      <w:rPr>
        <w:rFonts w:ascii="Symbol" w:hAnsi="Symbol" w:hint="default"/>
      </w:rPr>
    </w:lvl>
    <w:lvl w:ilvl="3" w:tplc="0409000B">
      <w:start w:val="1"/>
      <w:numFmt w:val="bullet"/>
      <w:lvlText w:val=""/>
      <w:lvlJc w:val="left"/>
      <w:pPr>
        <w:ind w:left="1800" w:hanging="360"/>
      </w:pPr>
      <w:rPr>
        <w:rFonts w:ascii="Wingdings" w:hAnsi="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3141B5D"/>
    <w:multiLevelType w:val="hybridMultilevel"/>
    <w:tmpl w:val="0EF2B634"/>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0F">
      <w:start w:val="1"/>
      <w:numFmt w:val="decimal"/>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15DB169B"/>
    <w:multiLevelType w:val="hybridMultilevel"/>
    <w:tmpl w:val="F73E8E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790E11"/>
    <w:multiLevelType w:val="hybridMultilevel"/>
    <w:tmpl w:val="DFD21A12"/>
    <w:lvl w:ilvl="0" w:tplc="97201788">
      <w:start w:val="1"/>
      <w:numFmt w:val="upperLetter"/>
      <w:pStyle w:val="ListNumb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2B2ACA"/>
    <w:multiLevelType w:val="hybridMultilevel"/>
    <w:tmpl w:val="CE982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F9A9872">
      <w:start w:val="1"/>
      <w:numFmt w:val="decimal"/>
      <w:lvlText w:val="(%3)"/>
      <w:lvlJc w:val="left"/>
      <w:pPr>
        <w:ind w:left="2340" w:hanging="360"/>
      </w:pPr>
      <w:rPr>
        <w:rFonts w:hint="default"/>
      </w:rPr>
    </w:lvl>
    <w:lvl w:ilvl="3" w:tplc="05E0D56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52249F"/>
    <w:multiLevelType w:val="hybridMultilevel"/>
    <w:tmpl w:val="8C4A623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25FD0DCA"/>
    <w:multiLevelType w:val="multilevel"/>
    <w:tmpl w:val="6660D8B6"/>
    <w:lvl w:ilvl="0">
      <w:start w:val="1"/>
      <w:numFmt w:val="lowerLetter"/>
      <w:lvlText w:val="%1."/>
      <w:lvlJc w:val="left"/>
      <w:pPr>
        <w:ind w:left="36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8796F26"/>
    <w:multiLevelType w:val="hybridMultilevel"/>
    <w:tmpl w:val="979A7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47772E"/>
    <w:multiLevelType w:val="hybridMultilevel"/>
    <w:tmpl w:val="D89C65BA"/>
    <w:lvl w:ilvl="0" w:tplc="385690F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1943DF"/>
    <w:multiLevelType w:val="hybridMultilevel"/>
    <w:tmpl w:val="248EA9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9A824B8"/>
    <w:multiLevelType w:val="hybridMultilevel"/>
    <w:tmpl w:val="A8A65170"/>
    <w:lvl w:ilvl="0" w:tplc="A16AF70E">
      <w:start w:val="4"/>
      <w:numFmt w:val="lowerLetter"/>
      <w:lvlText w:val="%1."/>
      <w:lvlJc w:val="left"/>
      <w:pPr>
        <w:ind w:left="1980" w:hanging="360"/>
      </w:pPr>
      <w:rPr>
        <w:rFonts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5748FD"/>
    <w:multiLevelType w:val="hybridMultilevel"/>
    <w:tmpl w:val="94CCEDF8"/>
    <w:lvl w:ilvl="0" w:tplc="04090015">
      <w:start w:val="1"/>
      <w:numFmt w:val="upperLetter"/>
      <w:pStyle w:val="Level1"/>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1551BC1"/>
    <w:multiLevelType w:val="hybridMultilevel"/>
    <w:tmpl w:val="A5E86790"/>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15">
      <w:start w:val="1"/>
      <w:numFmt w:val="upperLetter"/>
      <w:lvlText w:val="%4."/>
      <w:lvlJc w:val="left"/>
      <w:pPr>
        <w:ind w:left="3420" w:hanging="360"/>
      </w:pPr>
    </w:lvl>
    <w:lvl w:ilvl="4" w:tplc="0409000F">
      <w:start w:val="1"/>
      <w:numFmt w:val="decimal"/>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41DF3F41"/>
    <w:multiLevelType w:val="hybridMultilevel"/>
    <w:tmpl w:val="C33ECC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43B58BD"/>
    <w:multiLevelType w:val="hybridMultilevel"/>
    <w:tmpl w:val="12466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133454"/>
    <w:multiLevelType w:val="hybridMultilevel"/>
    <w:tmpl w:val="656EC6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6F1842"/>
    <w:multiLevelType w:val="hybridMultilevel"/>
    <w:tmpl w:val="D472C044"/>
    <w:lvl w:ilvl="0" w:tplc="58D2D024">
      <w:start w:val="1"/>
      <w:numFmt w:val="decimal"/>
      <w:pStyle w:val="ListNumber2"/>
      <w:lvlText w:val="%1."/>
      <w:lvlJc w:val="left"/>
      <w:pPr>
        <w:ind w:left="720" w:hanging="360"/>
      </w:pPr>
    </w:lvl>
    <w:lvl w:ilvl="1" w:tplc="2116AECA">
      <w:start w:val="1"/>
      <w:numFmt w:val="lowerLetter"/>
      <w:pStyle w:val="ListNumber3"/>
      <w:lvlText w:val="%2."/>
      <w:lvlJc w:val="left"/>
      <w:pPr>
        <w:ind w:left="1440" w:hanging="360"/>
      </w:pPr>
    </w:lvl>
    <w:lvl w:ilvl="2" w:tplc="6CE6176E">
      <w:start w:val="1"/>
      <w:numFmt w:val="lowerRoman"/>
      <w:pStyle w:val="ListNumber4"/>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444447"/>
    <w:multiLevelType w:val="hybridMultilevel"/>
    <w:tmpl w:val="252A1F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2292D9E"/>
    <w:multiLevelType w:val="hybridMultilevel"/>
    <w:tmpl w:val="71846C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10B3861"/>
    <w:multiLevelType w:val="hybridMultilevel"/>
    <w:tmpl w:val="20FEF314"/>
    <w:lvl w:ilvl="0" w:tplc="D0F00BA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15:restartNumberingAfterBreak="0">
    <w:nsid w:val="627C05AD"/>
    <w:multiLevelType w:val="hybridMultilevel"/>
    <w:tmpl w:val="C3FC0F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A465ABF"/>
    <w:multiLevelType w:val="hybridMultilevel"/>
    <w:tmpl w:val="2AF8CD5E"/>
    <w:lvl w:ilvl="0" w:tplc="04060019">
      <w:start w:val="1"/>
      <w:numFmt w:val="lowerLetter"/>
      <w:lvlText w:val="%1."/>
      <w:lvlJc w:val="left"/>
      <w:pPr>
        <w:ind w:left="1260" w:hanging="360"/>
      </w:pPr>
    </w:lvl>
    <w:lvl w:ilvl="1" w:tplc="04090019">
      <w:start w:val="1"/>
      <w:numFmt w:val="lowerLetter"/>
      <w:lvlText w:val="%2."/>
      <w:lvlJc w:val="left"/>
      <w:pPr>
        <w:ind w:left="1980" w:hanging="360"/>
      </w:pPr>
    </w:lvl>
    <w:lvl w:ilvl="2" w:tplc="D0F00BA8">
      <w:start w:val="1"/>
      <w:numFmt w:val="decimal"/>
      <w:lvlText w:val="(%3)"/>
      <w:lvlJc w:val="left"/>
      <w:pPr>
        <w:ind w:left="2700" w:hanging="18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71DC5482"/>
    <w:multiLevelType w:val="hybridMultilevel"/>
    <w:tmpl w:val="7E04EF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9D5213"/>
    <w:multiLevelType w:val="hybridMultilevel"/>
    <w:tmpl w:val="ACF85732"/>
    <w:lvl w:ilvl="0" w:tplc="FFFFFFFF">
      <w:start w:val="1"/>
      <w:numFmt w:val="decimal"/>
      <w:lvlText w:val="%1."/>
      <w:lvlJc w:val="left"/>
      <w:pPr>
        <w:ind w:left="720" w:hanging="360"/>
      </w:pPr>
    </w:lvl>
    <w:lvl w:ilvl="1" w:tplc="FFFFFFFF">
      <w:start w:val="1"/>
      <w:numFmt w:val="lowerLetter"/>
      <w:lvlText w:val="%2."/>
      <w:lvlJc w:val="left"/>
      <w:pPr>
        <w:ind w:left="1080" w:hanging="360"/>
      </w:pPr>
    </w:lvl>
    <w:lvl w:ilvl="2" w:tplc="FFFFFFFF">
      <w:start w:val="1"/>
      <w:numFmt w:val="bullet"/>
      <w:lvlText w:val=""/>
      <w:lvlJc w:val="left"/>
      <w:pPr>
        <w:ind w:left="2160" w:hanging="360"/>
      </w:pPr>
      <w:rPr>
        <w:rFonts w:ascii="Symbol" w:hAnsi="Symbol" w:hint="default"/>
      </w:rPr>
    </w:lvl>
    <w:lvl w:ilvl="3" w:tplc="0409000B">
      <w:start w:val="1"/>
      <w:numFmt w:val="bullet"/>
      <w:lvlText w:val=""/>
      <w:lvlJc w:val="left"/>
      <w:pPr>
        <w:ind w:left="1800" w:hanging="360"/>
      </w:pPr>
      <w:rPr>
        <w:rFonts w:ascii="Wingdings" w:hAnsi="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02417B"/>
    <w:multiLevelType w:val="hybridMultilevel"/>
    <w:tmpl w:val="8104EF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9442015">
    <w:abstractNumId w:val="4"/>
    <w:lvlOverride w:ilvl="0">
      <w:startOverride w:val="1"/>
      <w:lvl w:ilvl="0">
        <w:start w:val="1"/>
        <w:numFmt w:val="upperRoman"/>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2" w16cid:durableId="1381784227">
    <w:abstractNumId w:val="7"/>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16cid:durableId="1719279758">
    <w:abstractNumId w:val="24"/>
  </w:num>
  <w:num w:numId="4" w16cid:durableId="27030935">
    <w:abstractNumId w:val="9"/>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048142757">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628126767">
    <w:abstractNumId w:val="1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16cid:durableId="914709633">
    <w:abstractNumId w:val="20"/>
  </w:num>
  <w:num w:numId="8" w16cid:durableId="590089034">
    <w:abstractNumId w:val="25"/>
  </w:num>
  <w:num w:numId="9" w16cid:durableId="1595043278">
    <w:abstractNumId w:val="34"/>
  </w:num>
  <w:num w:numId="10" w16cid:durableId="1233464129">
    <w:abstractNumId w:val="14"/>
  </w:num>
  <w:num w:numId="11" w16cid:durableId="1172720655">
    <w:abstractNumId w:val="28"/>
  </w:num>
  <w:num w:numId="12" w16cid:durableId="626816178">
    <w:abstractNumId w:val="27"/>
  </w:num>
  <w:num w:numId="13" w16cid:durableId="2001931735">
    <w:abstractNumId w:val="33"/>
  </w:num>
  <w:num w:numId="14" w16cid:durableId="1696269308">
    <w:abstractNumId w:val="29"/>
  </w:num>
  <w:num w:numId="15" w16cid:durableId="608927125">
    <w:abstractNumId w:val="17"/>
  </w:num>
  <w:num w:numId="16" w16cid:durableId="1759062395">
    <w:abstractNumId w:val="31"/>
  </w:num>
  <w:num w:numId="17" w16cid:durableId="1965848102">
    <w:abstractNumId w:val="13"/>
  </w:num>
  <w:num w:numId="18" w16cid:durableId="968589190">
    <w:abstractNumId w:val="18"/>
  </w:num>
  <w:num w:numId="19" w16cid:durableId="72095414">
    <w:abstractNumId w:val="23"/>
  </w:num>
  <w:num w:numId="20" w16cid:durableId="205266058">
    <w:abstractNumId w:val="35"/>
  </w:num>
  <w:num w:numId="21" w16cid:durableId="1866017882">
    <w:abstractNumId w:val="26"/>
  </w:num>
  <w:num w:numId="22" w16cid:durableId="967124562">
    <w:abstractNumId w:val="40"/>
  </w:num>
  <w:num w:numId="23" w16cid:durableId="753287559">
    <w:abstractNumId w:val="36"/>
  </w:num>
  <w:num w:numId="24" w16cid:durableId="710959430">
    <w:abstractNumId w:val="21"/>
  </w:num>
  <w:num w:numId="25" w16cid:durableId="403837990">
    <w:abstractNumId w:val="37"/>
  </w:num>
  <w:num w:numId="26" w16cid:durableId="1634670846">
    <w:abstractNumId w:val="22"/>
  </w:num>
  <w:num w:numId="27" w16cid:durableId="1808625926">
    <w:abstractNumId w:val="38"/>
  </w:num>
  <w:num w:numId="28" w16cid:durableId="554974461">
    <w:abstractNumId w:val="12"/>
  </w:num>
  <w:num w:numId="29" w16cid:durableId="1877158233">
    <w:abstractNumId w:val="15"/>
  </w:num>
  <w:num w:numId="30" w16cid:durableId="1252277342">
    <w:abstractNumId w:val="32"/>
  </w:num>
  <w:num w:numId="31" w16cid:durableId="2136873651">
    <w:abstractNumId w:val="3"/>
  </w:num>
  <w:num w:numId="32" w16cid:durableId="581060783">
    <w:abstractNumId w:val="19"/>
  </w:num>
  <w:num w:numId="33" w16cid:durableId="1247302942">
    <w:abstractNumId w:val="2"/>
  </w:num>
  <w:num w:numId="34" w16cid:durableId="1908566231">
    <w:abstractNumId w:val="1"/>
  </w:num>
  <w:num w:numId="35" w16cid:durableId="303432976">
    <w:abstractNumId w:val="0"/>
  </w:num>
  <w:num w:numId="36" w16cid:durableId="1788740547">
    <w:abstractNumId w:val="19"/>
    <w:lvlOverride w:ilvl="0">
      <w:startOverride w:val="1"/>
    </w:lvlOverride>
  </w:num>
  <w:num w:numId="37" w16cid:durableId="665936005">
    <w:abstractNumId w:val="32"/>
    <w:lvlOverride w:ilvl="0">
      <w:startOverride w:val="1"/>
    </w:lvlOverride>
  </w:num>
  <w:num w:numId="38" w16cid:durableId="1901554314">
    <w:abstractNumId w:val="19"/>
    <w:lvlOverride w:ilvl="0">
      <w:startOverride w:val="1"/>
    </w:lvlOverride>
  </w:num>
  <w:num w:numId="39" w16cid:durableId="594367524">
    <w:abstractNumId w:val="19"/>
    <w:lvlOverride w:ilvl="0">
      <w:startOverride w:val="1"/>
    </w:lvlOverride>
  </w:num>
  <w:num w:numId="40" w16cid:durableId="1496071140">
    <w:abstractNumId w:val="32"/>
    <w:lvlOverride w:ilvl="0">
      <w:startOverride w:val="1"/>
    </w:lvlOverride>
  </w:num>
  <w:num w:numId="41" w16cid:durableId="197741329">
    <w:abstractNumId w:val="19"/>
    <w:lvlOverride w:ilvl="0">
      <w:startOverride w:val="1"/>
    </w:lvlOverride>
  </w:num>
  <w:num w:numId="42" w16cid:durableId="735084007">
    <w:abstractNumId w:val="19"/>
    <w:lvlOverride w:ilvl="0">
      <w:startOverride w:val="1"/>
    </w:lvlOverride>
  </w:num>
  <w:num w:numId="43" w16cid:durableId="81922199">
    <w:abstractNumId w:val="32"/>
    <w:lvlOverride w:ilvl="0">
      <w:startOverride w:val="1"/>
    </w:lvlOverride>
  </w:num>
  <w:num w:numId="44" w16cid:durableId="875002302">
    <w:abstractNumId w:val="19"/>
    <w:lvlOverride w:ilvl="0">
      <w:startOverride w:val="1"/>
    </w:lvlOverride>
  </w:num>
  <w:num w:numId="45" w16cid:durableId="1654871175">
    <w:abstractNumId w:val="19"/>
    <w:lvlOverride w:ilvl="0">
      <w:startOverride w:val="1"/>
    </w:lvlOverride>
  </w:num>
  <w:num w:numId="46" w16cid:durableId="1826505611">
    <w:abstractNumId w:val="30"/>
  </w:num>
  <w:num w:numId="47" w16cid:durableId="1028945275">
    <w:abstractNumId w:val="19"/>
    <w:lvlOverride w:ilvl="0">
      <w:startOverride w:val="1"/>
    </w:lvlOverride>
  </w:num>
  <w:num w:numId="48" w16cid:durableId="1702394923">
    <w:abstractNumId w:val="32"/>
    <w:lvlOverride w:ilvl="0">
      <w:startOverride w:val="1"/>
    </w:lvlOverride>
  </w:num>
  <w:num w:numId="49" w16cid:durableId="1758594063">
    <w:abstractNumId w:val="39"/>
  </w:num>
  <w:num w:numId="50" w16cid:durableId="10927006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3B"/>
    <w:rsid w:val="00000520"/>
    <w:rsid w:val="0001110D"/>
    <w:rsid w:val="000277BF"/>
    <w:rsid w:val="0003457D"/>
    <w:rsid w:val="00036D94"/>
    <w:rsid w:val="0004389E"/>
    <w:rsid w:val="00050D9C"/>
    <w:rsid w:val="00051BD4"/>
    <w:rsid w:val="00053D41"/>
    <w:rsid w:val="00060E44"/>
    <w:rsid w:val="00065F35"/>
    <w:rsid w:val="00066542"/>
    <w:rsid w:val="000810C8"/>
    <w:rsid w:val="00081AF4"/>
    <w:rsid w:val="00082933"/>
    <w:rsid w:val="00094CC8"/>
    <w:rsid w:val="000A215D"/>
    <w:rsid w:val="000A4440"/>
    <w:rsid w:val="000B042F"/>
    <w:rsid w:val="000B1D4B"/>
    <w:rsid w:val="000B1E8C"/>
    <w:rsid w:val="000B5792"/>
    <w:rsid w:val="000C382E"/>
    <w:rsid w:val="000C50F0"/>
    <w:rsid w:val="000D1118"/>
    <w:rsid w:val="000E4465"/>
    <w:rsid w:val="000E7366"/>
    <w:rsid w:val="000F1D19"/>
    <w:rsid w:val="000F454C"/>
    <w:rsid w:val="000F707C"/>
    <w:rsid w:val="001005BB"/>
    <w:rsid w:val="001008B4"/>
    <w:rsid w:val="00102429"/>
    <w:rsid w:val="00104728"/>
    <w:rsid w:val="0010504F"/>
    <w:rsid w:val="00105E77"/>
    <w:rsid w:val="001066A0"/>
    <w:rsid w:val="001174C7"/>
    <w:rsid w:val="00121404"/>
    <w:rsid w:val="00125340"/>
    <w:rsid w:val="00127253"/>
    <w:rsid w:val="001272ED"/>
    <w:rsid w:val="001275B0"/>
    <w:rsid w:val="00127772"/>
    <w:rsid w:val="001278C0"/>
    <w:rsid w:val="00133784"/>
    <w:rsid w:val="001465FA"/>
    <w:rsid w:val="00151192"/>
    <w:rsid w:val="0015203D"/>
    <w:rsid w:val="00155A1D"/>
    <w:rsid w:val="001605BF"/>
    <w:rsid w:val="00161C8D"/>
    <w:rsid w:val="00161D74"/>
    <w:rsid w:val="00166EAD"/>
    <w:rsid w:val="001673A4"/>
    <w:rsid w:val="001678ED"/>
    <w:rsid w:val="00176B74"/>
    <w:rsid w:val="0019235A"/>
    <w:rsid w:val="001A5012"/>
    <w:rsid w:val="001B011B"/>
    <w:rsid w:val="001B538B"/>
    <w:rsid w:val="001B7CAA"/>
    <w:rsid w:val="001C2F92"/>
    <w:rsid w:val="001C4F67"/>
    <w:rsid w:val="001D1495"/>
    <w:rsid w:val="001D5B07"/>
    <w:rsid w:val="001F4944"/>
    <w:rsid w:val="001F76A9"/>
    <w:rsid w:val="002001D1"/>
    <w:rsid w:val="002056CF"/>
    <w:rsid w:val="00205AFE"/>
    <w:rsid w:val="00206A68"/>
    <w:rsid w:val="00207F57"/>
    <w:rsid w:val="002122F9"/>
    <w:rsid w:val="00214E81"/>
    <w:rsid w:val="00221709"/>
    <w:rsid w:val="00230484"/>
    <w:rsid w:val="002319B7"/>
    <w:rsid w:val="00234DF3"/>
    <w:rsid w:val="00235D3E"/>
    <w:rsid w:val="00241CCB"/>
    <w:rsid w:val="002473C4"/>
    <w:rsid w:val="00250DC1"/>
    <w:rsid w:val="00265F75"/>
    <w:rsid w:val="002677CE"/>
    <w:rsid w:val="00267D65"/>
    <w:rsid w:val="0027297D"/>
    <w:rsid w:val="00272EFD"/>
    <w:rsid w:val="0028536C"/>
    <w:rsid w:val="00292C05"/>
    <w:rsid w:val="00292E5A"/>
    <w:rsid w:val="00292F8D"/>
    <w:rsid w:val="002A13F3"/>
    <w:rsid w:val="002A470D"/>
    <w:rsid w:val="002A5A67"/>
    <w:rsid w:val="002A61F2"/>
    <w:rsid w:val="002A7842"/>
    <w:rsid w:val="002C464D"/>
    <w:rsid w:val="002C4F51"/>
    <w:rsid w:val="002E3E48"/>
    <w:rsid w:val="002F3868"/>
    <w:rsid w:val="002F7F30"/>
    <w:rsid w:val="00302743"/>
    <w:rsid w:val="003068CC"/>
    <w:rsid w:val="003072B0"/>
    <w:rsid w:val="00307F34"/>
    <w:rsid w:val="003109BD"/>
    <w:rsid w:val="003170A2"/>
    <w:rsid w:val="00332069"/>
    <w:rsid w:val="003328BF"/>
    <w:rsid w:val="00333517"/>
    <w:rsid w:val="00334A5E"/>
    <w:rsid w:val="00335F89"/>
    <w:rsid w:val="0033660F"/>
    <w:rsid w:val="0033690D"/>
    <w:rsid w:val="00340C6E"/>
    <w:rsid w:val="003443BC"/>
    <w:rsid w:val="00353496"/>
    <w:rsid w:val="0035504E"/>
    <w:rsid w:val="0035695A"/>
    <w:rsid w:val="00365345"/>
    <w:rsid w:val="0037671D"/>
    <w:rsid w:val="00390B11"/>
    <w:rsid w:val="00397563"/>
    <w:rsid w:val="003A0E09"/>
    <w:rsid w:val="003A5328"/>
    <w:rsid w:val="003B4A87"/>
    <w:rsid w:val="003B577A"/>
    <w:rsid w:val="003B7276"/>
    <w:rsid w:val="003C2B6C"/>
    <w:rsid w:val="003C6330"/>
    <w:rsid w:val="003D66E0"/>
    <w:rsid w:val="003F17EB"/>
    <w:rsid w:val="003F3ECC"/>
    <w:rsid w:val="003F4FE2"/>
    <w:rsid w:val="003F7CE2"/>
    <w:rsid w:val="00401154"/>
    <w:rsid w:val="00402F53"/>
    <w:rsid w:val="0041361F"/>
    <w:rsid w:val="00414A9B"/>
    <w:rsid w:val="0042447A"/>
    <w:rsid w:val="00425C45"/>
    <w:rsid w:val="00427B77"/>
    <w:rsid w:val="004308EA"/>
    <w:rsid w:val="00431553"/>
    <w:rsid w:val="00435A72"/>
    <w:rsid w:val="004379CD"/>
    <w:rsid w:val="00437CF5"/>
    <w:rsid w:val="00444306"/>
    <w:rsid w:val="004462F2"/>
    <w:rsid w:val="00450E27"/>
    <w:rsid w:val="00451D90"/>
    <w:rsid w:val="00451E96"/>
    <w:rsid w:val="00455D8D"/>
    <w:rsid w:val="004614E8"/>
    <w:rsid w:val="00465209"/>
    <w:rsid w:val="00475A54"/>
    <w:rsid w:val="0048532A"/>
    <w:rsid w:val="004863BC"/>
    <w:rsid w:val="0048777D"/>
    <w:rsid w:val="004879C4"/>
    <w:rsid w:val="004A0805"/>
    <w:rsid w:val="004A16DB"/>
    <w:rsid w:val="004B4023"/>
    <w:rsid w:val="004B5977"/>
    <w:rsid w:val="004C146B"/>
    <w:rsid w:val="004C22DD"/>
    <w:rsid w:val="004C37A6"/>
    <w:rsid w:val="004C4F80"/>
    <w:rsid w:val="004D4AF5"/>
    <w:rsid w:val="004E5881"/>
    <w:rsid w:val="004F3656"/>
    <w:rsid w:val="00501330"/>
    <w:rsid w:val="0050483E"/>
    <w:rsid w:val="00506647"/>
    <w:rsid w:val="00507430"/>
    <w:rsid w:val="00512018"/>
    <w:rsid w:val="00512781"/>
    <w:rsid w:val="00513D71"/>
    <w:rsid w:val="00514D31"/>
    <w:rsid w:val="00515CF9"/>
    <w:rsid w:val="0051706C"/>
    <w:rsid w:val="00517CA3"/>
    <w:rsid w:val="00517F1A"/>
    <w:rsid w:val="00524837"/>
    <w:rsid w:val="00526079"/>
    <w:rsid w:val="00526C8B"/>
    <w:rsid w:val="0053083B"/>
    <w:rsid w:val="00533CD5"/>
    <w:rsid w:val="00536BEC"/>
    <w:rsid w:val="00544A07"/>
    <w:rsid w:val="00545A0E"/>
    <w:rsid w:val="00547A43"/>
    <w:rsid w:val="00547BA0"/>
    <w:rsid w:val="0055392C"/>
    <w:rsid w:val="005547E1"/>
    <w:rsid w:val="005564BF"/>
    <w:rsid w:val="0056398F"/>
    <w:rsid w:val="0057242D"/>
    <w:rsid w:val="00575D4C"/>
    <w:rsid w:val="00593736"/>
    <w:rsid w:val="005964BD"/>
    <w:rsid w:val="005A52A6"/>
    <w:rsid w:val="005A61F5"/>
    <w:rsid w:val="005B0241"/>
    <w:rsid w:val="005B3297"/>
    <w:rsid w:val="005B3DC7"/>
    <w:rsid w:val="005C7CDD"/>
    <w:rsid w:val="005D2A5D"/>
    <w:rsid w:val="005E6D4C"/>
    <w:rsid w:val="005E7011"/>
    <w:rsid w:val="005F063E"/>
    <w:rsid w:val="005F5DEC"/>
    <w:rsid w:val="005F7D68"/>
    <w:rsid w:val="00607385"/>
    <w:rsid w:val="00612DF3"/>
    <w:rsid w:val="00621FC5"/>
    <w:rsid w:val="00632745"/>
    <w:rsid w:val="00634BB4"/>
    <w:rsid w:val="00642970"/>
    <w:rsid w:val="006457B6"/>
    <w:rsid w:val="0064760B"/>
    <w:rsid w:val="00652EC9"/>
    <w:rsid w:val="0066207E"/>
    <w:rsid w:val="00686BD9"/>
    <w:rsid w:val="00693274"/>
    <w:rsid w:val="00696373"/>
    <w:rsid w:val="006A0EB4"/>
    <w:rsid w:val="006A4226"/>
    <w:rsid w:val="006A63EC"/>
    <w:rsid w:val="006B2058"/>
    <w:rsid w:val="006B7979"/>
    <w:rsid w:val="006C1C22"/>
    <w:rsid w:val="006C310D"/>
    <w:rsid w:val="006C4D8E"/>
    <w:rsid w:val="006D3A76"/>
    <w:rsid w:val="006E11C9"/>
    <w:rsid w:val="006F1C5B"/>
    <w:rsid w:val="006F4D82"/>
    <w:rsid w:val="006F74C6"/>
    <w:rsid w:val="00710A8D"/>
    <w:rsid w:val="00720A11"/>
    <w:rsid w:val="0072475A"/>
    <w:rsid w:val="00740CA6"/>
    <w:rsid w:val="00743F18"/>
    <w:rsid w:val="007514A4"/>
    <w:rsid w:val="00754436"/>
    <w:rsid w:val="00754C17"/>
    <w:rsid w:val="00767BE0"/>
    <w:rsid w:val="00772B63"/>
    <w:rsid w:val="00775AEF"/>
    <w:rsid w:val="00777B1F"/>
    <w:rsid w:val="00783B2B"/>
    <w:rsid w:val="00785251"/>
    <w:rsid w:val="00786F27"/>
    <w:rsid w:val="007A3395"/>
    <w:rsid w:val="007A3B5B"/>
    <w:rsid w:val="007A4CEA"/>
    <w:rsid w:val="007C1311"/>
    <w:rsid w:val="007C5CFD"/>
    <w:rsid w:val="007D1D6C"/>
    <w:rsid w:val="007D4727"/>
    <w:rsid w:val="007E2D7F"/>
    <w:rsid w:val="007E67B6"/>
    <w:rsid w:val="007E7CE6"/>
    <w:rsid w:val="007F7C5C"/>
    <w:rsid w:val="0080007C"/>
    <w:rsid w:val="00802EAC"/>
    <w:rsid w:val="0080432F"/>
    <w:rsid w:val="00807B46"/>
    <w:rsid w:val="00821AC1"/>
    <w:rsid w:val="008465E5"/>
    <w:rsid w:val="00855C06"/>
    <w:rsid w:val="00863420"/>
    <w:rsid w:val="0086433B"/>
    <w:rsid w:val="008721BC"/>
    <w:rsid w:val="008778A9"/>
    <w:rsid w:val="00877DB6"/>
    <w:rsid w:val="00883CBD"/>
    <w:rsid w:val="00884141"/>
    <w:rsid w:val="00886930"/>
    <w:rsid w:val="0088768A"/>
    <w:rsid w:val="0089035F"/>
    <w:rsid w:val="00895038"/>
    <w:rsid w:val="008A014A"/>
    <w:rsid w:val="008A582D"/>
    <w:rsid w:val="008C7963"/>
    <w:rsid w:val="008D08DE"/>
    <w:rsid w:val="008D3C90"/>
    <w:rsid w:val="008D5109"/>
    <w:rsid w:val="008F36E0"/>
    <w:rsid w:val="008F4177"/>
    <w:rsid w:val="008F73BF"/>
    <w:rsid w:val="009105F5"/>
    <w:rsid w:val="0092734F"/>
    <w:rsid w:val="009300D3"/>
    <w:rsid w:val="009323D3"/>
    <w:rsid w:val="009327F9"/>
    <w:rsid w:val="009420F2"/>
    <w:rsid w:val="009435F6"/>
    <w:rsid w:val="00945CE8"/>
    <w:rsid w:val="009477A1"/>
    <w:rsid w:val="00952D26"/>
    <w:rsid w:val="009536F9"/>
    <w:rsid w:val="00961963"/>
    <w:rsid w:val="00976ECC"/>
    <w:rsid w:val="00981EB4"/>
    <w:rsid w:val="00984174"/>
    <w:rsid w:val="009C5AE0"/>
    <w:rsid w:val="009D1544"/>
    <w:rsid w:val="009D1CF6"/>
    <w:rsid w:val="009D6682"/>
    <w:rsid w:val="009E55B8"/>
    <w:rsid w:val="009E5D9A"/>
    <w:rsid w:val="009E6F8C"/>
    <w:rsid w:val="009E7A2E"/>
    <w:rsid w:val="009F05E9"/>
    <w:rsid w:val="009F26B0"/>
    <w:rsid w:val="009F42E9"/>
    <w:rsid w:val="009F727A"/>
    <w:rsid w:val="00A03801"/>
    <w:rsid w:val="00A049CB"/>
    <w:rsid w:val="00A071F7"/>
    <w:rsid w:val="00A10A9E"/>
    <w:rsid w:val="00A20909"/>
    <w:rsid w:val="00A22896"/>
    <w:rsid w:val="00A27E84"/>
    <w:rsid w:val="00A305B9"/>
    <w:rsid w:val="00A32E9F"/>
    <w:rsid w:val="00A47E12"/>
    <w:rsid w:val="00A5071D"/>
    <w:rsid w:val="00A5209C"/>
    <w:rsid w:val="00A52BF8"/>
    <w:rsid w:val="00A52C94"/>
    <w:rsid w:val="00A74B9E"/>
    <w:rsid w:val="00A7637B"/>
    <w:rsid w:val="00A76B5B"/>
    <w:rsid w:val="00A854FC"/>
    <w:rsid w:val="00AC5208"/>
    <w:rsid w:val="00AD37B8"/>
    <w:rsid w:val="00AD39B0"/>
    <w:rsid w:val="00AD760A"/>
    <w:rsid w:val="00AE0D6B"/>
    <w:rsid w:val="00AE2E25"/>
    <w:rsid w:val="00AF0817"/>
    <w:rsid w:val="00AF1BC4"/>
    <w:rsid w:val="00AF1F6D"/>
    <w:rsid w:val="00AF459A"/>
    <w:rsid w:val="00B06411"/>
    <w:rsid w:val="00B20E91"/>
    <w:rsid w:val="00B53204"/>
    <w:rsid w:val="00B550DD"/>
    <w:rsid w:val="00B5537F"/>
    <w:rsid w:val="00B61127"/>
    <w:rsid w:val="00B624D1"/>
    <w:rsid w:val="00B63E5C"/>
    <w:rsid w:val="00B6777A"/>
    <w:rsid w:val="00B7234A"/>
    <w:rsid w:val="00B7236C"/>
    <w:rsid w:val="00B76364"/>
    <w:rsid w:val="00B8300A"/>
    <w:rsid w:val="00B8641F"/>
    <w:rsid w:val="00B9220D"/>
    <w:rsid w:val="00B97602"/>
    <w:rsid w:val="00B97EE2"/>
    <w:rsid w:val="00BA1202"/>
    <w:rsid w:val="00BA1236"/>
    <w:rsid w:val="00BA3B3C"/>
    <w:rsid w:val="00BA4F4E"/>
    <w:rsid w:val="00BA6157"/>
    <w:rsid w:val="00BA65E6"/>
    <w:rsid w:val="00BA67BF"/>
    <w:rsid w:val="00BA6BD8"/>
    <w:rsid w:val="00BA6E27"/>
    <w:rsid w:val="00BB6F2D"/>
    <w:rsid w:val="00BC0487"/>
    <w:rsid w:val="00BC0889"/>
    <w:rsid w:val="00BD02F4"/>
    <w:rsid w:val="00BD3C27"/>
    <w:rsid w:val="00BE2685"/>
    <w:rsid w:val="00BF41A7"/>
    <w:rsid w:val="00C51FC8"/>
    <w:rsid w:val="00C62F94"/>
    <w:rsid w:val="00C77707"/>
    <w:rsid w:val="00C853AF"/>
    <w:rsid w:val="00C87B42"/>
    <w:rsid w:val="00CA1AA0"/>
    <w:rsid w:val="00CA4329"/>
    <w:rsid w:val="00CA79F6"/>
    <w:rsid w:val="00CB4FFF"/>
    <w:rsid w:val="00CB7E08"/>
    <w:rsid w:val="00CC6D8A"/>
    <w:rsid w:val="00CD2A3B"/>
    <w:rsid w:val="00CD2ED3"/>
    <w:rsid w:val="00CD4502"/>
    <w:rsid w:val="00CE06F1"/>
    <w:rsid w:val="00CE11E9"/>
    <w:rsid w:val="00CF079C"/>
    <w:rsid w:val="00CF497E"/>
    <w:rsid w:val="00CF775D"/>
    <w:rsid w:val="00CF7864"/>
    <w:rsid w:val="00D079C7"/>
    <w:rsid w:val="00D11E68"/>
    <w:rsid w:val="00D216EC"/>
    <w:rsid w:val="00D23897"/>
    <w:rsid w:val="00D35F44"/>
    <w:rsid w:val="00D360EE"/>
    <w:rsid w:val="00D40B8B"/>
    <w:rsid w:val="00D40BEB"/>
    <w:rsid w:val="00D44804"/>
    <w:rsid w:val="00D46037"/>
    <w:rsid w:val="00D50A93"/>
    <w:rsid w:val="00D52B12"/>
    <w:rsid w:val="00D53613"/>
    <w:rsid w:val="00D63A93"/>
    <w:rsid w:val="00D63AF1"/>
    <w:rsid w:val="00D63C9F"/>
    <w:rsid w:val="00D66278"/>
    <w:rsid w:val="00D66DF2"/>
    <w:rsid w:val="00D72AD9"/>
    <w:rsid w:val="00D75265"/>
    <w:rsid w:val="00D75C70"/>
    <w:rsid w:val="00D81D64"/>
    <w:rsid w:val="00D85320"/>
    <w:rsid w:val="00D9116B"/>
    <w:rsid w:val="00D9198A"/>
    <w:rsid w:val="00D91D7A"/>
    <w:rsid w:val="00D93F58"/>
    <w:rsid w:val="00D95B5F"/>
    <w:rsid w:val="00D96B91"/>
    <w:rsid w:val="00DA37A3"/>
    <w:rsid w:val="00DB69F2"/>
    <w:rsid w:val="00DB6A05"/>
    <w:rsid w:val="00DC3DB2"/>
    <w:rsid w:val="00DC633E"/>
    <w:rsid w:val="00DD3258"/>
    <w:rsid w:val="00DD6EFE"/>
    <w:rsid w:val="00DE0409"/>
    <w:rsid w:val="00DE524E"/>
    <w:rsid w:val="00DE70BF"/>
    <w:rsid w:val="00DF0AD5"/>
    <w:rsid w:val="00DF254A"/>
    <w:rsid w:val="00E04D6F"/>
    <w:rsid w:val="00E0560E"/>
    <w:rsid w:val="00E0596B"/>
    <w:rsid w:val="00E10065"/>
    <w:rsid w:val="00E103D0"/>
    <w:rsid w:val="00E15C61"/>
    <w:rsid w:val="00E22EE6"/>
    <w:rsid w:val="00E2346C"/>
    <w:rsid w:val="00E53FF6"/>
    <w:rsid w:val="00E54E57"/>
    <w:rsid w:val="00E62D51"/>
    <w:rsid w:val="00E67933"/>
    <w:rsid w:val="00E70271"/>
    <w:rsid w:val="00E731F1"/>
    <w:rsid w:val="00E738F6"/>
    <w:rsid w:val="00E743B6"/>
    <w:rsid w:val="00E81D79"/>
    <w:rsid w:val="00E8323E"/>
    <w:rsid w:val="00E87842"/>
    <w:rsid w:val="00E94397"/>
    <w:rsid w:val="00E953AA"/>
    <w:rsid w:val="00E95502"/>
    <w:rsid w:val="00EA4CDD"/>
    <w:rsid w:val="00EB44EA"/>
    <w:rsid w:val="00EB5604"/>
    <w:rsid w:val="00EC6D15"/>
    <w:rsid w:val="00ED1147"/>
    <w:rsid w:val="00ED198C"/>
    <w:rsid w:val="00EE1CC9"/>
    <w:rsid w:val="00EE2AA2"/>
    <w:rsid w:val="00EE301E"/>
    <w:rsid w:val="00EE3625"/>
    <w:rsid w:val="00EF26E9"/>
    <w:rsid w:val="00EF365C"/>
    <w:rsid w:val="00F00313"/>
    <w:rsid w:val="00F003CA"/>
    <w:rsid w:val="00F00F9C"/>
    <w:rsid w:val="00F0108F"/>
    <w:rsid w:val="00F03BE5"/>
    <w:rsid w:val="00F07FEF"/>
    <w:rsid w:val="00F1195A"/>
    <w:rsid w:val="00F36A35"/>
    <w:rsid w:val="00F46ED0"/>
    <w:rsid w:val="00F47953"/>
    <w:rsid w:val="00F50015"/>
    <w:rsid w:val="00F51AEE"/>
    <w:rsid w:val="00F53CD6"/>
    <w:rsid w:val="00F77EEB"/>
    <w:rsid w:val="00F80FCD"/>
    <w:rsid w:val="00F872C4"/>
    <w:rsid w:val="00F90906"/>
    <w:rsid w:val="00F94FE5"/>
    <w:rsid w:val="00F96046"/>
    <w:rsid w:val="00F96466"/>
    <w:rsid w:val="00FA6545"/>
    <w:rsid w:val="00FA76C6"/>
    <w:rsid w:val="00FB0377"/>
    <w:rsid w:val="00FC03B5"/>
    <w:rsid w:val="00FC12C6"/>
    <w:rsid w:val="00FC1A25"/>
    <w:rsid w:val="00FC2ADC"/>
    <w:rsid w:val="00FD289E"/>
    <w:rsid w:val="00FD7B88"/>
    <w:rsid w:val="00FE1592"/>
    <w:rsid w:val="00FE3BB7"/>
    <w:rsid w:val="00FF0170"/>
    <w:rsid w:val="00FF2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oNotEmbedSmartTags/>
  <w:decimalSymbol w:val="."/>
  <w:listSeparator w:val=","/>
  <w14:docId w14:val="270A4DBE"/>
  <w15:docId w15:val="{FE3B5E43-DE89-4061-807A-CD4EF26C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73BF"/>
    <w:pPr>
      <w:widowControl w:val="0"/>
      <w:autoSpaceDE w:val="0"/>
      <w:autoSpaceDN w:val="0"/>
      <w:adjustRightInd w:val="0"/>
    </w:pPr>
    <w:rPr>
      <w:sz w:val="24"/>
      <w:szCs w:val="24"/>
    </w:rPr>
  </w:style>
  <w:style w:type="paragraph" w:styleId="Heading1">
    <w:name w:val="heading 1"/>
    <w:basedOn w:val="Normal"/>
    <w:next w:val="Normal"/>
    <w:link w:val="Heading1Char"/>
    <w:qFormat/>
    <w:rsid w:val="00E81D79"/>
    <w:pPr>
      <w:keepNext/>
      <w:spacing w:before="240" w:after="60"/>
      <w:outlineLvl w:val="0"/>
    </w:pPr>
    <w:rPr>
      <w:rFonts w:ascii="Georgia" w:hAnsi="Georgia"/>
      <w:b/>
      <w:bCs/>
      <w:kern w:val="32"/>
      <w:sz w:val="22"/>
      <w:szCs w:val="32"/>
    </w:rPr>
  </w:style>
  <w:style w:type="paragraph" w:styleId="Heading2">
    <w:name w:val="heading 2"/>
    <w:basedOn w:val="Normal"/>
    <w:next w:val="Normal"/>
    <w:qFormat/>
    <w:pP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CF079C"/>
    <w:pPr>
      <w:tabs>
        <w:tab w:val="center" w:pos="4320"/>
        <w:tab w:val="right" w:pos="8640"/>
      </w:tabs>
    </w:pPr>
  </w:style>
  <w:style w:type="paragraph" w:styleId="Footer">
    <w:name w:val="footer"/>
    <w:basedOn w:val="Normal"/>
    <w:rsid w:val="00CF079C"/>
    <w:pPr>
      <w:tabs>
        <w:tab w:val="center" w:pos="4320"/>
        <w:tab w:val="right" w:pos="8640"/>
      </w:tabs>
    </w:pPr>
  </w:style>
  <w:style w:type="character" w:styleId="PageNumber">
    <w:name w:val="page number"/>
    <w:basedOn w:val="DefaultParagraphFont"/>
    <w:rsid w:val="008F36E0"/>
  </w:style>
  <w:style w:type="paragraph" w:customStyle="1" w:styleId="Level1">
    <w:name w:val="Level 1"/>
    <w:basedOn w:val="Normal"/>
    <w:rsid w:val="008D08DE"/>
    <w:pPr>
      <w:numPr>
        <w:numId w:val="12"/>
      </w:numPr>
      <w:ind w:left="1440" w:hanging="720"/>
      <w:outlineLvl w:val="0"/>
    </w:pPr>
  </w:style>
  <w:style w:type="paragraph" w:styleId="BalloonText">
    <w:name w:val="Balloon Text"/>
    <w:basedOn w:val="Normal"/>
    <w:link w:val="BalloonTextChar"/>
    <w:rsid w:val="000810C8"/>
    <w:rPr>
      <w:rFonts w:ascii="Tahoma" w:hAnsi="Tahoma" w:cs="Tahoma"/>
      <w:sz w:val="16"/>
      <w:szCs w:val="16"/>
    </w:rPr>
  </w:style>
  <w:style w:type="character" w:customStyle="1" w:styleId="BalloonTextChar">
    <w:name w:val="Balloon Text Char"/>
    <w:link w:val="BalloonText"/>
    <w:rsid w:val="000810C8"/>
    <w:rPr>
      <w:rFonts w:ascii="Tahoma" w:hAnsi="Tahoma" w:cs="Tahoma"/>
      <w:sz w:val="16"/>
      <w:szCs w:val="16"/>
    </w:rPr>
  </w:style>
  <w:style w:type="character" w:customStyle="1" w:styleId="Heading1Char">
    <w:name w:val="Heading 1 Char"/>
    <w:link w:val="Heading1"/>
    <w:rsid w:val="00E81D79"/>
    <w:rPr>
      <w:rFonts w:ascii="Georgia" w:hAnsi="Georgia"/>
      <w:b/>
      <w:bCs/>
      <w:kern w:val="32"/>
      <w:sz w:val="22"/>
      <w:szCs w:val="32"/>
    </w:rPr>
  </w:style>
  <w:style w:type="paragraph" w:styleId="Title">
    <w:name w:val="Title"/>
    <w:basedOn w:val="Heading1"/>
    <w:next w:val="Subtitle"/>
    <w:link w:val="TitleChar"/>
    <w:uiPriority w:val="97"/>
    <w:qFormat/>
    <w:rsid w:val="001D1495"/>
    <w:pPr>
      <w:keepNext w:val="0"/>
      <w:widowControl/>
      <w:pBdr>
        <w:bottom w:val="single" w:sz="8" w:space="4" w:color="4F81BD"/>
      </w:pBdr>
      <w:autoSpaceDE/>
      <w:autoSpaceDN/>
      <w:adjustRightInd/>
      <w:spacing w:before="480" w:after="300"/>
      <w:contextualSpacing/>
    </w:pPr>
    <w:rPr>
      <w:smallCaps/>
      <w:spacing w:val="5"/>
      <w:kern w:val="28"/>
      <w:sz w:val="28"/>
      <w:szCs w:val="52"/>
    </w:rPr>
  </w:style>
  <w:style w:type="character" w:customStyle="1" w:styleId="TitleChar">
    <w:name w:val="Title Char"/>
    <w:link w:val="Title"/>
    <w:uiPriority w:val="97"/>
    <w:rsid w:val="001D1495"/>
    <w:rPr>
      <w:rFonts w:ascii="Georgia" w:hAnsi="Georgia"/>
      <w:b/>
      <w:bCs/>
      <w:smallCaps/>
      <w:spacing w:val="5"/>
      <w:kern w:val="28"/>
      <w:sz w:val="28"/>
      <w:szCs w:val="52"/>
    </w:rPr>
  </w:style>
  <w:style w:type="paragraph" w:styleId="BodyText">
    <w:name w:val="Body Text"/>
    <w:link w:val="BodyTextChar"/>
    <w:qFormat/>
    <w:rsid w:val="001D1495"/>
    <w:pPr>
      <w:spacing w:after="120"/>
    </w:pPr>
    <w:rPr>
      <w:rFonts w:ascii="Georgia" w:eastAsia="Calibri" w:hAnsi="Georgia"/>
      <w:sz w:val="22"/>
      <w:szCs w:val="24"/>
    </w:rPr>
  </w:style>
  <w:style w:type="character" w:customStyle="1" w:styleId="BodyTextChar">
    <w:name w:val="Body Text Char"/>
    <w:link w:val="BodyText"/>
    <w:rsid w:val="001D1495"/>
    <w:rPr>
      <w:rFonts w:ascii="Georgia" w:eastAsia="Calibri" w:hAnsi="Georgia"/>
      <w:sz w:val="22"/>
      <w:szCs w:val="24"/>
    </w:rPr>
  </w:style>
  <w:style w:type="paragraph" w:styleId="Subtitle">
    <w:name w:val="Subtitle"/>
    <w:basedOn w:val="Normal"/>
    <w:next w:val="Normal"/>
    <w:link w:val="SubtitleChar"/>
    <w:qFormat/>
    <w:rsid w:val="001D1495"/>
    <w:pPr>
      <w:spacing w:after="60"/>
      <w:jc w:val="center"/>
      <w:outlineLvl w:val="1"/>
    </w:pPr>
    <w:rPr>
      <w:rFonts w:ascii="Cambria" w:hAnsi="Cambria"/>
    </w:rPr>
  </w:style>
  <w:style w:type="character" w:customStyle="1" w:styleId="SubtitleChar">
    <w:name w:val="Subtitle Char"/>
    <w:link w:val="Subtitle"/>
    <w:rsid w:val="001D1495"/>
    <w:rPr>
      <w:rFonts w:ascii="Cambria" w:eastAsia="Times New Roman" w:hAnsi="Cambria" w:cs="Times New Roman"/>
      <w:sz w:val="24"/>
      <w:szCs w:val="24"/>
    </w:rPr>
  </w:style>
  <w:style w:type="character" w:styleId="CommentReference">
    <w:name w:val="annotation reference"/>
    <w:rsid w:val="006C310D"/>
    <w:rPr>
      <w:sz w:val="16"/>
      <w:szCs w:val="16"/>
    </w:rPr>
  </w:style>
  <w:style w:type="paragraph" w:styleId="CommentText">
    <w:name w:val="annotation text"/>
    <w:basedOn w:val="Normal"/>
    <w:link w:val="CommentTextChar"/>
    <w:rsid w:val="006C310D"/>
    <w:rPr>
      <w:sz w:val="20"/>
      <w:szCs w:val="20"/>
    </w:rPr>
  </w:style>
  <w:style w:type="character" w:customStyle="1" w:styleId="CommentTextChar">
    <w:name w:val="Comment Text Char"/>
    <w:basedOn w:val="DefaultParagraphFont"/>
    <w:link w:val="CommentText"/>
    <w:rsid w:val="006C310D"/>
  </w:style>
  <w:style w:type="paragraph" w:styleId="CommentSubject">
    <w:name w:val="annotation subject"/>
    <w:basedOn w:val="CommentText"/>
    <w:next w:val="CommentText"/>
    <w:link w:val="CommentSubjectChar"/>
    <w:rsid w:val="006C310D"/>
    <w:rPr>
      <w:b/>
      <w:bCs/>
    </w:rPr>
  </w:style>
  <w:style w:type="character" w:customStyle="1" w:styleId="CommentSubjectChar">
    <w:name w:val="Comment Subject Char"/>
    <w:link w:val="CommentSubject"/>
    <w:rsid w:val="006C310D"/>
    <w:rPr>
      <w:b/>
      <w:bCs/>
    </w:rPr>
  </w:style>
  <w:style w:type="paragraph" w:styleId="Revision">
    <w:name w:val="Revision"/>
    <w:hidden/>
    <w:uiPriority w:val="99"/>
    <w:semiHidden/>
    <w:rsid w:val="006C310D"/>
    <w:rPr>
      <w:sz w:val="24"/>
      <w:szCs w:val="24"/>
    </w:rPr>
  </w:style>
  <w:style w:type="paragraph" w:styleId="ListParagraph">
    <w:name w:val="List Paragraph"/>
    <w:basedOn w:val="Normal"/>
    <w:uiPriority w:val="34"/>
    <w:qFormat/>
    <w:rsid w:val="005F7D68"/>
    <w:pPr>
      <w:widowControl/>
      <w:autoSpaceDE/>
      <w:autoSpaceDN/>
      <w:adjustRightInd/>
      <w:ind w:left="720"/>
    </w:pPr>
    <w:rPr>
      <w:rFonts w:ascii="Georgia" w:hAnsi="Georgia"/>
      <w:sz w:val="22"/>
      <w:szCs w:val="20"/>
      <w:lang w:eastAsia="ko-KR"/>
    </w:rPr>
  </w:style>
  <w:style w:type="paragraph" w:styleId="ListNumber">
    <w:name w:val="List Number"/>
    <w:basedOn w:val="Normal"/>
    <w:rsid w:val="0072475A"/>
    <w:pPr>
      <w:widowControl/>
      <w:numPr>
        <w:numId w:val="32"/>
      </w:numPr>
      <w:spacing w:after="240"/>
      <w:ind w:left="360"/>
    </w:pPr>
    <w:rPr>
      <w:rFonts w:ascii="Lucida Bright" w:hAnsi="Lucida Bright"/>
      <w:sz w:val="22"/>
      <w:szCs w:val="22"/>
    </w:rPr>
  </w:style>
  <w:style w:type="paragraph" w:styleId="ListNumber2">
    <w:name w:val="List Number 2"/>
    <w:basedOn w:val="Normal"/>
    <w:unhideWhenUsed/>
    <w:rsid w:val="0072475A"/>
    <w:pPr>
      <w:widowControl/>
      <w:numPr>
        <w:numId w:val="30"/>
      </w:numPr>
      <w:autoSpaceDE/>
      <w:autoSpaceDN/>
      <w:adjustRightInd/>
      <w:spacing w:after="240"/>
    </w:pPr>
    <w:rPr>
      <w:rFonts w:ascii="Lucida Bright" w:hAnsi="Lucida Bright"/>
      <w:sz w:val="22"/>
      <w:szCs w:val="22"/>
      <w:lang w:eastAsia="ko-KR"/>
    </w:rPr>
  </w:style>
  <w:style w:type="paragraph" w:styleId="ListNumber3">
    <w:name w:val="List Number 3"/>
    <w:basedOn w:val="Normal"/>
    <w:unhideWhenUsed/>
    <w:rsid w:val="0072475A"/>
    <w:pPr>
      <w:widowControl/>
      <w:numPr>
        <w:ilvl w:val="1"/>
        <w:numId w:val="30"/>
      </w:numPr>
      <w:autoSpaceDE/>
      <w:autoSpaceDN/>
      <w:adjustRightInd/>
      <w:spacing w:after="240"/>
      <w:ind w:left="1080"/>
    </w:pPr>
    <w:rPr>
      <w:rFonts w:ascii="Lucida Bright" w:hAnsi="Lucida Bright"/>
      <w:sz w:val="22"/>
      <w:szCs w:val="22"/>
      <w:lang w:eastAsia="ko-KR"/>
    </w:rPr>
  </w:style>
  <w:style w:type="paragraph" w:styleId="ListNumber4">
    <w:name w:val="List Number 4"/>
    <w:basedOn w:val="Normal"/>
    <w:unhideWhenUsed/>
    <w:rsid w:val="0072475A"/>
    <w:pPr>
      <w:widowControl/>
      <w:numPr>
        <w:ilvl w:val="2"/>
        <w:numId w:val="30"/>
      </w:numPr>
      <w:autoSpaceDE/>
      <w:autoSpaceDN/>
      <w:adjustRightInd/>
      <w:spacing w:after="240"/>
      <w:ind w:left="1440"/>
    </w:pPr>
    <w:rPr>
      <w:rFonts w:ascii="Lucida Bright" w:hAnsi="Lucida Bright"/>
      <w:sz w:val="22"/>
      <w:szCs w:val="22"/>
      <w:lang w:eastAsia="ko-KR"/>
    </w:rPr>
  </w:style>
  <w:style w:type="paragraph" w:customStyle="1" w:styleId="BodyText6">
    <w:name w:val="Body Text6"/>
    <w:basedOn w:val="Normal"/>
    <w:qFormat/>
    <w:rsid w:val="003D66E0"/>
    <w:pPr>
      <w:widowControl/>
      <w:tabs>
        <w:tab w:val="left" w:pos="72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autoSpaceDE/>
      <w:autoSpaceDN/>
      <w:adjustRightInd/>
      <w:spacing w:before="120" w:after="240"/>
      <w:ind w:left="720"/>
    </w:pPr>
    <w:rPr>
      <w:rFonts w:ascii="Lucida Bright" w:hAnsi="Lucida Bright"/>
      <w:sz w:val="22"/>
      <w:szCs w:val="22"/>
    </w:rPr>
  </w:style>
  <w:style w:type="paragraph" w:styleId="BodyTextIndent">
    <w:name w:val="Body Text Indent"/>
    <w:basedOn w:val="Normal"/>
    <w:link w:val="BodyTextIndentChar"/>
    <w:semiHidden/>
    <w:unhideWhenUsed/>
    <w:rsid w:val="008F73BF"/>
    <w:pPr>
      <w:spacing w:after="120"/>
      <w:ind w:left="360"/>
    </w:pPr>
  </w:style>
  <w:style w:type="character" w:customStyle="1" w:styleId="BodyTextIndentChar">
    <w:name w:val="Body Text Indent Char"/>
    <w:basedOn w:val="DefaultParagraphFont"/>
    <w:link w:val="BodyTextIndent"/>
    <w:rsid w:val="008F73BF"/>
    <w:rPr>
      <w:sz w:val="24"/>
      <w:szCs w:val="24"/>
    </w:rPr>
  </w:style>
  <w:style w:type="paragraph" w:styleId="BodyTextIndent2">
    <w:name w:val="Body Text Indent 2"/>
    <w:basedOn w:val="Normal"/>
    <w:link w:val="BodyTextIndent2Char"/>
    <w:semiHidden/>
    <w:unhideWhenUsed/>
    <w:rsid w:val="008F73BF"/>
    <w:pPr>
      <w:spacing w:after="120" w:line="480" w:lineRule="auto"/>
      <w:ind w:left="360"/>
    </w:pPr>
  </w:style>
  <w:style w:type="character" w:customStyle="1" w:styleId="BodyTextIndent2Char">
    <w:name w:val="Body Text Indent 2 Char"/>
    <w:basedOn w:val="DefaultParagraphFont"/>
    <w:link w:val="BodyTextIndent2"/>
    <w:semiHidden/>
    <w:rsid w:val="008F73BF"/>
    <w:rPr>
      <w:sz w:val="24"/>
      <w:szCs w:val="24"/>
    </w:rPr>
  </w:style>
  <w:style w:type="character" w:styleId="PlaceholderText">
    <w:name w:val="Placeholder Text"/>
    <w:basedOn w:val="DefaultParagraphFont"/>
    <w:uiPriority w:val="99"/>
    <w:semiHidden/>
    <w:rsid w:val="00544A0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D994910-9FE4-4582-98D5-3FA8A0E0F1A4}"/>
      </w:docPartPr>
      <w:docPartBody>
        <w:p w:rsidR="00DE6A11" w:rsidRDefault="00DE6A11">
          <w:r w:rsidRPr="007478A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A11"/>
    <w:rsid w:val="00945CE8"/>
    <w:rsid w:val="00DE6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6A1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6" ma:contentTypeDescription="Create a new document." ma:contentTypeScope="" ma:versionID="a480ee9b17d6100d30e106da72362ec1">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FD9D2-9F8D-40FF-8B22-1DB295C8F269}">
  <ds:schemaRefs>
    <ds:schemaRef ds:uri="http://schemas.openxmlformats.org/officeDocument/2006/bibliography"/>
  </ds:schemaRefs>
</ds:datastoreItem>
</file>

<file path=customXml/itemProps2.xml><?xml version="1.0" encoding="utf-8"?>
<ds:datastoreItem xmlns:ds="http://schemas.openxmlformats.org/officeDocument/2006/customXml" ds:itemID="{9D3F4370-3677-46FB-A957-BB25274B2DA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7b56bc5-f6a6-4867-8dcc-e9c631d75938"/>
    <ds:schemaRef ds:uri="f3ae5da6-11bb-41ff-9cbc-d5978eedc60e"/>
    <ds:schemaRef ds:uri="http://www.w3.org/XML/1998/namespace"/>
    <ds:schemaRef ds:uri="http://purl.org/dc/dcmitype/"/>
  </ds:schemaRefs>
</ds:datastoreItem>
</file>

<file path=customXml/itemProps3.xml><?xml version="1.0" encoding="utf-8"?>
<ds:datastoreItem xmlns:ds="http://schemas.openxmlformats.org/officeDocument/2006/customXml" ds:itemID="{1C052101-AE1C-42BC-90C5-63F1ECC72021}">
  <ds:schemaRefs>
    <ds:schemaRef ds:uri="http://schemas.microsoft.com/sharepoint/v3/contenttype/forms"/>
  </ds:schemaRefs>
</ds:datastoreItem>
</file>

<file path=customXml/itemProps4.xml><?xml version="1.0" encoding="utf-8"?>
<ds:datastoreItem xmlns:ds="http://schemas.openxmlformats.org/officeDocument/2006/customXml" ds:itemID="{9BC58041-FFBE-4A1F-B755-A77663457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4298</Words>
  <Characters>23537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WQG100000 Draft Fact Sheet</vt:lpstr>
    </vt:vector>
  </TitlesOfParts>
  <Company>TCEQ</Company>
  <LinksUpToDate>false</LinksUpToDate>
  <CharactersWithSpaces>27780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WQG100000 Draft Fact Sheet</dc:title>
  <dc:subject>WQG100000</dc:subject>
  <dc:creator>SGibson</dc:creator>
  <cp:lastModifiedBy>Shannon Gibson</cp:lastModifiedBy>
  <cp:revision>3</cp:revision>
  <cp:lastPrinted>2020-02-10T14:46:00Z</cp:lastPrinted>
  <dcterms:created xsi:type="dcterms:W3CDTF">2024-12-20T18:15:00Z</dcterms:created>
  <dcterms:modified xsi:type="dcterms:W3CDTF">2025-02-06T19:32:00Z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0x01010088344C561C6BB0479926BE284C809352</vt:lpwstr>
  </property>
  <property fmtid="{D5CDD505-2E9C-101B-9397-08002B2CF9AE}" pid="4" name="MediaServiceImageTags">
    <vt:lpwstr/>
  </property>
</Properties>
</file>