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390D" w14:textId="025C446F" w:rsidR="00BB04FC" w:rsidRPr="00F64EAE" w:rsidRDefault="004E4B9E" w:rsidP="00BB04FC">
      <w:pPr>
        <w:jc w:val="center"/>
        <w:rPr>
          <w:rFonts w:ascii="Georgia" w:hAnsi="Georgia"/>
          <w:b/>
          <w:bCs/>
          <w:smallCaps/>
          <w:sz w:val="36"/>
          <w:szCs w:val="36"/>
        </w:rPr>
      </w:pPr>
      <w:r>
        <w:rPr>
          <w:rFonts w:ascii="Georgia" w:hAnsi="Georgia"/>
          <w:sz w:val="36"/>
          <w:szCs w:val="36"/>
          <w:lang w:val="vi"/>
        </w:rPr>
        <w:fldChar w:fldCharType="begin"/>
      </w:r>
      <w:r>
        <w:rPr>
          <w:rFonts w:ascii="Georgia" w:hAnsi="Georgia"/>
          <w:sz w:val="36"/>
          <w:szCs w:val="36"/>
          <w:lang w:val="vi"/>
        </w:rPr>
        <w:instrText xml:space="preserve"> SEQ CHAPTER \h \r 1</w:instrText>
      </w:r>
      <w:r>
        <w:rPr>
          <w:rFonts w:ascii="Georgia" w:hAnsi="Georgia"/>
          <w:sz w:val="36"/>
          <w:szCs w:val="36"/>
          <w:lang w:val="vi"/>
        </w:rPr>
        <w:fldChar w:fldCharType="end"/>
      </w:r>
      <w:r>
        <w:rPr>
          <w:rFonts w:ascii="Georgia" w:hAnsi="Georgia"/>
          <w:b/>
          <w:bCs/>
          <w:smallCaps/>
          <w:sz w:val="36"/>
          <w:szCs w:val="36"/>
          <w:lang w:val="vi"/>
        </w:rPr>
        <w:t>Ủy Ban Chất Lượng Môi Trường Texas</w:t>
      </w:r>
    </w:p>
    <w:p w14:paraId="3DD18258" w14:textId="77777777" w:rsidR="009657FF" w:rsidRDefault="009657FF" w:rsidP="004E3C65">
      <w:pPr>
        <w:jc w:val="center"/>
        <w:rPr>
          <w:rFonts w:ascii="Georgia" w:hAnsi="Georgia"/>
          <w:b/>
          <w:bCs/>
          <w:sz w:val="22"/>
          <w:szCs w:val="22"/>
        </w:rPr>
      </w:pPr>
    </w:p>
    <w:p w14:paraId="75A81973" w14:textId="6A22382A" w:rsidR="00BB04FC" w:rsidRPr="00F64EAE" w:rsidRDefault="00CE491B" w:rsidP="004E3C65">
      <w:pPr>
        <w:jc w:val="center"/>
        <w:rPr>
          <w:rFonts w:ascii="Georgia" w:hAnsi="Georgia"/>
          <w:b/>
          <w:bCs/>
          <w:sz w:val="22"/>
          <w:szCs w:val="22"/>
        </w:rPr>
      </w:pPr>
      <w:r>
        <w:rPr>
          <w:noProof/>
          <w:lang w:val="vi"/>
        </w:rPr>
        <w:drawing>
          <wp:inline distT="0" distB="0" distL="0" distR="0" wp14:anchorId="23EB06FA" wp14:editId="3FB17DBD">
            <wp:extent cx="914400" cy="914400"/>
            <wp:effectExtent l="0" t="0" r="0" b="0"/>
            <wp:docPr id="2" name="Picture 10"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The State of Texas 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CE54A50" w14:textId="77777777" w:rsidR="00BB04FC" w:rsidRPr="00F64EAE" w:rsidRDefault="00BB04FC" w:rsidP="004E3C65">
      <w:pPr>
        <w:jc w:val="center"/>
        <w:rPr>
          <w:rFonts w:ascii="Georgia" w:hAnsi="Georgia"/>
          <w:b/>
          <w:bCs/>
          <w:sz w:val="22"/>
          <w:szCs w:val="22"/>
        </w:rPr>
      </w:pPr>
    </w:p>
    <w:p w14:paraId="1360AA85" w14:textId="77777777" w:rsidR="00A305EE" w:rsidRPr="00F64EAE" w:rsidRDefault="00A305EE" w:rsidP="00A305EE">
      <w:pPr>
        <w:rPr>
          <w:rFonts w:ascii="Georgia" w:hAnsi="Georgia" w:cs="Bell MT"/>
          <w:sz w:val="22"/>
          <w:szCs w:val="22"/>
        </w:rPr>
      </w:pPr>
    </w:p>
    <w:p w14:paraId="7E7A606B" w14:textId="77777777" w:rsidR="00A305EE" w:rsidRPr="00F64EAE" w:rsidRDefault="00A305EE" w:rsidP="00A305EE">
      <w:pPr>
        <w:jc w:val="center"/>
        <w:rPr>
          <w:rFonts w:ascii="Georgia" w:hAnsi="Georgia"/>
          <w:b/>
          <w:bCs/>
          <w:sz w:val="22"/>
          <w:szCs w:val="22"/>
        </w:rPr>
      </w:pPr>
      <w:r>
        <w:rPr>
          <w:rFonts w:ascii="Georgia" w:hAnsi="Georgia"/>
          <w:b/>
          <w:bCs/>
          <w:sz w:val="22"/>
          <w:szCs w:val="22"/>
          <w:lang w:val="vi"/>
        </w:rPr>
        <w:t>THÔNG BÁO VỀ VIỆC NHẬN ĐƠN XIN VÀ</w:t>
      </w:r>
    </w:p>
    <w:p w14:paraId="37D1DA3D" w14:textId="6AC24123" w:rsidR="00A305EE" w:rsidRPr="007C7B2E" w:rsidRDefault="00A305EE" w:rsidP="00A305EE">
      <w:pPr>
        <w:jc w:val="center"/>
        <w:rPr>
          <w:rFonts w:ascii="Georgia" w:hAnsi="Georgia"/>
          <w:b/>
          <w:bCs/>
          <w:sz w:val="22"/>
          <w:szCs w:val="22"/>
        </w:rPr>
      </w:pPr>
      <w:r>
        <w:rPr>
          <w:rFonts w:ascii="Georgia" w:hAnsi="Georgia"/>
          <w:b/>
          <w:bCs/>
          <w:sz w:val="22"/>
          <w:szCs w:val="22"/>
          <w:lang w:val="vi"/>
        </w:rPr>
        <w:t>Ý ĐỊNH XIN GIA HẠN GIẤY PHÉP XỬ LÝ BÙN THẢI HOẶC BÙN VI SINH VÀ SỬ DỤNG ĐẤT CÓ LỢI</w:t>
      </w:r>
    </w:p>
    <w:p w14:paraId="08AE2942" w14:textId="77777777" w:rsidR="00A305EE" w:rsidRPr="007C7B2E" w:rsidRDefault="00A305EE" w:rsidP="00A305EE">
      <w:pPr>
        <w:jc w:val="center"/>
        <w:rPr>
          <w:rFonts w:ascii="Georgia" w:hAnsi="Georgia"/>
          <w:b/>
          <w:bCs/>
          <w:sz w:val="22"/>
          <w:szCs w:val="22"/>
        </w:rPr>
      </w:pPr>
      <w:r>
        <w:rPr>
          <w:rFonts w:ascii="Georgia" w:hAnsi="Georgia"/>
          <w:b/>
          <w:bCs/>
          <w:sz w:val="22"/>
          <w:szCs w:val="22"/>
          <w:lang w:val="vi"/>
        </w:rPr>
        <w:t xml:space="preserve"> </w:t>
      </w:r>
    </w:p>
    <w:p w14:paraId="1C718D50" w14:textId="30A79E15" w:rsidR="00A305EE" w:rsidRPr="007C7B2E" w:rsidRDefault="00A305EE" w:rsidP="00A305EE">
      <w:pPr>
        <w:jc w:val="center"/>
        <w:rPr>
          <w:rFonts w:ascii="Georgia" w:hAnsi="Georgia"/>
          <w:b/>
          <w:bCs/>
          <w:sz w:val="22"/>
          <w:szCs w:val="22"/>
        </w:rPr>
      </w:pPr>
      <w:r>
        <w:rPr>
          <w:rFonts w:ascii="Georgia" w:hAnsi="Georgia"/>
          <w:b/>
          <w:bCs/>
          <w:sz w:val="22"/>
          <w:szCs w:val="22"/>
          <w:lang w:val="vi"/>
        </w:rPr>
        <w:t>GIẤY PHÉP SỐ WQ0003823000</w:t>
      </w:r>
    </w:p>
    <w:p w14:paraId="4B4702B7" w14:textId="77777777" w:rsidR="00A305EE" w:rsidRPr="007C7B2E" w:rsidRDefault="00A305EE" w:rsidP="00A305EE">
      <w:pPr>
        <w:ind w:firstLine="720"/>
        <w:rPr>
          <w:rFonts w:ascii="Georgia" w:hAnsi="Georgia"/>
          <w:b/>
          <w:bCs/>
          <w:sz w:val="22"/>
          <w:szCs w:val="22"/>
        </w:rPr>
      </w:pPr>
    </w:p>
    <w:p w14:paraId="7E3FF959" w14:textId="7BCA12F2" w:rsidR="007D15D0" w:rsidRPr="007D15D0" w:rsidRDefault="00A305EE" w:rsidP="00D154B4">
      <w:pPr>
        <w:rPr>
          <w:rFonts w:ascii="Georgia" w:hAnsi="Georgia"/>
          <w:iCs/>
          <w:sz w:val="22"/>
          <w:szCs w:val="22"/>
        </w:rPr>
      </w:pPr>
      <w:bookmarkStart w:id="0" w:name="_Hlk110520933"/>
      <w:bookmarkStart w:id="1" w:name="_Hlk118989745"/>
      <w:r>
        <w:rPr>
          <w:rFonts w:ascii="Georgia" w:hAnsi="Georgia"/>
          <w:b/>
          <w:bCs/>
          <w:sz w:val="22"/>
          <w:szCs w:val="22"/>
          <w:lang w:val="vi"/>
        </w:rPr>
        <w:t xml:space="preserve">ĐƠN XIN. </w:t>
      </w:r>
      <w:r>
        <w:rPr>
          <w:rFonts w:ascii="Georgia" w:hAnsi="Georgia"/>
          <w:sz w:val="22"/>
          <w:szCs w:val="22"/>
          <w:lang w:val="vi"/>
        </w:rPr>
        <w:t xml:space="preserve">Thành phố Austin, 625 East 10th Street, Suite 800, Austin, Texas 78701, đã nộp đơn xin gia hạn Giấy Phép Sử Dụng Hệ Thống Loại Bỏ Chất Ô Nhiễm Texas (TPDES) số WQ0003823000 (EPA I.D. No. TXL005005) đến Ủy ban Chất lượng Môi trường Texas (TCEQ) để được phép tiến hành xử lý bùn hoặc chất thải rắn sinh học ở nhà máy xử lý nước thải, việc sử dụng đất từ các loại chất thải rắn sinh học loại B của nhà máy xử lý nước thải cho các mục đích có lợi, và tưới nước trên bề mặt đầm phá với diện tích 454 mẫu Anh. Lượng bùn dư thừa từ Các Cơ Sở Xử Lý Nước Thải của Thành phố Austin được bơm đến Hornsby Bend (Cơ Sở Xử Lý Trung Tâm Của Austin) để xử lý và tiêu hủy. Cơ sở xử lý được đặt tại 2210 South Farm-to-Market Road 973, Austin, Quận Travis, Texas 78725. TCEQ nhận được đơn xin này vào ngày 5 tháng Mười, 2023. Đơn xin cấp phép sẽ có sẵn để xem và sao chép tại Cơ Quan Cung Cấp Nước Thành Phố Austin (Austin Water), Trung tâm Waller Creek, 625 East 10th Street, Suite 315, Austin, Texas trước ngày thông báo này được đăng trên báo.  Liên kết đến bản đồ điện tử về vị trí tổng quan của địa điểm hoặc cơ sở được cung cấp như một phép lịch sự công cộng và không phải là một phần của đơn xin hoặc thông báo. Để biết địa điểm chính xác, vui lòng tham khảo đơn xin. </w:t>
      </w:r>
    </w:p>
    <w:bookmarkEnd w:id="0"/>
    <w:bookmarkEnd w:id="1"/>
    <w:p w14:paraId="3528C54F" w14:textId="627B7577" w:rsidR="004550C6" w:rsidRDefault="00833354" w:rsidP="00AE70E3">
      <w:r>
        <w:rPr>
          <w:lang w:val="vi"/>
        </w:rPr>
        <w:fldChar w:fldCharType="begin"/>
      </w:r>
      <w:r>
        <w:rPr>
          <w:lang w:val="vi"/>
        </w:rPr>
        <w:instrText>HYPERLINK "</w:instrText>
      </w:r>
      <w:r w:rsidRPr="00833354">
        <w:rPr>
          <w:lang w:val="vi"/>
        </w:rPr>
        <w:instrText>https://gisweb.tceq.texas.gov/LocationMapper/?marker=-97.653333,30.218333&amp;level=18</w:instrText>
      </w:r>
      <w:r>
        <w:rPr>
          <w:lang w:val="vi"/>
        </w:rPr>
        <w:instrText>"</w:instrText>
      </w:r>
      <w:r>
        <w:rPr>
          <w:lang w:val="vi"/>
        </w:rPr>
        <w:fldChar w:fldCharType="separate"/>
      </w:r>
      <w:r w:rsidRPr="00103E1E">
        <w:rPr>
          <w:rStyle w:val="Hyperlink"/>
          <w:lang w:val="vi"/>
        </w:rPr>
        <w:t>https://gisweb.tceq.texas.gov/LocationMapper/?marker=-97.653333,30.218333&amp;level=18</w:t>
      </w:r>
      <w:r>
        <w:rPr>
          <w:lang w:val="vi"/>
        </w:rPr>
        <w:fldChar w:fldCharType="end"/>
      </w:r>
      <w:r>
        <w:t xml:space="preserve"> </w:t>
      </w:r>
    </w:p>
    <w:p w14:paraId="7A3F723E" w14:textId="77777777" w:rsidR="00833354" w:rsidRPr="00833354" w:rsidRDefault="00833354" w:rsidP="00AE70E3">
      <w:pPr>
        <w:rPr>
          <w:rFonts w:ascii="Georgia" w:hAnsi="Georgia"/>
          <w:sz w:val="22"/>
          <w:szCs w:val="22"/>
        </w:rPr>
      </w:pPr>
    </w:p>
    <w:p w14:paraId="5689C8C1" w14:textId="1CE34269" w:rsidR="003C19E1" w:rsidRDefault="00F42E82" w:rsidP="003C19E1">
      <w:pPr>
        <w:widowControl w:val="0"/>
        <w:rPr>
          <w:b/>
          <w:bCs/>
          <w:sz w:val="22"/>
          <w:szCs w:val="22"/>
        </w:rPr>
      </w:pPr>
      <w:r w:rsidRPr="00F42E82">
        <w:rPr>
          <w:rFonts w:ascii="Georgia" w:eastAsia="Georgia" w:hAnsi="Georgia" w:cs="Georgia"/>
          <w:b/>
          <w:sz w:val="22"/>
          <w:szCs w:val="22"/>
          <w:lang w:val="vi-VN" w:bidi="vi-VN"/>
        </w:rPr>
        <w:t>THÔNG BÁO NGÔN NG</w:t>
      </w:r>
      <w:r w:rsidRPr="00F42E82">
        <w:rPr>
          <w:rFonts w:ascii="Cambria" w:eastAsia="Georgia" w:hAnsi="Cambria" w:cs="Cambria"/>
          <w:b/>
          <w:sz w:val="22"/>
          <w:szCs w:val="22"/>
          <w:lang w:val="vi-VN" w:bidi="vi-VN"/>
        </w:rPr>
        <w:t>Ữ</w:t>
      </w:r>
      <w:r w:rsidRPr="00F42E82">
        <w:rPr>
          <w:rFonts w:ascii="Georgia" w:eastAsia="Georgia" w:hAnsi="Georgia" w:cs="Georgia"/>
          <w:b/>
          <w:sz w:val="22"/>
          <w:szCs w:val="22"/>
          <w:lang w:val="vi-VN" w:bidi="vi-VN"/>
        </w:rPr>
        <w:t xml:space="preserve"> THAY TH</w:t>
      </w:r>
      <w:r w:rsidRPr="00F42E82">
        <w:rPr>
          <w:rFonts w:ascii="Cambria" w:eastAsia="Georgia" w:hAnsi="Cambria" w:cs="Cambria"/>
          <w:b/>
          <w:sz w:val="22"/>
          <w:szCs w:val="22"/>
          <w:lang w:val="vi-VN" w:bidi="vi-VN"/>
        </w:rPr>
        <w:t>Ế</w:t>
      </w:r>
      <w:r w:rsidRPr="00F42E82">
        <w:rPr>
          <w:rFonts w:ascii="Georgia" w:eastAsia="Georgia" w:hAnsi="Georgia" w:cs="Georgia"/>
          <w:b/>
          <w:sz w:val="22"/>
          <w:szCs w:val="22"/>
          <w:lang w:val="vi-VN" w:bidi="vi-VN"/>
        </w:rPr>
        <w:t xml:space="preserve">. </w:t>
      </w:r>
      <w:r w:rsidRPr="00F42E82">
        <w:rPr>
          <w:rFonts w:ascii="Georgia" w:eastAsia="Georgia" w:hAnsi="Georgia" w:cs="Georgia"/>
          <w:bCs/>
          <w:sz w:val="22"/>
          <w:szCs w:val="22"/>
          <w:lang w:val="vi-VN" w:bidi="vi-VN"/>
        </w:rPr>
        <w:t>Thông báo b</w:t>
      </w:r>
      <w:r w:rsidRPr="00F42E82">
        <w:rPr>
          <w:rFonts w:ascii="Cambria" w:eastAsia="Georgia" w:hAnsi="Cambria" w:cs="Cambria"/>
          <w:bCs/>
          <w:sz w:val="22"/>
          <w:szCs w:val="22"/>
          <w:lang w:val="vi-VN" w:bidi="vi-VN"/>
        </w:rPr>
        <w:t>ằ</w:t>
      </w:r>
      <w:r w:rsidRPr="00F42E82">
        <w:rPr>
          <w:rFonts w:ascii="Georgia" w:eastAsia="Georgia" w:hAnsi="Georgia" w:cs="Georgia"/>
          <w:bCs/>
          <w:sz w:val="22"/>
          <w:szCs w:val="22"/>
          <w:lang w:val="vi-VN" w:bidi="vi-VN"/>
        </w:rPr>
        <w:t>ng ngôn ng</w:t>
      </w:r>
      <w:r w:rsidRPr="00F42E82">
        <w:rPr>
          <w:rFonts w:ascii="Cambria" w:eastAsia="Georgia" w:hAnsi="Cambria" w:cs="Cambria"/>
          <w:bCs/>
          <w:sz w:val="22"/>
          <w:szCs w:val="22"/>
          <w:lang w:val="vi-VN" w:bidi="vi-VN"/>
        </w:rPr>
        <w:t>ữ</w:t>
      </w:r>
      <w:r w:rsidRPr="00F42E82">
        <w:rPr>
          <w:rFonts w:ascii="Georgia" w:eastAsia="Georgia" w:hAnsi="Georgia" w:cs="Georgia"/>
          <w:bCs/>
          <w:sz w:val="22"/>
          <w:szCs w:val="22"/>
          <w:lang w:val="vi-VN" w:bidi="vi-VN"/>
        </w:rPr>
        <w:t xml:space="preserve"> thay th</w:t>
      </w:r>
      <w:r w:rsidRPr="00F42E82">
        <w:rPr>
          <w:rFonts w:ascii="Cambria" w:eastAsia="Georgia" w:hAnsi="Cambria" w:cs="Cambria"/>
          <w:bCs/>
          <w:sz w:val="22"/>
          <w:szCs w:val="22"/>
          <w:lang w:val="vi-VN" w:bidi="vi-VN"/>
        </w:rPr>
        <w:t>ế</w:t>
      </w:r>
      <w:r w:rsidRPr="00F42E82">
        <w:rPr>
          <w:rFonts w:ascii="Georgia" w:eastAsia="Georgia" w:hAnsi="Georgia" w:cs="Georgia"/>
          <w:bCs/>
          <w:sz w:val="22"/>
          <w:szCs w:val="22"/>
          <w:lang w:val="vi-VN" w:bidi="vi-VN"/>
        </w:rPr>
        <w:t xml:space="preserve"> b</w:t>
      </w:r>
      <w:r w:rsidRPr="00F42E82">
        <w:rPr>
          <w:rFonts w:ascii="Cambria" w:eastAsia="Georgia" w:hAnsi="Cambria" w:cs="Cambria"/>
          <w:bCs/>
          <w:sz w:val="22"/>
          <w:szCs w:val="22"/>
          <w:lang w:val="vi-VN" w:bidi="vi-VN"/>
        </w:rPr>
        <w:t>ằ</w:t>
      </w:r>
      <w:r w:rsidRPr="00F42E82">
        <w:rPr>
          <w:rFonts w:ascii="Georgia" w:eastAsia="Georgia" w:hAnsi="Georgia" w:cs="Georgia"/>
          <w:bCs/>
          <w:sz w:val="22"/>
          <w:szCs w:val="22"/>
          <w:lang w:val="vi-VN" w:bidi="vi-VN"/>
        </w:rPr>
        <w:t>ng ti</w:t>
      </w:r>
      <w:r w:rsidRPr="00F42E82">
        <w:rPr>
          <w:rFonts w:ascii="Cambria" w:eastAsia="Georgia" w:hAnsi="Cambria" w:cs="Cambria"/>
          <w:bCs/>
          <w:sz w:val="22"/>
          <w:szCs w:val="22"/>
          <w:lang w:val="vi-VN" w:bidi="vi-VN"/>
        </w:rPr>
        <w:t>ế</w:t>
      </w:r>
      <w:r w:rsidRPr="00F42E82">
        <w:rPr>
          <w:rFonts w:ascii="Georgia" w:eastAsia="Georgia" w:hAnsi="Georgia" w:cs="Georgia"/>
          <w:bCs/>
          <w:sz w:val="22"/>
          <w:szCs w:val="22"/>
          <w:lang w:val="vi-VN" w:bidi="vi-VN"/>
        </w:rPr>
        <w:t>ng Anh, ti</w:t>
      </w:r>
      <w:r w:rsidRPr="00F42E82">
        <w:rPr>
          <w:rFonts w:ascii="Cambria" w:eastAsia="Georgia" w:hAnsi="Cambria" w:cs="Cambria"/>
          <w:bCs/>
          <w:sz w:val="22"/>
          <w:szCs w:val="22"/>
          <w:lang w:val="vi-VN" w:bidi="vi-VN"/>
        </w:rPr>
        <w:t>ế</w:t>
      </w:r>
      <w:r w:rsidRPr="00F42E82">
        <w:rPr>
          <w:rFonts w:ascii="Georgia" w:eastAsia="Georgia" w:hAnsi="Georgia" w:cs="Georgia"/>
          <w:bCs/>
          <w:sz w:val="22"/>
          <w:szCs w:val="22"/>
          <w:lang w:val="vi-VN" w:bidi="vi-VN"/>
        </w:rPr>
        <w:t>ng Tây Ban Nha và ti</w:t>
      </w:r>
      <w:r w:rsidRPr="00F42E82">
        <w:rPr>
          <w:rFonts w:ascii="Cambria" w:eastAsia="Georgia" w:hAnsi="Cambria" w:cs="Cambria"/>
          <w:bCs/>
          <w:sz w:val="22"/>
          <w:szCs w:val="22"/>
          <w:lang w:val="vi-VN" w:bidi="vi-VN"/>
        </w:rPr>
        <w:t>ế</w:t>
      </w:r>
      <w:r w:rsidRPr="00F42E82">
        <w:rPr>
          <w:rFonts w:ascii="Georgia" w:eastAsia="Georgia" w:hAnsi="Georgia" w:cs="Georgia"/>
          <w:bCs/>
          <w:sz w:val="22"/>
          <w:szCs w:val="22"/>
          <w:lang w:val="vi-VN" w:bidi="vi-VN"/>
        </w:rPr>
        <w:t>ng Trung gi</w:t>
      </w:r>
      <w:r w:rsidRPr="00F42E82">
        <w:rPr>
          <w:rFonts w:ascii="Cambria" w:eastAsia="Georgia" w:hAnsi="Cambria" w:cs="Cambria"/>
          <w:bCs/>
          <w:sz w:val="22"/>
          <w:szCs w:val="22"/>
          <w:lang w:val="vi-VN" w:bidi="vi-VN"/>
        </w:rPr>
        <w:t>ả</w:t>
      </w:r>
      <w:r w:rsidRPr="00F42E82">
        <w:rPr>
          <w:rFonts w:ascii="Georgia" w:eastAsia="Georgia" w:hAnsi="Georgia" w:cs="Georgia"/>
          <w:bCs/>
          <w:sz w:val="22"/>
          <w:szCs w:val="22"/>
          <w:lang w:val="vi-VN" w:bidi="vi-VN"/>
        </w:rPr>
        <w:t>n th</w:t>
      </w:r>
      <w:r w:rsidRPr="00F42E82">
        <w:rPr>
          <w:rFonts w:ascii="Cambria" w:eastAsia="Georgia" w:hAnsi="Cambria" w:cs="Cambria"/>
          <w:bCs/>
          <w:sz w:val="22"/>
          <w:szCs w:val="22"/>
          <w:lang w:val="vi-VN" w:bidi="vi-VN"/>
        </w:rPr>
        <w:t>ể</w:t>
      </w:r>
      <w:r w:rsidRPr="00F42E82">
        <w:rPr>
          <w:rFonts w:ascii="Georgia" w:eastAsia="Georgia" w:hAnsi="Georgia" w:cs="Georgia"/>
          <w:bCs/>
          <w:sz w:val="22"/>
          <w:szCs w:val="22"/>
          <w:lang w:val="vi-VN" w:bidi="vi-VN"/>
        </w:rPr>
        <w:t xml:space="preserve"> có s</w:t>
      </w:r>
      <w:r w:rsidRPr="00F42E82">
        <w:rPr>
          <w:rFonts w:ascii="Cambria" w:eastAsia="Georgia" w:hAnsi="Cambria" w:cs="Cambria"/>
          <w:bCs/>
          <w:sz w:val="22"/>
          <w:szCs w:val="22"/>
          <w:lang w:val="vi-VN" w:bidi="vi-VN"/>
        </w:rPr>
        <w:t>ẵ</w:t>
      </w:r>
      <w:r w:rsidRPr="00F42E82">
        <w:rPr>
          <w:rFonts w:ascii="Georgia" w:eastAsia="Georgia" w:hAnsi="Georgia" w:cs="Georgia"/>
          <w:bCs/>
          <w:sz w:val="22"/>
          <w:szCs w:val="22"/>
          <w:lang w:val="vi-VN" w:bidi="vi-VN"/>
        </w:rPr>
        <w:t>n t</w:t>
      </w:r>
      <w:r w:rsidRPr="00F42E82">
        <w:rPr>
          <w:rFonts w:ascii="Cambria" w:eastAsia="Georgia" w:hAnsi="Cambria" w:cs="Cambria"/>
          <w:bCs/>
          <w:sz w:val="22"/>
          <w:szCs w:val="22"/>
          <w:lang w:val="vi-VN" w:bidi="vi-VN"/>
        </w:rPr>
        <w:t>ạ</w:t>
      </w:r>
      <w:r w:rsidRPr="00F42E82">
        <w:rPr>
          <w:rFonts w:ascii="Georgia" w:eastAsia="Georgia" w:hAnsi="Georgia" w:cs="Georgia"/>
          <w:bCs/>
          <w:sz w:val="22"/>
          <w:szCs w:val="22"/>
          <w:lang w:val="vi-VN" w:bidi="vi-VN"/>
        </w:rPr>
        <w:t>i</w:t>
      </w:r>
      <w:r w:rsidRPr="00F42E82">
        <w:rPr>
          <w:rFonts w:ascii="Georgia" w:eastAsia="Georgia" w:hAnsi="Georgia" w:cs="Georgia"/>
          <w:bCs/>
          <w:sz w:val="22"/>
          <w:szCs w:val="22"/>
          <w:lang w:bidi="vi-VN"/>
        </w:rPr>
        <w:t xml:space="preserve"> </w:t>
      </w:r>
      <w:hyperlink r:id="rId8" w:history="1">
        <w:r w:rsidR="004370A2" w:rsidRPr="004370A2">
          <w:rPr>
            <w:rFonts w:ascii="Georgia" w:hAnsi="Georgia"/>
            <w:bCs/>
            <w:color w:val="0000FF"/>
            <w:sz w:val="22"/>
            <w:szCs w:val="22"/>
            <w:u w:val="single"/>
          </w:rPr>
          <w:t>https://www.tceq.texas.gov/permitting/wastewater/plain-language-summaries-and-public-notices</w:t>
        </w:r>
      </w:hyperlink>
      <w:r w:rsidR="004370A2" w:rsidRPr="004370A2">
        <w:rPr>
          <w:rFonts w:ascii="Georgia" w:hAnsi="Georgia"/>
          <w:bCs/>
          <w:sz w:val="22"/>
          <w:szCs w:val="22"/>
        </w:rPr>
        <w:t>.</w:t>
      </w:r>
      <w:r w:rsidR="004370A2" w:rsidRPr="004370A2">
        <w:rPr>
          <w:b/>
          <w:bCs/>
          <w:sz w:val="22"/>
          <w:szCs w:val="22"/>
        </w:rPr>
        <w:t xml:space="preserve"> </w:t>
      </w:r>
    </w:p>
    <w:p w14:paraId="5BD09C29" w14:textId="77777777" w:rsidR="00A37C9D" w:rsidRPr="00F64EAE" w:rsidRDefault="00A37C9D" w:rsidP="00AE70E3">
      <w:pPr>
        <w:rPr>
          <w:rFonts w:ascii="Georgia" w:hAnsi="Georgia"/>
          <w:sz w:val="22"/>
          <w:szCs w:val="22"/>
        </w:rPr>
      </w:pPr>
    </w:p>
    <w:p w14:paraId="6D03C495" w14:textId="77777777" w:rsidR="00BB04FC" w:rsidRDefault="00BB04FC" w:rsidP="00AE70E3">
      <w:pPr>
        <w:rPr>
          <w:rFonts w:ascii="Georgia" w:hAnsi="Georgia"/>
          <w:b/>
          <w:bCs/>
          <w:sz w:val="22"/>
          <w:szCs w:val="22"/>
        </w:rPr>
      </w:pPr>
      <w:r>
        <w:rPr>
          <w:rFonts w:ascii="Georgia" w:hAnsi="Georgia"/>
          <w:b/>
          <w:bCs/>
          <w:sz w:val="22"/>
          <w:szCs w:val="22"/>
          <w:lang w:val="vi"/>
        </w:rPr>
        <w:t>THÔNG BÁO BỔ SUNG.</w:t>
      </w:r>
      <w:r>
        <w:rPr>
          <w:rFonts w:ascii="Georgia" w:hAnsi="Georgia"/>
          <w:sz w:val="22"/>
          <w:szCs w:val="22"/>
          <w:lang w:val="vi"/>
        </w:rPr>
        <w:t xml:space="preserve"> Giám Đốc Điều Hành của TCEQ xác định rằng đơn xin đã hoàn tất về mặt hành chính và sẽ tiến hành đánh giá kỹ thuật.</w:t>
      </w:r>
      <w:r>
        <w:rPr>
          <w:rFonts w:ascii="Georgia" w:hAnsi="Georgia"/>
          <w:i/>
          <w:iCs/>
          <w:sz w:val="22"/>
          <w:szCs w:val="22"/>
          <w:lang w:val="vi"/>
        </w:rPr>
        <w:t xml:space="preserve"> </w:t>
      </w:r>
      <w:r>
        <w:rPr>
          <w:rFonts w:ascii="Georgia" w:hAnsi="Georgia"/>
          <w:sz w:val="22"/>
          <w:szCs w:val="22"/>
          <w:lang w:val="vi"/>
        </w:rPr>
        <w:t>Sau khi đánh giá kỹ thuật của đơn xin hoàn tất, Giám đốc Điều hành có thể chuẩn bị một bản dự thảo giấy phép và sẽ ban hành quyết định sơ bộ về đơn xin.</w:t>
      </w:r>
      <w:r>
        <w:rPr>
          <w:rFonts w:ascii="Georgia" w:hAnsi="Georgia"/>
          <w:b/>
          <w:bCs/>
          <w:sz w:val="22"/>
          <w:szCs w:val="22"/>
          <w:lang w:val="vi"/>
        </w:rPr>
        <w:t xml:space="preserve"> Thông báo về Đơn xin và Quyết định Sơ bộ sẽ được công bố và gửi qua thư cho các đơn vị nằm trong danh sách gửi thư toàn địa hạt và các cá nhân nằm trong danh sách gửi thư cho đơn xin này. Thông báo sẽ bao gồm thời hạn nộp các ý kiến công khai.</w:t>
      </w:r>
    </w:p>
    <w:p w14:paraId="4499735A" w14:textId="77777777" w:rsidR="00021A2B" w:rsidRDefault="00021A2B" w:rsidP="00AE70E3">
      <w:pPr>
        <w:rPr>
          <w:rFonts w:ascii="Georgia" w:hAnsi="Georgia"/>
          <w:b/>
          <w:bCs/>
          <w:sz w:val="22"/>
          <w:szCs w:val="22"/>
        </w:rPr>
      </w:pPr>
    </w:p>
    <w:p w14:paraId="4DEB1AD6" w14:textId="77777777" w:rsidR="00BB04FC" w:rsidRDefault="00BB04FC" w:rsidP="00AE70E3">
      <w:pPr>
        <w:rPr>
          <w:rFonts w:ascii="Georgia" w:hAnsi="Georgia"/>
          <w:sz w:val="22"/>
          <w:szCs w:val="22"/>
        </w:rPr>
      </w:pPr>
      <w:r>
        <w:rPr>
          <w:rFonts w:ascii="Georgia" w:hAnsi="Georgia"/>
          <w:b/>
          <w:bCs/>
          <w:sz w:val="22"/>
          <w:szCs w:val="22"/>
          <w:lang w:val="vi"/>
        </w:rPr>
        <w:t xml:space="preserve">Ý KIẾN CÔNG KHAI / HỌP CÔNG KHAI. Quý vị có thể nộp ý kiến công khai hoặc yêu cầu một buổi họp công khai về đơn xin này. </w:t>
      </w:r>
      <w:r>
        <w:rPr>
          <w:rFonts w:ascii="Georgia" w:hAnsi="Georgia"/>
          <w:sz w:val="22"/>
          <w:szCs w:val="22"/>
          <w:lang w:val="vi"/>
        </w:rPr>
        <w:t>Mục đích của buổi họp công khai là cung cấp cơ hội để quý vị đệ trình ý kiến hoặc đặt câu hỏi về đơn xin. TCEQ sẽ tổ chức một buổi họp công khai nếu Giám đốc Điều hành xác định rằng có mức độ quan tâm đáng kể từ phía công chúng đối với đơn xin hoặc nếu được yêu cầu bởi một cơ quan lập pháp địa phương. Một buổi họp công khai không phải là một phiên điều trần tranh chấp.</w:t>
      </w:r>
    </w:p>
    <w:p w14:paraId="4F716719" w14:textId="77777777" w:rsidR="00F02228" w:rsidRPr="00F64EAE" w:rsidRDefault="00F02228" w:rsidP="00AE70E3">
      <w:pPr>
        <w:rPr>
          <w:rFonts w:ascii="Georgia" w:hAnsi="Georgia"/>
          <w:sz w:val="22"/>
          <w:szCs w:val="22"/>
        </w:rPr>
      </w:pPr>
    </w:p>
    <w:p w14:paraId="4C8CFE60" w14:textId="77777777" w:rsidR="00BB04FC" w:rsidRPr="00F64EAE" w:rsidRDefault="00BB04FC" w:rsidP="00AE70E3">
      <w:pPr>
        <w:rPr>
          <w:rFonts w:ascii="Georgia" w:hAnsi="Georgia"/>
          <w:sz w:val="22"/>
          <w:szCs w:val="22"/>
        </w:rPr>
      </w:pPr>
      <w:r>
        <w:rPr>
          <w:rFonts w:ascii="Georgia" w:hAnsi="Georgia"/>
          <w:b/>
          <w:bCs/>
          <w:sz w:val="22"/>
          <w:szCs w:val="22"/>
          <w:lang w:val="vi"/>
        </w:rPr>
        <w:t>CƠ HỘI ĐỂ MỞ MỘT PHIÊN ĐIỀU TRẦN TRANH CHẤP.</w:t>
      </w:r>
      <w:r>
        <w:rPr>
          <w:rFonts w:ascii="Georgia" w:hAnsi="Georgia"/>
          <w:sz w:val="22"/>
          <w:szCs w:val="22"/>
          <w:lang w:val="vi"/>
        </w:rPr>
        <w:t xml:space="preserve"> Sau thời hạn đệ trình các ý kiến công khai, Giám đốc Điều hành sẽ xem xét tất cả ý kiến đúng hạn và chuẩn bị phản hồi cho tất cả ý kiến công khai có liên quan và quan trọng hoặc các ý kiến công khai có ảnh hưởng đáng kể. </w:t>
      </w:r>
      <w:r>
        <w:rPr>
          <w:rFonts w:ascii="Georgia" w:hAnsi="Georgia"/>
          <w:b/>
          <w:bCs/>
          <w:sz w:val="22"/>
          <w:szCs w:val="22"/>
          <w:lang w:val="vi"/>
        </w:rPr>
        <w:t>Trừ khi đơn xin được trực tiếp chuyển đến một phiên điều trần tranh chấp, phản hồi cho các ý kiến, và quyết định của Giám đốc Điều hành về đơn xin, sẽ được gửi qua thư cho tất cả những người đã nộp ý kiến công khai và những cá nhân nằm trong danh sách gửi thư cho đơn xin này. Nếu có ý kiến được nhận, thư sẽ cung cấp hướng dẫn về cách yêu cầu xem xét lại quyết định của Giám đốc Điều Hành và yêu cầu một phiên điều trần tranh chấp.</w:t>
      </w:r>
      <w:r>
        <w:rPr>
          <w:rFonts w:ascii="Georgia" w:hAnsi="Georgia"/>
          <w:sz w:val="22"/>
          <w:szCs w:val="22"/>
          <w:lang w:val="vi"/>
        </w:rPr>
        <w:t xml:space="preserve"> </w:t>
      </w:r>
      <w:r>
        <w:rPr>
          <w:rFonts w:ascii="Georgia" w:hAnsi="Georgia"/>
          <w:b/>
          <w:bCs/>
          <w:sz w:val="22"/>
          <w:szCs w:val="22"/>
          <w:lang w:val="vi"/>
        </w:rPr>
        <w:t>Một cá nhân có thể bị ảnh hưởng bởi đơn xin có thể yêu cầu một phiên điều trần tranh chấp.</w:t>
      </w:r>
      <w:r>
        <w:rPr>
          <w:rFonts w:ascii="Georgia" w:hAnsi="Georgia"/>
          <w:sz w:val="22"/>
          <w:szCs w:val="22"/>
          <w:lang w:val="vi"/>
        </w:rPr>
        <w:t xml:space="preserve"> Một phiên điều trần tranh chấp là một thủ tục pháp lý tương tự như một phiên xử dân sự tại tòa án quận hạt. </w:t>
      </w:r>
    </w:p>
    <w:p w14:paraId="58078FFA" w14:textId="77777777" w:rsidR="00BB04FC" w:rsidRPr="00F64EAE" w:rsidRDefault="00BB04FC" w:rsidP="00AE70E3">
      <w:pPr>
        <w:rPr>
          <w:rFonts w:ascii="Georgia" w:hAnsi="Georgia"/>
          <w:sz w:val="22"/>
          <w:szCs w:val="22"/>
        </w:rPr>
      </w:pPr>
    </w:p>
    <w:p w14:paraId="352B4143" w14:textId="77777777" w:rsidR="00BB04FC" w:rsidRPr="00F64EAE" w:rsidRDefault="00BB04FC" w:rsidP="00042DD9">
      <w:pPr>
        <w:jc w:val="both"/>
        <w:rPr>
          <w:rFonts w:ascii="Georgia" w:hAnsi="Georgia"/>
          <w:sz w:val="22"/>
          <w:szCs w:val="22"/>
        </w:rPr>
      </w:pPr>
      <w:r>
        <w:rPr>
          <w:rFonts w:ascii="Georgia" w:hAnsi="Georgia"/>
          <w:b/>
          <w:bCs/>
          <w:sz w:val="22"/>
          <w:szCs w:val="22"/>
          <w:lang w:val="vi"/>
        </w:rPr>
        <w:t xml:space="preserve">ĐỂ YÊU CẦU MỘT PHIÊN ĐIỀU TRẦN TRANH CHẤP, QUÝ VỊ PHẢI BAO GỒM CÁC MỤC SAU TRONG YÊU CẦU CỦA QUÝ VỊ: tên của quý vị, địa chỉ, số điện thoại; tên của người đề nghị và số giấy phép đề xuất; vị trí và khoảng cách của phần đất/hoạt động của quý vị so với cơ sở được đề xuất; mô tả cụ thể về lý do mà quý vị cho là mình sẽ bị ảnh hưởng tiêu cực bởi cơ sở đó một cách không phổ biến đối với công chúng chung; </w:t>
      </w:r>
      <w:r>
        <w:rPr>
          <w:rStyle w:val="Strong"/>
          <w:rFonts w:ascii="Georgia" w:hAnsi="Georgia"/>
          <w:sz w:val="22"/>
          <w:szCs w:val="22"/>
          <w:lang w:val="vi"/>
        </w:rPr>
        <w:t xml:space="preserve">danh sách tất cả các vấn đề tranh chấp về sự thật mà quý vị đệ trình trong thời hạn đề ra ý kiến </w:t>
      </w:r>
      <w:r>
        <w:rPr>
          <w:rFonts w:ascii="Georgia" w:hAnsi="Georgia"/>
          <w:b/>
          <w:bCs/>
          <w:sz w:val="22"/>
          <w:szCs w:val="22"/>
          <w:lang w:val="vi"/>
        </w:rPr>
        <w:t xml:space="preserve">và, tuyên bố "[Tôi/chúng tôi] yêu cầu một phiên điều trần tranh chấp." Nếu yêu cầu phiên điều trần tranh chấp được nộp thay mặt cho một nhóm hoặc hiệp hội, yêu cầu phải chỉ định đại diện của nhóm để nhận thông tin phản hồi trong tương lai; xác định </w:t>
      </w:r>
      <w:r>
        <w:rPr>
          <w:rStyle w:val="Strong"/>
          <w:rFonts w:ascii="Georgia" w:hAnsi="Georgia"/>
          <w:sz w:val="22"/>
          <w:szCs w:val="22"/>
          <w:lang w:val="vi"/>
        </w:rPr>
        <w:t>bằng tên và địa chỉ thực tế</w:t>
      </w:r>
      <w:r>
        <w:rPr>
          <w:rStyle w:val="Strong"/>
          <w:rFonts w:ascii="Georgia" w:hAnsi="Georgia"/>
          <w:color w:val="FF0000"/>
          <w:sz w:val="22"/>
          <w:szCs w:val="22"/>
          <w:lang w:val="vi"/>
        </w:rPr>
        <w:t xml:space="preserve"> </w:t>
      </w:r>
      <w:r>
        <w:rPr>
          <w:rFonts w:ascii="Georgia" w:hAnsi="Georgia"/>
          <w:b/>
          <w:bCs/>
          <w:sz w:val="22"/>
          <w:szCs w:val="22"/>
          <w:lang w:val="vi"/>
        </w:rPr>
        <w:t xml:space="preserve">của một thành viên cá nhân trong nhóm sẽ bị ảnh hưởng tiêu cực bởi cơ sở hoặc hoạt động đề xuất; cung cấp thông tin đã thảo luận ở trên về vị trí và khoảng cách của thành viên bị ảnh hưởng từ cơ sở hoặc hoạt động; giải thích cách và tại sao thành viên sẽ bị ảnh hưởng; và giải thích lý do tại sao những lợi ích mà nhóm đang tìm cách bảo vệ liên quan đến mục đích của nhóm.    </w:t>
      </w:r>
    </w:p>
    <w:p w14:paraId="57738034" w14:textId="77777777" w:rsidR="00BB04FC" w:rsidRPr="00F64EAE" w:rsidRDefault="00BB04FC" w:rsidP="00AE70E3">
      <w:pPr>
        <w:rPr>
          <w:rFonts w:ascii="Georgia" w:hAnsi="Georgia"/>
          <w:sz w:val="22"/>
          <w:szCs w:val="22"/>
        </w:rPr>
      </w:pPr>
    </w:p>
    <w:p w14:paraId="050A3511" w14:textId="77777777" w:rsidR="00BB04FC" w:rsidRDefault="00BB04FC" w:rsidP="00042DD9">
      <w:pPr>
        <w:jc w:val="both"/>
        <w:rPr>
          <w:rFonts w:ascii="Georgia" w:hAnsi="Georgia"/>
          <w:sz w:val="22"/>
          <w:szCs w:val="22"/>
        </w:rPr>
      </w:pPr>
      <w:r>
        <w:rPr>
          <w:rFonts w:ascii="Georgia" w:hAnsi="Georgia"/>
          <w:sz w:val="22"/>
          <w:szCs w:val="22"/>
          <w:lang w:val="vi"/>
        </w:rPr>
        <w:t>Sau khi kết thúc tất cả các thời hạn ý kiến và yêu cầu áp dụng, Giám đốc Điều hành sẽ chuyển đơn xin và bất kỳ yêu cầu xem xét lại hoặc một phiên điều trần tranh chấp đến Hội đồng Quản lý TCEQ để xem xét tại một cuộc họp Hội đồng được lên lịch.</w:t>
      </w:r>
    </w:p>
    <w:p w14:paraId="73A28F69" w14:textId="77777777" w:rsidR="006F4BC9" w:rsidRDefault="006F4BC9" w:rsidP="00AE70E3">
      <w:pPr>
        <w:rPr>
          <w:rFonts w:ascii="Georgia" w:hAnsi="Georgia"/>
          <w:sz w:val="22"/>
          <w:szCs w:val="22"/>
        </w:rPr>
      </w:pPr>
    </w:p>
    <w:p w14:paraId="3E649EDD" w14:textId="77777777" w:rsidR="00BB04FC" w:rsidRPr="00F64EAE" w:rsidRDefault="006F4BC9" w:rsidP="00042DD9">
      <w:pPr>
        <w:widowControl w:val="0"/>
        <w:jc w:val="both"/>
        <w:rPr>
          <w:rFonts w:ascii="Georgia" w:hAnsi="Georgia"/>
          <w:sz w:val="22"/>
          <w:szCs w:val="22"/>
        </w:rPr>
      </w:pPr>
      <w:r>
        <w:rPr>
          <w:rFonts w:ascii="Georgia" w:hAnsi="Georgia"/>
          <w:sz w:val="22"/>
          <w:szCs w:val="22"/>
          <w:lang w:val="vi"/>
        </w:rPr>
        <w:t xml:space="preserve">Ủy ban chỉ có thể chấp thuận yêu cầu một phiên điều trần tranh chấp về các vấn đề mà người yêu cầu đã nộp trong ý kiến đúng hạn của họ mà sau đó không bị rút lại. </w:t>
      </w:r>
      <w:r>
        <w:rPr>
          <w:rStyle w:val="Strong"/>
          <w:rFonts w:ascii="Georgia" w:hAnsi="Georgia"/>
          <w:sz w:val="22"/>
          <w:szCs w:val="22"/>
          <w:lang w:val="vi"/>
        </w:rPr>
        <w:t xml:space="preserve">Nếu một phiên điều trần được chấp thuận, nội dung của phiên sẽ bị giới hạn chỉ đối với các vấn đề tranh chấp về sự thật hoặc các câu hỏi khác nhau về sự thật và luật liên quan đến các vấn đề về chất lượng nước có tính liên quan và quan trọng mà đã được đệ trình trong thời gian nêu ý kiến. </w:t>
      </w:r>
      <w:r>
        <w:rPr>
          <w:rFonts w:ascii="Georgia" w:hAnsi="Georgia"/>
          <w:b/>
          <w:bCs/>
          <w:sz w:val="22"/>
          <w:szCs w:val="22"/>
          <w:lang w:val="vi"/>
        </w:rPr>
        <w:t>TCEQ có thể xem xét và quyết định về đơn xin gia hạn giấy phép mà không cần mở thêm một phiên điều trần tranh chấp nếu các tiêu chí cụ thể được đáp ứng.</w:t>
      </w:r>
    </w:p>
    <w:p w14:paraId="352F5788" w14:textId="77777777" w:rsidR="00BB04FC" w:rsidRPr="00F64EAE" w:rsidRDefault="00BB04FC" w:rsidP="00AE70E3">
      <w:pPr>
        <w:ind w:firstLine="4320"/>
        <w:rPr>
          <w:rFonts w:ascii="Georgia" w:hAnsi="Georgia"/>
          <w:sz w:val="22"/>
          <w:szCs w:val="22"/>
        </w:rPr>
      </w:pPr>
    </w:p>
    <w:p w14:paraId="743DCEAD" w14:textId="77777777" w:rsidR="00BB04FC" w:rsidRPr="00F64EAE" w:rsidRDefault="00BB04FC" w:rsidP="00042DD9">
      <w:pPr>
        <w:jc w:val="both"/>
        <w:rPr>
          <w:rFonts w:ascii="Georgia" w:hAnsi="Georgia"/>
          <w:sz w:val="22"/>
          <w:szCs w:val="22"/>
        </w:rPr>
      </w:pPr>
      <w:r>
        <w:rPr>
          <w:rFonts w:ascii="Georgia" w:hAnsi="Georgia"/>
          <w:b/>
          <w:bCs/>
          <w:sz w:val="22"/>
          <w:szCs w:val="22"/>
          <w:lang w:val="vi"/>
        </w:rPr>
        <w:t xml:space="preserve">DANH SÁCH GỬI THƯ. </w:t>
      </w:r>
      <w:r>
        <w:rPr>
          <w:rFonts w:ascii="Georgia" w:hAnsi="Georgia"/>
          <w:sz w:val="22"/>
          <w:szCs w:val="22"/>
          <w:lang w:val="vi"/>
        </w:rPr>
        <w:t>Nếu quý vị nộp ý kiến công khai, yêu cầu một phiên điều trần tranh chấp hoặc xem xét lại quyết định của Giám đốc Điều Hành, quý vị sẽ được thêm vào danh sách gửi thư cho đơn xin cụ thể này để nhận các thông báo công khai trong tương lai được gửi bằng thư bởi Văn phòng Thư ký Trưởng. Ngoài ra, quý vị có thể yêu cầu được đặt vào: (1) danh sách gửi thư cố định cho tên ứng viên và số giấy phép cụ thể; và/hoặc (2) danh sách gửi thư cho một địa hạt cụ thể. Nếu quý vị muốn được đặt vào danh sách gửi thư cố định và/hoặc danh sách gửi thư cho địa hạt cụ thể, hãy nêu rõ rằng quý vị muốn ở trong danh sách nào và gửi yêu cầu của quý vị đến Văn phòng Thư ký trưởng TCEQ theo địa chỉ dưới đây.</w:t>
      </w:r>
    </w:p>
    <w:p w14:paraId="022EADA0" w14:textId="77777777" w:rsidR="005C5D11" w:rsidRDefault="005C5D11" w:rsidP="00AE70E3">
      <w:pPr>
        <w:rPr>
          <w:rFonts w:ascii="Georgia" w:eastAsia="Georgia" w:hAnsi="Georgia"/>
          <w:b/>
          <w:sz w:val="22"/>
          <w:szCs w:val="24"/>
        </w:rPr>
      </w:pPr>
    </w:p>
    <w:p w14:paraId="53C78075" w14:textId="77777777" w:rsidR="005C5D11" w:rsidRPr="0030670A" w:rsidRDefault="005C5D11" w:rsidP="005C5D11">
      <w:pPr>
        <w:rPr>
          <w:rFonts w:ascii="Georgia" w:hAnsi="Georgia"/>
          <w:sz w:val="22"/>
          <w:szCs w:val="22"/>
        </w:rPr>
      </w:pPr>
      <w:r>
        <w:rPr>
          <w:rFonts w:ascii="Georgia" w:hAnsi="Georgia"/>
          <w:b/>
          <w:bCs/>
          <w:sz w:val="22"/>
          <w:szCs w:val="22"/>
          <w:lang w:val="vi"/>
        </w:rPr>
        <w:t xml:space="preserve">THÔNG TIN CÓ SẴN TRỰC TUYẾN. </w:t>
      </w:r>
      <w:r>
        <w:rPr>
          <w:rFonts w:ascii="Georgia" w:hAnsi="Georgia"/>
          <w:sz w:val="22"/>
          <w:szCs w:val="22"/>
          <w:lang w:val="vi"/>
        </w:rPr>
        <w:t xml:space="preserve">Để biết chi tiết về tình trạng đơn xin cấp phép, vui lòng truy cập Cơ sở dữ liệu Tích hợp của Ủy ban tại địa chỉ </w:t>
      </w:r>
      <w:hyperlink r:id="rId9" w:history="1">
        <w:r>
          <w:rPr>
            <w:rStyle w:val="Hyperlink"/>
            <w:rFonts w:ascii="Georgia" w:hAnsi="Georgia"/>
            <w:sz w:val="22"/>
            <w:szCs w:val="22"/>
            <w:lang w:val="vi"/>
          </w:rPr>
          <w:t>www.tceq.texas.gov/goto/cid</w:t>
        </w:r>
      </w:hyperlink>
      <w:r>
        <w:rPr>
          <w:rFonts w:ascii="Georgia" w:hAnsi="Georgia"/>
          <w:sz w:val="22"/>
          <w:szCs w:val="22"/>
          <w:lang w:val="vi"/>
        </w:rPr>
        <w:t>. Sử dụng số giấy phép cho đơn xin này, mà quý vị được cung cấp ở đầu thông báo này</w:t>
      </w:r>
      <w:r>
        <w:rPr>
          <w:rFonts w:ascii="Georgia" w:hAnsi="Georgia"/>
          <w:color w:val="000000"/>
          <w:sz w:val="22"/>
          <w:szCs w:val="22"/>
          <w:lang w:val="vi"/>
        </w:rPr>
        <w:t>,</w:t>
      </w:r>
      <w:r>
        <w:rPr>
          <w:rFonts w:ascii="Georgia" w:hAnsi="Georgia"/>
          <w:sz w:val="22"/>
          <w:szCs w:val="22"/>
          <w:lang w:val="vi"/>
        </w:rPr>
        <w:t xml:space="preserve"> để tìm kiếm trong cơ sở dữ liệu.</w:t>
      </w:r>
    </w:p>
    <w:p w14:paraId="2797DE3A" w14:textId="77777777" w:rsidR="005C5D11" w:rsidRDefault="005C5D11" w:rsidP="00AE70E3">
      <w:pPr>
        <w:rPr>
          <w:rFonts w:ascii="Georgia" w:eastAsia="Georgia" w:hAnsi="Georgia"/>
          <w:b/>
          <w:sz w:val="22"/>
          <w:szCs w:val="24"/>
        </w:rPr>
      </w:pPr>
    </w:p>
    <w:p w14:paraId="083519C3" w14:textId="77777777" w:rsidR="003626EA" w:rsidRPr="003626EA" w:rsidRDefault="008568DA" w:rsidP="003626EA">
      <w:pPr>
        <w:spacing w:after="120"/>
        <w:rPr>
          <w:rFonts w:ascii="Georgia" w:eastAsia="Calibri" w:hAnsi="Georgia"/>
          <w:sz w:val="22"/>
          <w:szCs w:val="22"/>
        </w:rPr>
      </w:pPr>
      <w:r>
        <w:rPr>
          <w:rFonts w:ascii="Georgia" w:hAnsi="Georgia"/>
          <w:b/>
          <w:bCs/>
          <w:sz w:val="22"/>
          <w:szCs w:val="24"/>
          <w:lang w:val="vi"/>
        </w:rPr>
        <w:t xml:space="preserve">THÔNG TIN VÀ CÁCH LIÊN HỆ VỚI CƠ QUAN.  </w:t>
      </w:r>
      <w:r>
        <w:rPr>
          <w:rFonts w:ascii="Georgia" w:hAnsi="Georgia"/>
          <w:b/>
          <w:bCs/>
          <w:sz w:val="22"/>
          <w:szCs w:val="22"/>
          <w:lang w:val="vi"/>
        </w:rPr>
        <w:t xml:space="preserve">Tất cả các ý kiến công khai và các yêu cầu phải được nộp thông qua hệ thống điện tử tại </w:t>
      </w:r>
      <w:hyperlink r:id="rId10" w:history="1">
        <w:r>
          <w:rPr>
            <w:rStyle w:val="Hyperlink"/>
            <w:rFonts w:ascii="Georgia" w:eastAsia="Calibri" w:hAnsi="Georgia"/>
            <w:b/>
            <w:bCs/>
            <w:sz w:val="22"/>
            <w:szCs w:val="22"/>
            <w:lang w:val="vi"/>
          </w:rPr>
          <w:t>https://www14.tceq.texas.gov/epic/eComment/</w:t>
        </w:r>
      </w:hyperlink>
      <w:r>
        <w:rPr>
          <w:rFonts w:ascii="Georgia" w:hAnsi="Georgia"/>
          <w:sz w:val="22"/>
          <w:szCs w:val="22"/>
          <w:lang w:val="vi"/>
        </w:rPr>
        <w:t>,</w:t>
      </w:r>
      <w:r>
        <w:rPr>
          <w:rFonts w:ascii="Georgia" w:hAnsi="Georgia"/>
          <w:b/>
          <w:bCs/>
          <w:sz w:val="22"/>
          <w:szCs w:val="22"/>
          <w:lang w:val="vi"/>
        </w:rPr>
        <w:t xml:space="preserve"> hoặc bằng văn bản gửi đến Ủy Ban Chất Lượng Môi Trường Texas, Văn Phòng Thư Ký Trưởng, MC-105, P.O. Box 13087, Austin, Texas 78711-3087.</w:t>
      </w:r>
      <w:r>
        <w:rPr>
          <w:rFonts w:ascii="Georgia" w:hAnsi="Georgia"/>
          <w:sz w:val="22"/>
          <w:szCs w:val="22"/>
          <w:lang w:val="vi"/>
        </w:rPr>
        <w:t xml:space="preserve"> Hãy lưu ý rằng mọi thông tin liên hệ quý vị cung cấp, bao gồm tên, số điện thoại, địa chỉ email và địa chỉ vật lý, sẽ trở thành một phần của hồ sơ công khai của cơ quan. Để biết thêm thông tin về đơn xin cấp phép này hoặc quy trình cấp phép, vui lòng gọi </w:t>
      </w:r>
      <w:r>
        <w:rPr>
          <w:rFonts w:ascii="Georgia" w:hAnsi="Georgia"/>
          <w:color w:val="000000"/>
          <w:sz w:val="22"/>
          <w:szCs w:val="22"/>
          <w:lang w:val="vi"/>
        </w:rPr>
        <w:t xml:space="preserve">Chương trình Giáo dục Công chúng TCEQ, Miễn phí, tại số </w:t>
      </w:r>
      <w:r>
        <w:rPr>
          <w:rFonts w:ascii="Georgia" w:hAnsi="Georgia"/>
          <w:sz w:val="22"/>
          <w:szCs w:val="22"/>
          <w:lang w:val="vi"/>
        </w:rPr>
        <w:t xml:space="preserve">1-800-687-4040 hoặc truy cập trang web của họ tại </w:t>
      </w:r>
      <w:hyperlink r:id="rId11" w:history="1">
        <w:r>
          <w:rPr>
            <w:rStyle w:val="Hyperlink"/>
            <w:rFonts w:ascii="Georgia" w:eastAsia="Calibri" w:hAnsi="Georgia"/>
            <w:sz w:val="22"/>
            <w:szCs w:val="22"/>
            <w:lang w:val="vi"/>
          </w:rPr>
          <w:t>www.tceq.texas.gov/goto/pep</w:t>
        </w:r>
      </w:hyperlink>
      <w:r>
        <w:rPr>
          <w:rFonts w:ascii="Georgia" w:hAnsi="Georgia"/>
          <w:sz w:val="22"/>
          <w:szCs w:val="22"/>
          <w:lang w:val="vi"/>
        </w:rPr>
        <w:t>. Si desea información en Español, puede llamar al 1-800-687-4040.</w:t>
      </w:r>
    </w:p>
    <w:p w14:paraId="7829F446" w14:textId="3BA0C021" w:rsidR="00BB04FC" w:rsidRPr="007C7B2E" w:rsidRDefault="00BB04FC" w:rsidP="00AE70E3">
      <w:pPr>
        <w:rPr>
          <w:rFonts w:ascii="Georgia" w:hAnsi="Georgia"/>
          <w:sz w:val="22"/>
          <w:szCs w:val="22"/>
        </w:rPr>
      </w:pPr>
      <w:bookmarkStart w:id="2" w:name="_Hlk110520873"/>
      <w:r>
        <w:rPr>
          <w:rFonts w:ascii="Georgia" w:hAnsi="Georgia"/>
          <w:sz w:val="22"/>
          <w:szCs w:val="22"/>
          <w:lang w:val="vi"/>
        </w:rPr>
        <w:t xml:space="preserve">Thông tin thêm có thể được thu thập tại Thành phố Austin theo địa chỉ đã nêu ở trên hoặc gọi bà Tammy Y. West, Quản Lý Quy Định Xử Lý Nước Thải, tại số 512-972-0143. </w:t>
      </w:r>
    </w:p>
    <w:bookmarkEnd w:id="2"/>
    <w:p w14:paraId="7C8D2899" w14:textId="77777777" w:rsidR="00BB04FC" w:rsidRPr="00F64EAE" w:rsidRDefault="00BB04FC" w:rsidP="00AE70E3">
      <w:pPr>
        <w:rPr>
          <w:rFonts w:ascii="Georgia" w:hAnsi="Georgia"/>
          <w:sz w:val="22"/>
          <w:szCs w:val="22"/>
        </w:rPr>
      </w:pPr>
    </w:p>
    <w:p w14:paraId="4E5B697F" w14:textId="13A64BF4" w:rsidR="00BB04FC" w:rsidRDefault="002D7140" w:rsidP="00AE70E3">
      <w:pPr>
        <w:rPr>
          <w:rFonts w:ascii="Georgia" w:hAnsi="Georgia"/>
          <w:sz w:val="22"/>
          <w:szCs w:val="22"/>
        </w:rPr>
      </w:pPr>
      <w:r>
        <w:rPr>
          <w:rFonts w:ascii="Georgia" w:hAnsi="Georgia"/>
          <w:sz w:val="22"/>
          <w:szCs w:val="22"/>
          <w:lang w:val="vi"/>
        </w:rPr>
        <w:t xml:space="preserve">Ngày Ban Hành: </w:t>
      </w:r>
      <w:r w:rsidR="000E5B06" w:rsidRPr="000E5B06">
        <w:rPr>
          <w:rFonts w:ascii="Georgia" w:hAnsi="Georgia"/>
          <w:sz w:val="22"/>
          <w:szCs w:val="22"/>
          <w:lang w:val="vi"/>
        </w:rPr>
        <w:t>Ngày 12 tháng 12 năm 2023</w:t>
      </w:r>
    </w:p>
    <w:sectPr w:rsidR="00BB04FC" w:rsidSect="00296083">
      <w:footerReference w:type="default" r:id="rId12"/>
      <w:footnotePr>
        <w:numFmt w:val="lowerLetter"/>
      </w:footnotePr>
      <w:endnotePr>
        <w:numFmt w:val="lowerLetter"/>
      </w:endnotePr>
      <w:pgSz w:w="12240" w:h="15840"/>
      <w:pgMar w:top="1440" w:right="1152" w:bottom="1008" w:left="1152"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D503" w14:textId="77777777" w:rsidR="00BA79B8" w:rsidRDefault="00BA79B8" w:rsidP="00BA79B8">
      <w:r>
        <w:separator/>
      </w:r>
    </w:p>
  </w:endnote>
  <w:endnote w:type="continuationSeparator" w:id="0">
    <w:p w14:paraId="16BD700E" w14:textId="77777777" w:rsidR="00BA79B8" w:rsidRDefault="00BA79B8" w:rsidP="00BA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2623" w14:textId="03D2C723" w:rsidR="00BA79B8" w:rsidRDefault="00BA79B8" w:rsidP="00BA79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E056" w14:textId="77777777" w:rsidR="00BA79B8" w:rsidRDefault="00BA79B8" w:rsidP="00BA79B8">
      <w:r>
        <w:separator/>
      </w:r>
    </w:p>
  </w:footnote>
  <w:footnote w:type="continuationSeparator" w:id="0">
    <w:p w14:paraId="75F3C04A" w14:textId="77777777" w:rsidR="00BA79B8" w:rsidRDefault="00BA79B8" w:rsidP="00BA7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7E731E"/>
    <w:lvl w:ilvl="0">
      <w:numFmt w:val="bullet"/>
      <w:lvlText w:val="*"/>
      <w:lvlJc w:val="left"/>
    </w:lvl>
  </w:abstractNum>
  <w:abstractNum w:abstractNumId="1" w15:restartNumberingAfterBreak="0">
    <w:nsid w:val="05721C32"/>
    <w:multiLevelType w:val="hybridMultilevel"/>
    <w:tmpl w:val="D694AB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882B77"/>
    <w:multiLevelType w:val="hybridMultilevel"/>
    <w:tmpl w:val="D9728ED2"/>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29696B"/>
    <w:multiLevelType w:val="hybridMultilevel"/>
    <w:tmpl w:val="1240988C"/>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E1126"/>
    <w:multiLevelType w:val="hybridMultilevel"/>
    <w:tmpl w:val="EA9260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691773"/>
    <w:multiLevelType w:val="hybridMultilevel"/>
    <w:tmpl w:val="8AE288D8"/>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ECE72D4"/>
    <w:multiLevelType w:val="hybridMultilevel"/>
    <w:tmpl w:val="FD1A53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B0010"/>
    <w:multiLevelType w:val="hybridMultilevel"/>
    <w:tmpl w:val="25ACB190"/>
    <w:lvl w:ilvl="0" w:tplc="1772D3A6">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87914"/>
    <w:multiLevelType w:val="hybridMultilevel"/>
    <w:tmpl w:val="D712552E"/>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6D6202B"/>
    <w:multiLevelType w:val="hybridMultilevel"/>
    <w:tmpl w:val="4EA2296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7C6F6C"/>
    <w:multiLevelType w:val="multilevel"/>
    <w:tmpl w:val="92AAF8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A67D2"/>
    <w:multiLevelType w:val="hybridMultilevel"/>
    <w:tmpl w:val="808E325C"/>
    <w:lvl w:ilvl="0" w:tplc="D13A1B00">
      <w:start w:val="1"/>
      <w:numFmt w:val="bullet"/>
      <w:lvlText w:val=""/>
      <w:lvlJc w:val="left"/>
      <w:pPr>
        <w:tabs>
          <w:tab w:val="num" w:pos="1800"/>
        </w:tabs>
        <w:ind w:left="1800" w:hanging="72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223F5"/>
    <w:multiLevelType w:val="hybridMultilevel"/>
    <w:tmpl w:val="3276649A"/>
    <w:lvl w:ilvl="0" w:tplc="D13A1B00">
      <w:start w:val="1"/>
      <w:numFmt w:val="bullet"/>
      <w:lvlText w:val=""/>
      <w:lvlJc w:val="left"/>
      <w:pPr>
        <w:tabs>
          <w:tab w:val="num" w:pos="1800"/>
        </w:tabs>
        <w:ind w:left="1800" w:hanging="72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22D82"/>
    <w:multiLevelType w:val="hybridMultilevel"/>
    <w:tmpl w:val="3A846C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0D14AFB"/>
    <w:multiLevelType w:val="hybridMultilevel"/>
    <w:tmpl w:val="64548480"/>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3880A17"/>
    <w:multiLevelType w:val="hybridMultilevel"/>
    <w:tmpl w:val="831AEE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738A1"/>
    <w:multiLevelType w:val="hybridMultilevel"/>
    <w:tmpl w:val="92AAF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02EF4"/>
    <w:multiLevelType w:val="hybridMultilevel"/>
    <w:tmpl w:val="3CC81766"/>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7060B"/>
    <w:multiLevelType w:val="hybridMultilevel"/>
    <w:tmpl w:val="F1A27A3C"/>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E8030E"/>
    <w:multiLevelType w:val="hybridMultilevel"/>
    <w:tmpl w:val="687E3AF6"/>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C15C7"/>
    <w:multiLevelType w:val="hybridMultilevel"/>
    <w:tmpl w:val="7472C87A"/>
    <w:lvl w:ilvl="0" w:tplc="D13A1B00">
      <w:start w:val="1"/>
      <w:numFmt w:val="bullet"/>
      <w:lvlText w:val=""/>
      <w:lvlJc w:val="left"/>
      <w:pPr>
        <w:tabs>
          <w:tab w:val="num" w:pos="1080"/>
        </w:tabs>
        <w:ind w:left="108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A7EFD"/>
    <w:multiLevelType w:val="hybridMultilevel"/>
    <w:tmpl w:val="BE0088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35D99"/>
    <w:multiLevelType w:val="hybridMultilevel"/>
    <w:tmpl w:val="19A89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373CD0"/>
    <w:multiLevelType w:val="hybridMultilevel"/>
    <w:tmpl w:val="805E2B70"/>
    <w:lvl w:ilvl="0" w:tplc="D13A1B00">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CCF142B"/>
    <w:multiLevelType w:val="hybridMultilevel"/>
    <w:tmpl w:val="CADE5474"/>
    <w:lvl w:ilvl="0" w:tplc="8E26C518">
      <w:start w:val="1"/>
      <w:numFmt w:val="decimal"/>
      <w:lvlText w:val="%1."/>
      <w:lvlJc w:val="left"/>
      <w:pPr>
        <w:tabs>
          <w:tab w:val="num" w:pos="1185"/>
        </w:tabs>
        <w:ind w:left="1185" w:hanging="46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5A454BE"/>
    <w:multiLevelType w:val="hybridMultilevel"/>
    <w:tmpl w:val="A6B4FB40"/>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8278D"/>
    <w:multiLevelType w:val="hybridMultilevel"/>
    <w:tmpl w:val="E5A21388"/>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E79A1"/>
    <w:multiLevelType w:val="hybridMultilevel"/>
    <w:tmpl w:val="C63446F8"/>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224205"/>
    <w:multiLevelType w:val="hybridMultilevel"/>
    <w:tmpl w:val="D21CFB4C"/>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613801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948849608">
    <w:abstractNumId w:val="15"/>
  </w:num>
  <w:num w:numId="3" w16cid:durableId="463239106">
    <w:abstractNumId w:val="21"/>
  </w:num>
  <w:num w:numId="4" w16cid:durableId="677275603">
    <w:abstractNumId w:val="4"/>
  </w:num>
  <w:num w:numId="5" w16cid:durableId="1704207433">
    <w:abstractNumId w:val="6"/>
  </w:num>
  <w:num w:numId="6" w16cid:durableId="1153791641">
    <w:abstractNumId w:val="1"/>
  </w:num>
  <w:num w:numId="7" w16cid:durableId="68042508">
    <w:abstractNumId w:val="9"/>
  </w:num>
  <w:num w:numId="8" w16cid:durableId="2115132715">
    <w:abstractNumId w:val="13"/>
  </w:num>
  <w:num w:numId="9" w16cid:durableId="1662730263">
    <w:abstractNumId w:val="22"/>
  </w:num>
  <w:num w:numId="10" w16cid:durableId="548495690">
    <w:abstractNumId w:val="24"/>
  </w:num>
  <w:num w:numId="11" w16cid:durableId="1997803789">
    <w:abstractNumId w:val="26"/>
  </w:num>
  <w:num w:numId="12" w16cid:durableId="2119178104">
    <w:abstractNumId w:val="17"/>
  </w:num>
  <w:num w:numId="13" w16cid:durableId="89132303">
    <w:abstractNumId w:val="3"/>
  </w:num>
  <w:num w:numId="14" w16cid:durableId="1970896704">
    <w:abstractNumId w:val="19"/>
  </w:num>
  <w:num w:numId="15" w16cid:durableId="1095210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32449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5460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69123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7740007">
    <w:abstractNumId w:val="16"/>
  </w:num>
  <w:num w:numId="20" w16cid:durableId="796608123">
    <w:abstractNumId w:val="10"/>
  </w:num>
  <w:num w:numId="21" w16cid:durableId="96486676">
    <w:abstractNumId w:val="20"/>
  </w:num>
  <w:num w:numId="22" w16cid:durableId="1593782382">
    <w:abstractNumId w:val="18"/>
  </w:num>
  <w:num w:numId="23" w16cid:durableId="1037004698">
    <w:abstractNumId w:val="23"/>
  </w:num>
  <w:num w:numId="24" w16cid:durableId="174199409">
    <w:abstractNumId w:val="25"/>
  </w:num>
  <w:num w:numId="25" w16cid:durableId="504636662">
    <w:abstractNumId w:val="11"/>
  </w:num>
  <w:num w:numId="26" w16cid:durableId="606157189">
    <w:abstractNumId w:val="12"/>
  </w:num>
  <w:num w:numId="27" w16cid:durableId="1246888030">
    <w:abstractNumId w:val="27"/>
  </w:num>
  <w:num w:numId="28" w16cid:durableId="2114399180">
    <w:abstractNumId w:val="28"/>
  </w:num>
  <w:num w:numId="29" w16cid:durableId="265313143">
    <w:abstractNumId w:val="7"/>
  </w:num>
  <w:num w:numId="30" w16cid:durableId="816996277">
    <w:abstractNumId w:val="5"/>
  </w:num>
  <w:num w:numId="31" w16cid:durableId="476454409">
    <w:abstractNumId w:val="8"/>
  </w:num>
  <w:num w:numId="32" w16cid:durableId="1908303840">
    <w:abstractNumId w:val="2"/>
  </w:num>
  <w:num w:numId="33" w16cid:durableId="962810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BD"/>
    <w:rsid w:val="00003BC6"/>
    <w:rsid w:val="00003FD4"/>
    <w:rsid w:val="00014355"/>
    <w:rsid w:val="00020C44"/>
    <w:rsid w:val="00021A2B"/>
    <w:rsid w:val="00042AB1"/>
    <w:rsid w:val="00042DD9"/>
    <w:rsid w:val="00043A86"/>
    <w:rsid w:val="00047A34"/>
    <w:rsid w:val="00051085"/>
    <w:rsid w:val="0005221D"/>
    <w:rsid w:val="00061CCA"/>
    <w:rsid w:val="00094B8E"/>
    <w:rsid w:val="000A6C5D"/>
    <w:rsid w:val="000C48C3"/>
    <w:rsid w:val="000E3698"/>
    <w:rsid w:val="000E5B06"/>
    <w:rsid w:val="000F0520"/>
    <w:rsid w:val="00104A01"/>
    <w:rsid w:val="00134028"/>
    <w:rsid w:val="0013544F"/>
    <w:rsid w:val="00145D8C"/>
    <w:rsid w:val="00170B89"/>
    <w:rsid w:val="001732B9"/>
    <w:rsid w:val="001E1AD9"/>
    <w:rsid w:val="001E6F66"/>
    <w:rsid w:val="0020775A"/>
    <w:rsid w:val="00207BB0"/>
    <w:rsid w:val="00216C10"/>
    <w:rsid w:val="00216F91"/>
    <w:rsid w:val="00217C25"/>
    <w:rsid w:val="00223F9F"/>
    <w:rsid w:val="00296083"/>
    <w:rsid w:val="002B0B81"/>
    <w:rsid w:val="002D7140"/>
    <w:rsid w:val="002E3B95"/>
    <w:rsid w:val="002F2177"/>
    <w:rsid w:val="00306E72"/>
    <w:rsid w:val="003326BC"/>
    <w:rsid w:val="0034445D"/>
    <w:rsid w:val="003445C4"/>
    <w:rsid w:val="00351CFC"/>
    <w:rsid w:val="003626EA"/>
    <w:rsid w:val="00373CD3"/>
    <w:rsid w:val="003866C3"/>
    <w:rsid w:val="003A135A"/>
    <w:rsid w:val="003A197C"/>
    <w:rsid w:val="003A2DB0"/>
    <w:rsid w:val="003A5330"/>
    <w:rsid w:val="003C19E1"/>
    <w:rsid w:val="003D7DCE"/>
    <w:rsid w:val="003F142E"/>
    <w:rsid w:val="00413884"/>
    <w:rsid w:val="00414147"/>
    <w:rsid w:val="004332BD"/>
    <w:rsid w:val="004370A2"/>
    <w:rsid w:val="00442A8F"/>
    <w:rsid w:val="004550C6"/>
    <w:rsid w:val="004B2E47"/>
    <w:rsid w:val="004E3C65"/>
    <w:rsid w:val="004E4768"/>
    <w:rsid w:val="004E4B9E"/>
    <w:rsid w:val="00520854"/>
    <w:rsid w:val="00520B1A"/>
    <w:rsid w:val="00545C03"/>
    <w:rsid w:val="0054621D"/>
    <w:rsid w:val="00595E41"/>
    <w:rsid w:val="00597A94"/>
    <w:rsid w:val="005C5D11"/>
    <w:rsid w:val="005C6067"/>
    <w:rsid w:val="005F775C"/>
    <w:rsid w:val="0061436A"/>
    <w:rsid w:val="006453AF"/>
    <w:rsid w:val="0066064B"/>
    <w:rsid w:val="00667D7F"/>
    <w:rsid w:val="0069594C"/>
    <w:rsid w:val="006A3E0E"/>
    <w:rsid w:val="006A47E3"/>
    <w:rsid w:val="006B146E"/>
    <w:rsid w:val="006C59AF"/>
    <w:rsid w:val="006C6801"/>
    <w:rsid w:val="006C7E98"/>
    <w:rsid w:val="006D2857"/>
    <w:rsid w:val="006E00A6"/>
    <w:rsid w:val="006E7C42"/>
    <w:rsid w:val="006F4BC9"/>
    <w:rsid w:val="00712CA0"/>
    <w:rsid w:val="007163F6"/>
    <w:rsid w:val="00723CB2"/>
    <w:rsid w:val="00786014"/>
    <w:rsid w:val="007876CF"/>
    <w:rsid w:val="007B17F2"/>
    <w:rsid w:val="007C48B9"/>
    <w:rsid w:val="007C7B2E"/>
    <w:rsid w:val="007D15D0"/>
    <w:rsid w:val="007E4AA0"/>
    <w:rsid w:val="00801F0F"/>
    <w:rsid w:val="0083226F"/>
    <w:rsid w:val="00833354"/>
    <w:rsid w:val="00845884"/>
    <w:rsid w:val="008568DA"/>
    <w:rsid w:val="00861309"/>
    <w:rsid w:val="00866932"/>
    <w:rsid w:val="00874DF6"/>
    <w:rsid w:val="00885352"/>
    <w:rsid w:val="008C2F15"/>
    <w:rsid w:val="008F6DAC"/>
    <w:rsid w:val="00924D67"/>
    <w:rsid w:val="00953658"/>
    <w:rsid w:val="009657FF"/>
    <w:rsid w:val="00982232"/>
    <w:rsid w:val="0098337B"/>
    <w:rsid w:val="009C50F9"/>
    <w:rsid w:val="009D02EE"/>
    <w:rsid w:val="009E4181"/>
    <w:rsid w:val="00A06684"/>
    <w:rsid w:val="00A305EE"/>
    <w:rsid w:val="00A37C9D"/>
    <w:rsid w:val="00A554F8"/>
    <w:rsid w:val="00A8744C"/>
    <w:rsid w:val="00A87874"/>
    <w:rsid w:val="00AA0870"/>
    <w:rsid w:val="00AA302F"/>
    <w:rsid w:val="00AD02B0"/>
    <w:rsid w:val="00AE180B"/>
    <w:rsid w:val="00AE6C7D"/>
    <w:rsid w:val="00AE70E3"/>
    <w:rsid w:val="00AF3D93"/>
    <w:rsid w:val="00B00B21"/>
    <w:rsid w:val="00B248B0"/>
    <w:rsid w:val="00B26820"/>
    <w:rsid w:val="00B40519"/>
    <w:rsid w:val="00B87097"/>
    <w:rsid w:val="00B917B8"/>
    <w:rsid w:val="00BA79B8"/>
    <w:rsid w:val="00BB04FC"/>
    <w:rsid w:val="00BC79D2"/>
    <w:rsid w:val="00BE2696"/>
    <w:rsid w:val="00C9750B"/>
    <w:rsid w:val="00CA2877"/>
    <w:rsid w:val="00CA3E89"/>
    <w:rsid w:val="00CA6E29"/>
    <w:rsid w:val="00CB723B"/>
    <w:rsid w:val="00CD3C0D"/>
    <w:rsid w:val="00CE491B"/>
    <w:rsid w:val="00CE4BEC"/>
    <w:rsid w:val="00D154B4"/>
    <w:rsid w:val="00D355BD"/>
    <w:rsid w:val="00D41F8B"/>
    <w:rsid w:val="00D608D8"/>
    <w:rsid w:val="00D62B3C"/>
    <w:rsid w:val="00D7776C"/>
    <w:rsid w:val="00D96D71"/>
    <w:rsid w:val="00DD5986"/>
    <w:rsid w:val="00E02DED"/>
    <w:rsid w:val="00E40D12"/>
    <w:rsid w:val="00E62C1C"/>
    <w:rsid w:val="00E833AE"/>
    <w:rsid w:val="00E83B00"/>
    <w:rsid w:val="00EA2BA2"/>
    <w:rsid w:val="00EB0BDD"/>
    <w:rsid w:val="00EB639F"/>
    <w:rsid w:val="00EB6797"/>
    <w:rsid w:val="00EB7525"/>
    <w:rsid w:val="00EC20A1"/>
    <w:rsid w:val="00EF6D87"/>
    <w:rsid w:val="00F02228"/>
    <w:rsid w:val="00F17698"/>
    <w:rsid w:val="00F2554E"/>
    <w:rsid w:val="00F37D8E"/>
    <w:rsid w:val="00F40570"/>
    <w:rsid w:val="00F42E82"/>
    <w:rsid w:val="00F60DFC"/>
    <w:rsid w:val="00F623C2"/>
    <w:rsid w:val="00F64EAE"/>
    <w:rsid w:val="00F673E8"/>
    <w:rsid w:val="00F67C71"/>
    <w:rsid w:val="00F908FF"/>
    <w:rsid w:val="00FE3326"/>
    <w:rsid w:val="00FE468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992A"/>
  <w15:chartTrackingRefBased/>
  <w15:docId w15:val="{4328227D-CAD7-4768-ADCC-2786A1D9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A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E29"/>
    <w:pPr>
      <w:autoSpaceDE w:val="0"/>
      <w:autoSpaceDN w:val="0"/>
      <w:adjustRightInd w:val="0"/>
    </w:pPr>
    <w:rPr>
      <w:rFonts w:ascii="Arial" w:hAnsi="Arial"/>
      <w:sz w:val="24"/>
      <w:szCs w:val="24"/>
    </w:rPr>
  </w:style>
  <w:style w:type="paragraph" w:customStyle="1" w:styleId="Document1">
    <w:name w:val="Document[1]"/>
    <w:basedOn w:val="Normal"/>
    <w:rsid w:val="00043A86"/>
    <w:pPr>
      <w:widowControl w:val="0"/>
    </w:pPr>
    <w:rPr>
      <w:b/>
      <w:sz w:val="36"/>
    </w:rPr>
  </w:style>
  <w:style w:type="paragraph" w:customStyle="1" w:styleId="Document2">
    <w:name w:val="Document[2]"/>
    <w:basedOn w:val="Normal"/>
    <w:rsid w:val="00043A86"/>
    <w:pPr>
      <w:widowControl w:val="0"/>
    </w:pPr>
    <w:rPr>
      <w:b/>
      <w:u w:val="single"/>
    </w:rPr>
  </w:style>
  <w:style w:type="paragraph" w:customStyle="1" w:styleId="Document3">
    <w:name w:val="Document[3]"/>
    <w:basedOn w:val="Normal"/>
    <w:rsid w:val="00043A86"/>
    <w:pPr>
      <w:widowControl w:val="0"/>
    </w:pPr>
    <w:rPr>
      <w:b/>
    </w:rPr>
  </w:style>
  <w:style w:type="paragraph" w:customStyle="1" w:styleId="Document4">
    <w:name w:val="Document[4]"/>
    <w:basedOn w:val="Normal"/>
    <w:rsid w:val="00043A86"/>
    <w:pPr>
      <w:widowControl w:val="0"/>
    </w:pPr>
    <w:rPr>
      <w:b/>
      <w:i/>
    </w:rPr>
  </w:style>
  <w:style w:type="paragraph" w:customStyle="1" w:styleId="Document5">
    <w:name w:val="Document[5]"/>
    <w:basedOn w:val="Normal"/>
    <w:rsid w:val="00043A86"/>
    <w:pPr>
      <w:widowControl w:val="0"/>
    </w:pPr>
  </w:style>
  <w:style w:type="paragraph" w:customStyle="1" w:styleId="Document6">
    <w:name w:val="Document[6]"/>
    <w:basedOn w:val="Normal"/>
    <w:rsid w:val="00043A86"/>
    <w:pPr>
      <w:widowControl w:val="0"/>
    </w:pPr>
  </w:style>
  <w:style w:type="paragraph" w:customStyle="1" w:styleId="Document7">
    <w:name w:val="Document[7]"/>
    <w:basedOn w:val="Normal"/>
    <w:rsid w:val="00043A86"/>
    <w:pPr>
      <w:widowControl w:val="0"/>
    </w:pPr>
  </w:style>
  <w:style w:type="paragraph" w:customStyle="1" w:styleId="Document8">
    <w:name w:val="Document[8]"/>
    <w:basedOn w:val="Normal"/>
    <w:rsid w:val="00043A86"/>
    <w:pPr>
      <w:widowControl w:val="0"/>
    </w:pPr>
  </w:style>
  <w:style w:type="paragraph" w:customStyle="1" w:styleId="Level9">
    <w:name w:val="Level 9"/>
    <w:basedOn w:val="Normal"/>
    <w:rsid w:val="00043A86"/>
    <w:pPr>
      <w:widowControl w:val="0"/>
    </w:pPr>
    <w:rPr>
      <w:b/>
    </w:rPr>
  </w:style>
  <w:style w:type="paragraph" w:customStyle="1" w:styleId="Technical1">
    <w:name w:val="Technical[1]"/>
    <w:basedOn w:val="Normal"/>
    <w:rsid w:val="00043A86"/>
    <w:pPr>
      <w:widowControl w:val="0"/>
    </w:pPr>
    <w:rPr>
      <w:b/>
      <w:sz w:val="36"/>
    </w:rPr>
  </w:style>
  <w:style w:type="paragraph" w:customStyle="1" w:styleId="Technical2">
    <w:name w:val="Technical[2]"/>
    <w:basedOn w:val="Normal"/>
    <w:rsid w:val="00043A86"/>
    <w:pPr>
      <w:widowControl w:val="0"/>
    </w:pPr>
    <w:rPr>
      <w:b/>
      <w:u w:val="single"/>
    </w:rPr>
  </w:style>
  <w:style w:type="paragraph" w:customStyle="1" w:styleId="Technical3">
    <w:name w:val="Technical[3]"/>
    <w:basedOn w:val="Normal"/>
    <w:rsid w:val="00043A86"/>
    <w:pPr>
      <w:widowControl w:val="0"/>
    </w:pPr>
    <w:rPr>
      <w:b/>
    </w:rPr>
  </w:style>
  <w:style w:type="paragraph" w:customStyle="1" w:styleId="Technical4">
    <w:name w:val="Technical[4]"/>
    <w:basedOn w:val="Normal"/>
    <w:rsid w:val="00043A86"/>
    <w:pPr>
      <w:widowControl w:val="0"/>
    </w:pPr>
    <w:rPr>
      <w:b/>
    </w:rPr>
  </w:style>
  <w:style w:type="paragraph" w:customStyle="1" w:styleId="Technical5">
    <w:name w:val="Technical[5]"/>
    <w:basedOn w:val="Normal"/>
    <w:rsid w:val="00043A86"/>
    <w:pPr>
      <w:widowControl w:val="0"/>
    </w:pPr>
    <w:rPr>
      <w:b/>
    </w:rPr>
  </w:style>
  <w:style w:type="paragraph" w:customStyle="1" w:styleId="Technical6">
    <w:name w:val="Technical[6]"/>
    <w:basedOn w:val="Normal"/>
    <w:rsid w:val="00043A86"/>
    <w:pPr>
      <w:widowControl w:val="0"/>
    </w:pPr>
    <w:rPr>
      <w:b/>
    </w:rPr>
  </w:style>
  <w:style w:type="paragraph" w:customStyle="1" w:styleId="Technical7">
    <w:name w:val="Technical[7]"/>
    <w:basedOn w:val="Normal"/>
    <w:rsid w:val="00043A86"/>
    <w:pPr>
      <w:widowControl w:val="0"/>
    </w:pPr>
    <w:rPr>
      <w:b/>
    </w:rPr>
  </w:style>
  <w:style w:type="paragraph" w:customStyle="1" w:styleId="Technical8">
    <w:name w:val="Technical[8]"/>
    <w:basedOn w:val="Normal"/>
    <w:rsid w:val="00043A86"/>
    <w:pPr>
      <w:widowControl w:val="0"/>
    </w:pPr>
    <w:rPr>
      <w:b/>
    </w:rPr>
  </w:style>
  <w:style w:type="paragraph" w:customStyle="1" w:styleId="RightPar1">
    <w:name w:val="Right Par[1]"/>
    <w:basedOn w:val="Normal"/>
    <w:rsid w:val="00043A86"/>
    <w:pPr>
      <w:widowControl w:val="0"/>
    </w:pPr>
  </w:style>
  <w:style w:type="paragraph" w:customStyle="1" w:styleId="RightPar2">
    <w:name w:val="Right Par[2]"/>
    <w:basedOn w:val="Normal"/>
    <w:rsid w:val="00043A86"/>
    <w:pPr>
      <w:widowControl w:val="0"/>
    </w:pPr>
  </w:style>
  <w:style w:type="paragraph" w:customStyle="1" w:styleId="RightPar3">
    <w:name w:val="Right Par[3]"/>
    <w:basedOn w:val="Normal"/>
    <w:rsid w:val="00043A86"/>
    <w:pPr>
      <w:widowControl w:val="0"/>
    </w:pPr>
  </w:style>
  <w:style w:type="paragraph" w:customStyle="1" w:styleId="RightPar4">
    <w:name w:val="Right Par[4]"/>
    <w:basedOn w:val="Normal"/>
    <w:rsid w:val="00043A86"/>
    <w:pPr>
      <w:widowControl w:val="0"/>
    </w:pPr>
  </w:style>
  <w:style w:type="paragraph" w:customStyle="1" w:styleId="RightPar5">
    <w:name w:val="Right Par[5]"/>
    <w:basedOn w:val="Normal"/>
    <w:rsid w:val="00043A86"/>
    <w:pPr>
      <w:widowControl w:val="0"/>
    </w:pPr>
  </w:style>
  <w:style w:type="paragraph" w:customStyle="1" w:styleId="RightPar6">
    <w:name w:val="Right Par[6]"/>
    <w:basedOn w:val="Normal"/>
    <w:rsid w:val="00043A86"/>
    <w:pPr>
      <w:widowControl w:val="0"/>
    </w:pPr>
  </w:style>
  <w:style w:type="paragraph" w:customStyle="1" w:styleId="RightPar7">
    <w:name w:val="Right Par[7]"/>
    <w:basedOn w:val="Normal"/>
    <w:rsid w:val="00043A86"/>
    <w:pPr>
      <w:widowControl w:val="0"/>
    </w:pPr>
  </w:style>
  <w:style w:type="paragraph" w:customStyle="1" w:styleId="RightPar8">
    <w:name w:val="Right Par[8]"/>
    <w:basedOn w:val="Normal"/>
    <w:rsid w:val="00043A86"/>
    <w:pPr>
      <w:widowControl w:val="0"/>
    </w:pPr>
  </w:style>
  <w:style w:type="paragraph" w:customStyle="1" w:styleId="Level1">
    <w:name w:val="Level 1"/>
    <w:basedOn w:val="Normal"/>
    <w:rsid w:val="00043A86"/>
    <w:pPr>
      <w:widowControl w:val="0"/>
    </w:pPr>
  </w:style>
  <w:style w:type="character" w:customStyle="1" w:styleId="QuickFormat1">
    <w:name w:val="QuickFormat1"/>
    <w:rsid w:val="00043A86"/>
    <w:rPr>
      <w:color w:val="FF0000"/>
      <w:sz w:val="24"/>
    </w:rPr>
  </w:style>
  <w:style w:type="character" w:customStyle="1" w:styleId="Bibliogrphy">
    <w:name w:val="Bibliogrphy"/>
    <w:rsid w:val="00043A86"/>
  </w:style>
  <w:style w:type="character" w:customStyle="1" w:styleId="DocInit">
    <w:name w:val="Doc Init"/>
    <w:rsid w:val="00043A86"/>
  </w:style>
  <w:style w:type="character" w:customStyle="1" w:styleId="TechInit">
    <w:name w:val="Tech Init"/>
    <w:rsid w:val="00043A86"/>
  </w:style>
  <w:style w:type="character" w:customStyle="1" w:styleId="Pleading">
    <w:name w:val="Pleading"/>
    <w:rsid w:val="00043A86"/>
  </w:style>
  <w:style w:type="paragraph" w:customStyle="1" w:styleId="a">
    <w:name w:val="Ѐ"/>
    <w:basedOn w:val="Normal"/>
    <w:rsid w:val="00043A86"/>
    <w:pPr>
      <w:widowControl w:val="0"/>
      <w:spacing w:line="240" w:lineRule="exact"/>
    </w:pPr>
  </w:style>
  <w:style w:type="paragraph" w:customStyle="1" w:styleId="a0">
    <w:name w:val="آ"/>
    <w:basedOn w:val="Normal"/>
    <w:rsid w:val="00043A86"/>
    <w:pPr>
      <w:widowControl w:val="0"/>
    </w:pPr>
  </w:style>
  <w:style w:type="paragraph" w:customStyle="1" w:styleId="a1">
    <w:name w:val="؛"/>
    <w:basedOn w:val="Normal"/>
    <w:rsid w:val="00043A86"/>
    <w:pPr>
      <w:widowControl w:val="0"/>
    </w:pPr>
  </w:style>
  <w:style w:type="paragraph" w:customStyle="1" w:styleId="Style0">
    <w:name w:val="Style0"/>
    <w:rsid w:val="00CA6E29"/>
    <w:pPr>
      <w:autoSpaceDE w:val="0"/>
      <w:autoSpaceDN w:val="0"/>
      <w:adjustRightInd w:val="0"/>
    </w:pPr>
    <w:rPr>
      <w:rFonts w:ascii="Arial" w:hAnsi="Arial"/>
      <w:sz w:val="24"/>
      <w:szCs w:val="24"/>
    </w:rPr>
  </w:style>
  <w:style w:type="character" w:styleId="Hyperlink">
    <w:name w:val="Hyperlink"/>
    <w:uiPriority w:val="99"/>
    <w:rsid w:val="00CA6E29"/>
    <w:rPr>
      <w:color w:val="0000FF"/>
      <w:u w:val="single"/>
    </w:rPr>
  </w:style>
  <w:style w:type="paragraph" w:styleId="BalloonText">
    <w:name w:val="Balloon Text"/>
    <w:basedOn w:val="Normal"/>
    <w:link w:val="BalloonTextChar"/>
    <w:rsid w:val="0034445D"/>
    <w:rPr>
      <w:rFonts w:ascii="Tahoma" w:hAnsi="Tahoma" w:cs="Tahoma"/>
      <w:sz w:val="16"/>
      <w:szCs w:val="16"/>
    </w:rPr>
  </w:style>
  <w:style w:type="character" w:customStyle="1" w:styleId="BalloonTextChar">
    <w:name w:val="Balloon Text Char"/>
    <w:link w:val="BalloonText"/>
    <w:rsid w:val="0034445D"/>
    <w:rPr>
      <w:rFonts w:ascii="Tahoma" w:hAnsi="Tahoma" w:cs="Tahoma"/>
      <w:sz w:val="16"/>
      <w:szCs w:val="16"/>
    </w:rPr>
  </w:style>
  <w:style w:type="paragraph" w:styleId="BodyText">
    <w:name w:val="Body Text"/>
    <w:link w:val="BodyTextChar"/>
    <w:qFormat/>
    <w:rsid w:val="008C2F15"/>
    <w:pPr>
      <w:spacing w:after="120"/>
    </w:pPr>
    <w:rPr>
      <w:rFonts w:ascii="Georgia" w:eastAsia="Georgia" w:hAnsi="Georgia"/>
      <w:sz w:val="24"/>
      <w:szCs w:val="24"/>
    </w:rPr>
  </w:style>
  <w:style w:type="character" w:customStyle="1" w:styleId="BodyTextChar">
    <w:name w:val="Body Text Char"/>
    <w:link w:val="BodyText"/>
    <w:rsid w:val="008C2F15"/>
    <w:rPr>
      <w:rFonts w:ascii="Georgia" w:eastAsia="Georgia" w:hAnsi="Georgia"/>
      <w:sz w:val="24"/>
      <w:szCs w:val="24"/>
      <w:lang w:val="en-US" w:eastAsia="en-US" w:bidi="ar-SA"/>
    </w:rPr>
  </w:style>
  <w:style w:type="character" w:styleId="Strong">
    <w:name w:val="Strong"/>
    <w:qFormat/>
    <w:rsid w:val="006F4BC9"/>
    <w:rPr>
      <w:b/>
      <w:bCs/>
    </w:rPr>
  </w:style>
  <w:style w:type="character" w:styleId="UnresolvedMention">
    <w:name w:val="Unresolved Mention"/>
    <w:uiPriority w:val="99"/>
    <w:semiHidden/>
    <w:unhideWhenUsed/>
    <w:rsid w:val="00AD02B0"/>
    <w:rPr>
      <w:color w:val="808080"/>
      <w:shd w:val="clear" w:color="auto" w:fill="E6E6E6"/>
    </w:rPr>
  </w:style>
  <w:style w:type="paragraph" w:styleId="Header">
    <w:name w:val="header"/>
    <w:basedOn w:val="Normal"/>
    <w:link w:val="HeaderChar"/>
    <w:rsid w:val="00BA79B8"/>
    <w:pPr>
      <w:tabs>
        <w:tab w:val="center" w:pos="4680"/>
        <w:tab w:val="right" w:pos="9360"/>
      </w:tabs>
    </w:pPr>
  </w:style>
  <w:style w:type="character" w:customStyle="1" w:styleId="HeaderChar">
    <w:name w:val="Header Char"/>
    <w:basedOn w:val="DefaultParagraphFont"/>
    <w:link w:val="Header"/>
    <w:rsid w:val="00BA79B8"/>
    <w:rPr>
      <w:sz w:val="24"/>
    </w:rPr>
  </w:style>
  <w:style w:type="paragraph" w:styleId="Footer">
    <w:name w:val="footer"/>
    <w:basedOn w:val="Normal"/>
    <w:link w:val="FooterChar"/>
    <w:rsid w:val="00BA79B8"/>
    <w:pPr>
      <w:tabs>
        <w:tab w:val="center" w:pos="4680"/>
        <w:tab w:val="right" w:pos="9360"/>
      </w:tabs>
    </w:pPr>
  </w:style>
  <w:style w:type="character" w:customStyle="1" w:styleId="FooterChar">
    <w:name w:val="Footer Char"/>
    <w:basedOn w:val="DefaultParagraphFont"/>
    <w:link w:val="Footer"/>
    <w:rsid w:val="00BA79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988">
      <w:bodyDiv w:val="1"/>
      <w:marLeft w:val="0"/>
      <w:marRight w:val="0"/>
      <w:marTop w:val="0"/>
      <w:marBottom w:val="0"/>
      <w:divBdr>
        <w:top w:val="none" w:sz="0" w:space="0" w:color="auto"/>
        <w:left w:val="none" w:sz="0" w:space="0" w:color="auto"/>
        <w:bottom w:val="none" w:sz="0" w:space="0" w:color="auto"/>
        <w:right w:val="none" w:sz="0" w:space="0" w:color="auto"/>
      </w:divBdr>
    </w:div>
    <w:div w:id="565452122">
      <w:bodyDiv w:val="1"/>
      <w:marLeft w:val="0"/>
      <w:marRight w:val="0"/>
      <w:marTop w:val="0"/>
      <w:marBottom w:val="0"/>
      <w:divBdr>
        <w:top w:val="none" w:sz="0" w:space="0" w:color="auto"/>
        <w:left w:val="none" w:sz="0" w:space="0" w:color="auto"/>
        <w:bottom w:val="none" w:sz="0" w:space="0" w:color="auto"/>
        <w:right w:val="none" w:sz="0" w:space="0" w:color="auto"/>
      </w:divBdr>
    </w:div>
    <w:div w:id="855658864">
      <w:bodyDiv w:val="1"/>
      <w:marLeft w:val="0"/>
      <w:marRight w:val="0"/>
      <w:marTop w:val="0"/>
      <w:marBottom w:val="0"/>
      <w:divBdr>
        <w:top w:val="none" w:sz="0" w:space="0" w:color="auto"/>
        <w:left w:val="none" w:sz="0" w:space="0" w:color="auto"/>
        <w:bottom w:val="none" w:sz="0" w:space="0" w:color="auto"/>
        <w:right w:val="none" w:sz="0" w:space="0" w:color="auto"/>
      </w:divBdr>
    </w:div>
    <w:div w:id="945045706">
      <w:bodyDiv w:val="1"/>
      <w:marLeft w:val="0"/>
      <w:marRight w:val="0"/>
      <w:marTop w:val="0"/>
      <w:marBottom w:val="0"/>
      <w:divBdr>
        <w:top w:val="none" w:sz="0" w:space="0" w:color="auto"/>
        <w:left w:val="none" w:sz="0" w:space="0" w:color="auto"/>
        <w:bottom w:val="none" w:sz="0" w:space="0" w:color="auto"/>
        <w:right w:val="none" w:sz="0" w:space="0" w:color="auto"/>
      </w:divBdr>
    </w:div>
    <w:div w:id="1294872001">
      <w:bodyDiv w:val="1"/>
      <w:marLeft w:val="0"/>
      <w:marRight w:val="0"/>
      <w:marTop w:val="0"/>
      <w:marBottom w:val="0"/>
      <w:divBdr>
        <w:top w:val="none" w:sz="0" w:space="0" w:color="auto"/>
        <w:left w:val="none" w:sz="0" w:space="0" w:color="auto"/>
        <w:bottom w:val="none" w:sz="0" w:space="0" w:color="auto"/>
        <w:right w:val="none" w:sz="0" w:space="0" w:color="auto"/>
      </w:divBdr>
    </w:div>
    <w:div w:id="1322076968">
      <w:bodyDiv w:val="1"/>
      <w:marLeft w:val="0"/>
      <w:marRight w:val="0"/>
      <w:marTop w:val="0"/>
      <w:marBottom w:val="0"/>
      <w:divBdr>
        <w:top w:val="none" w:sz="0" w:space="0" w:color="auto"/>
        <w:left w:val="none" w:sz="0" w:space="0" w:color="auto"/>
        <w:bottom w:val="none" w:sz="0" w:space="0" w:color="auto"/>
        <w:right w:val="none" w:sz="0" w:space="0" w:color="auto"/>
      </w:divBdr>
    </w:div>
    <w:div w:id="1457677594">
      <w:bodyDiv w:val="1"/>
      <w:marLeft w:val="0"/>
      <w:marRight w:val="0"/>
      <w:marTop w:val="0"/>
      <w:marBottom w:val="0"/>
      <w:divBdr>
        <w:top w:val="none" w:sz="0" w:space="0" w:color="auto"/>
        <w:left w:val="none" w:sz="0" w:space="0" w:color="auto"/>
        <w:bottom w:val="none" w:sz="0" w:space="0" w:color="auto"/>
        <w:right w:val="none" w:sz="0" w:space="0" w:color="auto"/>
      </w:divBdr>
    </w:div>
    <w:div w:id="1888105659">
      <w:bodyDiv w:val="1"/>
      <w:marLeft w:val="0"/>
      <w:marRight w:val="0"/>
      <w:marTop w:val="0"/>
      <w:marBottom w:val="0"/>
      <w:divBdr>
        <w:top w:val="none" w:sz="0" w:space="0" w:color="auto"/>
        <w:left w:val="none" w:sz="0" w:space="0" w:color="auto"/>
        <w:bottom w:val="none" w:sz="0" w:space="0" w:color="auto"/>
        <w:right w:val="none" w:sz="0" w:space="0" w:color="auto"/>
      </w:divBdr>
    </w:div>
    <w:div w:id="19860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eq.texas.gov/goto/pep" TargetMode="External"/><Relationship Id="rId5" Type="http://schemas.openxmlformats.org/officeDocument/2006/relationships/footnotes" Target="footnotes.xml"/><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1655</Words>
  <Characters>6398</Characters>
  <Application>Microsoft Office Word</Application>
  <DocSecurity>8</DocSecurity>
  <Lines>53</Lines>
  <Paragraphs>16</Paragraphs>
  <ScaleCrop>false</ScaleCrop>
  <HeadingPairs>
    <vt:vector size="2" baseType="variant">
      <vt:variant>
        <vt:lpstr>Title</vt:lpstr>
      </vt:variant>
      <vt:variant>
        <vt:i4>1</vt:i4>
      </vt:variant>
    </vt:vector>
  </HeadingPairs>
  <TitlesOfParts>
    <vt:vector size="1" baseType="lpstr">
      <vt:lpstr>NOTICE OF RECEIPT OF APPLICATION VIETNAMESE</vt:lpstr>
    </vt:vector>
  </TitlesOfParts>
  <Company>TCEQ</Company>
  <LinksUpToDate>false</LinksUpToDate>
  <CharactersWithSpaces>8037</CharactersWithSpaces>
  <SharedDoc>false</SharedDoc>
  <HLinks>
    <vt:vector size="36" baseType="variant">
      <vt:variant>
        <vt:i4>8257653</vt:i4>
      </vt:variant>
      <vt:variant>
        <vt:i4>17</vt:i4>
      </vt:variant>
      <vt:variant>
        <vt:i4>0</vt:i4>
      </vt:variant>
      <vt:variant>
        <vt:i4>5</vt:i4>
      </vt:variant>
      <vt:variant>
        <vt:lpwstr>http://www.tceq.texas.gov/goto/pep</vt:lpwstr>
      </vt:variant>
      <vt:variant>
        <vt:lpwstr/>
      </vt:variant>
      <vt:variant>
        <vt:i4>3735611</vt:i4>
      </vt:variant>
      <vt:variant>
        <vt:i4>14</vt:i4>
      </vt:variant>
      <vt:variant>
        <vt:i4>0</vt:i4>
      </vt:variant>
      <vt:variant>
        <vt:i4>5</vt:i4>
      </vt:variant>
      <vt:variant>
        <vt:lpwstr>https://www14.tceq.texas.gov/epic/eComment/</vt:lpwstr>
      </vt:variant>
      <vt:variant>
        <vt:lpwstr/>
      </vt:variant>
      <vt:variant>
        <vt:i4>7929977</vt:i4>
      </vt:variant>
      <vt:variant>
        <vt:i4>11</vt:i4>
      </vt:variant>
      <vt:variant>
        <vt:i4>0</vt:i4>
      </vt:variant>
      <vt:variant>
        <vt:i4>5</vt:i4>
      </vt:variant>
      <vt:variant>
        <vt:lpwstr>http://www.tceq.texas.gov/goto/cid</vt:lpwstr>
      </vt:variant>
      <vt:variant>
        <vt:lpwstr/>
      </vt:variant>
      <vt:variant>
        <vt:i4>6094930</vt:i4>
      </vt:variant>
      <vt:variant>
        <vt:i4>8</vt:i4>
      </vt:variant>
      <vt:variant>
        <vt:i4>0</vt:i4>
      </vt:variant>
      <vt:variant>
        <vt:i4>5</vt:i4>
      </vt:variant>
      <vt:variant>
        <vt:lpwstr>https://www.tceq.texas.gov/permitting/wastewater/plain-language-summaries-and-public-notices</vt:lpwstr>
      </vt:variant>
      <vt:variant>
        <vt:lpwstr/>
      </vt:variant>
      <vt:variant>
        <vt:i4>6094930</vt:i4>
      </vt:variant>
      <vt:variant>
        <vt:i4>5</vt:i4>
      </vt:variant>
      <vt:variant>
        <vt:i4>0</vt:i4>
      </vt:variant>
      <vt:variant>
        <vt:i4>5</vt:i4>
      </vt:variant>
      <vt:variant>
        <vt:lpwstr>https://www.tceq.texas.gov/permitting/wastewater/plain-language-summaries-and-public-notices</vt:lpwstr>
      </vt:variant>
      <vt:variant>
        <vt:lpwstr/>
      </vt:variant>
      <vt:variant>
        <vt:i4>4587523</vt:i4>
      </vt:variant>
      <vt:variant>
        <vt:i4>2</vt:i4>
      </vt:variant>
      <vt:variant>
        <vt:i4>0</vt:i4>
      </vt:variant>
      <vt:variant>
        <vt:i4>5</vt:i4>
      </vt:variant>
      <vt:variant>
        <vt:lpwstr>https://tceq.maps.arcgis.com/apps/webappviewer/index.html?id=db5bac44afbc468bbddd360f8168250f&amp;marker=-95.392394%2C30.009394&amp;level=12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VIETNAMESE</dc:title>
  <dc:subject/>
  <dc:creator>Stephanie Baker</dc:creator>
  <cp:keywords/>
  <cp:lastModifiedBy>Leah Whallon</cp:lastModifiedBy>
  <cp:revision>6</cp:revision>
  <cp:lastPrinted>2023-11-08T17:10:00Z</cp:lastPrinted>
  <dcterms:created xsi:type="dcterms:W3CDTF">2023-11-09T14:00:00Z</dcterms:created>
  <dcterms:modified xsi:type="dcterms:W3CDTF">2023-12-12T21:46:00Z</dcterms:modified>
</cp:coreProperties>
</file>