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12FF" w14:textId="77777777" w:rsidR="00A8311E" w:rsidRDefault="00A8311E">
      <w:pPr>
        <w:pStyle w:val="BodyText"/>
        <w:rPr>
          <w:sz w:val="26"/>
        </w:rPr>
      </w:pPr>
    </w:p>
    <w:p w14:paraId="653A8C50" w14:textId="77777777" w:rsidR="00A8311E" w:rsidRDefault="005A5D0A">
      <w:pPr>
        <w:pStyle w:val="BodyText"/>
        <w:spacing w:before="192"/>
        <w:ind w:left="339"/>
        <w:rPr>
          <w:b/>
        </w:rPr>
      </w:pPr>
      <w:r>
        <w:rPr>
          <w:b/>
        </w:rPr>
        <w:t>ENGLISH</w:t>
      </w:r>
      <w:r>
        <w:rPr>
          <w:b/>
          <w:spacing w:val="-5"/>
        </w:rPr>
        <w:t xml:space="preserve"> </w:t>
      </w:r>
      <w:r>
        <w:rPr>
          <w:b/>
        </w:rPr>
        <w:t>TEMPLATE</w:t>
      </w:r>
      <w:r>
        <w:rPr>
          <w:b/>
          <w:spacing w:val="-7"/>
        </w:rPr>
        <w:t xml:space="preserve"> </w:t>
      </w:r>
      <w:r>
        <w:rPr>
          <w:b/>
        </w:rPr>
        <w:t>FOR</w:t>
      </w:r>
      <w:r>
        <w:rPr>
          <w:b/>
          <w:spacing w:val="-7"/>
        </w:rPr>
        <w:t xml:space="preserve"> </w:t>
      </w:r>
      <w:r>
        <w:rPr>
          <w:b/>
        </w:rPr>
        <w:t>TPDES</w:t>
      </w:r>
      <w:r>
        <w:rPr>
          <w:b/>
          <w:spacing w:val="-7"/>
        </w:rPr>
        <w:t xml:space="preserve"> </w:t>
      </w:r>
      <w:r>
        <w:rPr>
          <w:b/>
        </w:rPr>
        <w:t>or</w:t>
      </w:r>
      <w:r>
        <w:rPr>
          <w:b/>
          <w:spacing w:val="-6"/>
        </w:rPr>
        <w:t xml:space="preserve"> </w:t>
      </w:r>
      <w:r>
        <w:rPr>
          <w:b/>
        </w:rPr>
        <w:t>TLAP</w:t>
      </w:r>
      <w:r>
        <w:rPr>
          <w:b/>
          <w:spacing w:val="-7"/>
        </w:rPr>
        <w:t xml:space="preserve"> </w:t>
      </w:r>
      <w:r>
        <w:rPr>
          <w:b/>
        </w:rPr>
        <w:t xml:space="preserve">NEW/RENEWAL/AMENDMENT </w:t>
      </w:r>
      <w:r>
        <w:rPr>
          <w:b/>
          <w:spacing w:val="-2"/>
        </w:rPr>
        <w:t>APPLICATIONS</w:t>
      </w:r>
    </w:p>
    <w:p w14:paraId="1225C470" w14:textId="077F35F4" w:rsidR="00A8311E" w:rsidRDefault="005A5D0A">
      <w:pPr>
        <w:pStyle w:val="BodyText"/>
        <w:spacing w:before="120"/>
        <w:ind w:left="339"/>
        <w:jc w:val="both"/>
        <w:rPr>
          <w:b/>
        </w:rPr>
      </w:pPr>
      <w:r>
        <w:rPr>
          <w:b/>
        </w:rPr>
        <w:t>INDUSTRIAL</w:t>
      </w:r>
      <w:r>
        <w:rPr>
          <w:b/>
          <w:spacing w:val="-10"/>
        </w:rPr>
        <w:t xml:space="preserve"> </w:t>
      </w:r>
      <w:r>
        <w:rPr>
          <w:b/>
          <w:spacing w:val="-2"/>
        </w:rPr>
        <w:t>WASTEWATER/STORMWATER</w:t>
      </w:r>
    </w:p>
    <w:p w14:paraId="4DEDBB54" w14:textId="77777777" w:rsidR="00A8311E" w:rsidRDefault="005A5D0A">
      <w:pPr>
        <w:spacing w:before="122"/>
        <w:ind w:left="339"/>
      </w:pPr>
      <w:r>
        <w:rPr>
          <w:i/>
        </w:rPr>
        <w:t>The following summary is provided for this pending water quality permit application being reviewed by the Texas Commission on Environmental Quality as required by 30 Texas</w:t>
      </w:r>
      <w:r>
        <w:rPr>
          <w:i/>
          <w:spacing w:val="-3"/>
        </w:rPr>
        <w:t xml:space="preserve"> </w:t>
      </w:r>
      <w:r>
        <w:rPr>
          <w:i/>
        </w:rPr>
        <w:t>Administrative</w:t>
      </w:r>
      <w:r>
        <w:rPr>
          <w:i/>
          <w:spacing w:val="-4"/>
        </w:rPr>
        <w:t xml:space="preserve"> </w:t>
      </w:r>
      <w:r>
        <w:rPr>
          <w:i/>
        </w:rPr>
        <w:t>Code</w:t>
      </w:r>
      <w:r>
        <w:rPr>
          <w:i/>
          <w:spacing w:val="-4"/>
        </w:rPr>
        <w:t xml:space="preserve"> </w:t>
      </w:r>
      <w:r>
        <w:rPr>
          <w:i/>
        </w:rPr>
        <w:t>Chapter</w:t>
      </w:r>
      <w:r>
        <w:rPr>
          <w:i/>
          <w:spacing w:val="-3"/>
        </w:rPr>
        <w:t xml:space="preserve"> </w:t>
      </w:r>
      <w:r>
        <w:rPr>
          <w:i/>
        </w:rPr>
        <w:t>39.</w:t>
      </w:r>
      <w:r>
        <w:rPr>
          <w:i/>
          <w:spacing w:val="40"/>
        </w:rPr>
        <w:t xml:space="preserve"> </w:t>
      </w:r>
      <w:r>
        <w:rPr>
          <w:i/>
        </w:rPr>
        <w:t>The</w:t>
      </w:r>
      <w:r>
        <w:rPr>
          <w:i/>
          <w:spacing w:val="-6"/>
        </w:rPr>
        <w:t xml:space="preserve"> </w:t>
      </w:r>
      <w:r>
        <w:rPr>
          <w:i/>
        </w:rPr>
        <w:t>information</w:t>
      </w:r>
      <w:r>
        <w:rPr>
          <w:i/>
          <w:spacing w:val="-2"/>
        </w:rPr>
        <w:t xml:space="preserve"> </w:t>
      </w:r>
      <w:r>
        <w:rPr>
          <w:i/>
        </w:rPr>
        <w:t>provided</w:t>
      </w:r>
      <w:r>
        <w:rPr>
          <w:i/>
          <w:spacing w:val="-5"/>
        </w:rPr>
        <w:t xml:space="preserve"> </w:t>
      </w:r>
      <w:r>
        <w:rPr>
          <w:i/>
        </w:rPr>
        <w:t>in</w:t>
      </w:r>
      <w:r>
        <w:rPr>
          <w:i/>
          <w:spacing w:val="-2"/>
        </w:rPr>
        <w:t xml:space="preserve"> </w:t>
      </w:r>
      <w:r>
        <w:rPr>
          <w:i/>
        </w:rPr>
        <w:t>this</w:t>
      </w:r>
      <w:r>
        <w:rPr>
          <w:i/>
          <w:spacing w:val="-3"/>
        </w:rPr>
        <w:t xml:space="preserve"> </w:t>
      </w:r>
      <w:r>
        <w:rPr>
          <w:i/>
        </w:rPr>
        <w:t>summary</w:t>
      </w:r>
      <w:r>
        <w:rPr>
          <w:i/>
          <w:spacing w:val="-6"/>
        </w:rPr>
        <w:t xml:space="preserve"> </w:t>
      </w:r>
      <w:r>
        <w:rPr>
          <w:i/>
        </w:rPr>
        <w:t>may change during the technical review of the application and are not federal enforceable representations of the permit application</w:t>
      </w:r>
      <w:r>
        <w:t>.</w:t>
      </w:r>
    </w:p>
    <w:p w14:paraId="343859A9" w14:textId="77777777" w:rsidR="00A8311E" w:rsidRDefault="005A5D0A">
      <w:pPr>
        <w:pStyle w:val="BodyText"/>
        <w:spacing w:before="120"/>
        <w:ind w:left="339"/>
      </w:pPr>
      <w:r>
        <w:t>Hilmar Cheese Company (CN602995342 ) operates Hilmar Cheese Company RN104968912.</w:t>
      </w:r>
      <w:r>
        <w:rPr>
          <w:spacing w:val="-3"/>
        </w:rPr>
        <w:t xml:space="preserve"> </w:t>
      </w:r>
      <w:r>
        <w:t>a</w:t>
      </w:r>
      <w:r>
        <w:rPr>
          <w:spacing w:val="40"/>
        </w:rPr>
        <w:t xml:space="preserve"> </w:t>
      </w:r>
      <w:r>
        <w:t>milk</w:t>
      </w:r>
      <w:r>
        <w:rPr>
          <w:spacing w:val="-5"/>
        </w:rPr>
        <w:t xml:space="preserve"> </w:t>
      </w:r>
      <w:r>
        <w:t>processing</w:t>
      </w:r>
      <w:r>
        <w:rPr>
          <w:spacing w:val="-1"/>
        </w:rPr>
        <w:t xml:space="preserve"> </w:t>
      </w:r>
      <w:r>
        <w:t>plant.</w:t>
      </w:r>
      <w:r>
        <w:rPr>
          <w:spacing w:val="-6"/>
        </w:rPr>
        <w:t xml:space="preserve"> </w:t>
      </w:r>
      <w:r>
        <w:t>The</w:t>
      </w:r>
      <w:r>
        <w:rPr>
          <w:spacing w:val="-4"/>
        </w:rPr>
        <w:t xml:space="preserve"> </w:t>
      </w:r>
      <w:r>
        <w:t>facility</w:t>
      </w:r>
      <w:r>
        <w:rPr>
          <w:spacing w:val="-1"/>
        </w:rPr>
        <w:t xml:space="preserve"> </w:t>
      </w:r>
      <w:r>
        <w:t>is</w:t>
      </w:r>
      <w:r>
        <w:rPr>
          <w:spacing w:val="-3"/>
        </w:rPr>
        <w:t xml:space="preserve"> </w:t>
      </w:r>
      <w:r>
        <w:t>located</w:t>
      </w:r>
      <w:r>
        <w:rPr>
          <w:spacing w:val="-4"/>
        </w:rPr>
        <w:t xml:space="preserve"> </w:t>
      </w:r>
      <w:r>
        <w:t>12400</w:t>
      </w:r>
      <w:r>
        <w:rPr>
          <w:spacing w:val="-2"/>
        </w:rPr>
        <w:t xml:space="preserve"> </w:t>
      </w:r>
      <w:r>
        <w:t>US</w:t>
      </w:r>
      <w:r>
        <w:rPr>
          <w:spacing w:val="-2"/>
        </w:rPr>
        <w:t xml:space="preserve"> </w:t>
      </w:r>
      <w:r>
        <w:t>Hwy</w:t>
      </w:r>
      <w:r>
        <w:rPr>
          <w:spacing w:val="-2"/>
        </w:rPr>
        <w:t xml:space="preserve"> </w:t>
      </w:r>
      <w:r>
        <w:t>385N,</w:t>
      </w:r>
      <w:r>
        <w:rPr>
          <w:spacing w:val="-3"/>
        </w:rPr>
        <w:t xml:space="preserve"> </w:t>
      </w:r>
      <w:r>
        <w:t>in Dalhart, Dallam County, Texas 79022.</w:t>
      </w:r>
    </w:p>
    <w:p w14:paraId="1A388C99" w14:textId="1459FCEE" w:rsidR="00A8311E" w:rsidRDefault="005A5D0A" w:rsidP="003B4BED">
      <w:pPr>
        <w:pStyle w:val="BodyText"/>
        <w:spacing w:before="120"/>
        <w:ind w:left="339" w:right="112"/>
      </w:pPr>
      <w:r>
        <w:t>Applicant requests to amend Texas Land Application Permit (TLAP) No. WQ0004796000 to</w:t>
      </w:r>
      <w:r>
        <w:rPr>
          <w:spacing w:val="-3"/>
        </w:rPr>
        <w:t xml:space="preserve"> </w:t>
      </w:r>
      <w:r>
        <w:t>replace the hydraulic</w:t>
      </w:r>
      <w:r>
        <w:rPr>
          <w:spacing w:val="-1"/>
        </w:rPr>
        <w:t xml:space="preserve"> </w:t>
      </w:r>
      <w:r>
        <w:t>loading rate with the nitrogen</w:t>
      </w:r>
      <w:r>
        <w:rPr>
          <w:spacing w:val="-2"/>
        </w:rPr>
        <w:t xml:space="preserve"> </w:t>
      </w:r>
      <w:r>
        <w:t>loading</w:t>
      </w:r>
      <w:r>
        <w:rPr>
          <w:spacing w:val="-1"/>
        </w:rPr>
        <w:t xml:space="preserve"> </w:t>
      </w:r>
      <w:r>
        <w:t>rate for the permitted crops; to remove the hydraulic loading rate; authorize managing wastewater in accordance with Special Provision Condition V. Part B, Irrigation Requirements, Item 7, which does not authorize the application of wastewater when the ground is frozen or saturated, in lieu of Special Provision Condition V. Part B, Irrigation</w:t>
      </w:r>
      <w:r>
        <w:rPr>
          <w:spacing w:val="-4"/>
        </w:rPr>
        <w:t xml:space="preserve"> </w:t>
      </w:r>
      <w:r>
        <w:t>Requirements,</w:t>
      </w:r>
      <w:r>
        <w:rPr>
          <w:spacing w:val="-4"/>
        </w:rPr>
        <w:t xml:space="preserve"> </w:t>
      </w:r>
      <w:r>
        <w:t>Item</w:t>
      </w:r>
      <w:r>
        <w:rPr>
          <w:spacing w:val="-3"/>
        </w:rPr>
        <w:t xml:space="preserve"> </w:t>
      </w:r>
      <w:r>
        <w:t>6,</w:t>
      </w:r>
      <w:r>
        <w:rPr>
          <w:spacing w:val="-4"/>
        </w:rPr>
        <w:t xml:space="preserve"> </w:t>
      </w:r>
      <w:r>
        <w:t>which</w:t>
      </w:r>
      <w:r>
        <w:rPr>
          <w:spacing w:val="-4"/>
        </w:rPr>
        <w:t xml:space="preserve"> </w:t>
      </w:r>
      <w:r>
        <w:t>does</w:t>
      </w:r>
      <w:r>
        <w:rPr>
          <w:spacing w:val="-4"/>
        </w:rPr>
        <w:t xml:space="preserve"> </w:t>
      </w:r>
      <w:r>
        <w:t>not</w:t>
      </w:r>
      <w:r>
        <w:rPr>
          <w:spacing w:val="-3"/>
        </w:rPr>
        <w:t xml:space="preserve"> </w:t>
      </w:r>
      <w:r>
        <w:t>authorize</w:t>
      </w:r>
      <w:r>
        <w:rPr>
          <w:spacing w:val="-5"/>
        </w:rPr>
        <w:t xml:space="preserve"> </w:t>
      </w:r>
      <w:r>
        <w:t>the</w:t>
      </w:r>
      <w:r>
        <w:rPr>
          <w:spacing w:val="-3"/>
        </w:rPr>
        <w:t xml:space="preserve"> </w:t>
      </w:r>
      <w:r>
        <w:t>wastewater</w:t>
      </w:r>
      <w:r>
        <w:rPr>
          <w:spacing w:val="-2"/>
        </w:rPr>
        <w:t xml:space="preserve"> </w:t>
      </w:r>
      <w:r>
        <w:t>to</w:t>
      </w:r>
      <w:r>
        <w:rPr>
          <w:spacing w:val="-4"/>
        </w:rPr>
        <w:t xml:space="preserve"> </w:t>
      </w:r>
      <w:r>
        <w:t>be</w:t>
      </w:r>
      <w:r>
        <w:rPr>
          <w:spacing w:val="-3"/>
        </w:rPr>
        <w:t xml:space="preserve"> </w:t>
      </w:r>
      <w:r>
        <w:t>applied within twenty-four hours after a measured rainfall of 0.5 inch or greater, or to any zone containing standing water; to revise Special Provision Condition V. Part B, Irrigation Requirements, Item 12, to change the time allowed for prewatering to three months before crop planting; to reduce the irrigated area from 7,289.5 acres to 6,592 acres;</w:t>
      </w:r>
      <w:r>
        <w:rPr>
          <w:spacing w:val="-3"/>
        </w:rPr>
        <w:t xml:space="preserve"> </w:t>
      </w:r>
      <w:r>
        <w:t>and</w:t>
      </w:r>
      <w:r>
        <w:rPr>
          <w:spacing w:val="-2"/>
        </w:rPr>
        <w:t xml:space="preserve"> </w:t>
      </w:r>
      <w:r>
        <w:t>to</w:t>
      </w:r>
      <w:r>
        <w:rPr>
          <w:spacing w:val="-3"/>
        </w:rPr>
        <w:t xml:space="preserve"> </w:t>
      </w:r>
      <w:r>
        <w:t>revise</w:t>
      </w:r>
      <w:r>
        <w:rPr>
          <w:spacing w:val="-2"/>
        </w:rPr>
        <w:t xml:space="preserve"> </w:t>
      </w:r>
      <w:r>
        <w:t>the</w:t>
      </w:r>
      <w:r>
        <w:rPr>
          <w:spacing w:val="-2"/>
        </w:rPr>
        <w:t xml:space="preserve"> </w:t>
      </w:r>
      <w:r>
        <w:t>Agronomic</w:t>
      </w:r>
      <w:r>
        <w:rPr>
          <w:spacing w:val="-2"/>
        </w:rPr>
        <w:t xml:space="preserve"> </w:t>
      </w:r>
      <w:r>
        <w:t>Management</w:t>
      </w:r>
      <w:r>
        <w:rPr>
          <w:spacing w:val="-2"/>
        </w:rPr>
        <w:t xml:space="preserve"> </w:t>
      </w:r>
      <w:r>
        <w:t>Plan</w:t>
      </w:r>
      <w:r>
        <w:rPr>
          <w:spacing w:val="-3"/>
        </w:rPr>
        <w:t xml:space="preserve"> </w:t>
      </w:r>
      <w:r>
        <w:t>to</w:t>
      </w:r>
      <w:r>
        <w:rPr>
          <w:spacing w:val="-3"/>
        </w:rPr>
        <w:t xml:space="preserve"> </w:t>
      </w:r>
      <w:r>
        <w:t>reflect</w:t>
      </w:r>
      <w:r>
        <w:rPr>
          <w:spacing w:val="-2"/>
        </w:rPr>
        <w:t xml:space="preserve"> </w:t>
      </w:r>
      <w:r>
        <w:t>an</w:t>
      </w:r>
      <w:r>
        <w:rPr>
          <w:spacing w:val="-5"/>
        </w:rPr>
        <w:t xml:space="preserve"> </w:t>
      </w:r>
      <w:r>
        <w:t>estimated</w:t>
      </w:r>
      <w:r>
        <w:rPr>
          <w:spacing w:val="-2"/>
        </w:rPr>
        <w:t xml:space="preserve"> </w:t>
      </w:r>
      <w:r>
        <w:t>65%</w:t>
      </w:r>
      <w:r>
        <w:rPr>
          <w:spacing w:val="-2"/>
        </w:rPr>
        <w:t xml:space="preserve"> </w:t>
      </w:r>
      <w:r>
        <w:t>of</w:t>
      </w:r>
      <w:r>
        <w:rPr>
          <w:spacing w:val="-3"/>
        </w:rPr>
        <w:t xml:space="preserve"> </w:t>
      </w:r>
      <w:r>
        <w:t>the total nitrogen is available after volatilization and mineralization; and authorize land application of solids to improve soil structure and water holding capacity as part of the agronomic management plan.</w:t>
      </w:r>
      <w:r>
        <w:rPr>
          <w:spacing w:val="40"/>
        </w:rPr>
        <w:t xml:space="preserve"> </w:t>
      </w:r>
      <w:r>
        <w:t>This permit will not authorize a discharge of pollutants into water in the state.</w:t>
      </w:r>
    </w:p>
    <w:p w14:paraId="0676963D" w14:textId="77777777" w:rsidR="00A8311E" w:rsidRDefault="005A5D0A">
      <w:pPr>
        <w:pStyle w:val="BodyText"/>
        <w:spacing w:before="120"/>
        <w:ind w:left="340" w:right="102"/>
      </w:pPr>
      <w:r>
        <w:t>Discharges from the facility are expected to contain biochemical oxygen demand, chemical oxygen demand, total suspended solids, total dissolved solids, ammonia nitrogen,</w:t>
      </w:r>
      <w:r>
        <w:rPr>
          <w:spacing w:val="-4"/>
        </w:rPr>
        <w:t xml:space="preserve"> </w:t>
      </w:r>
      <w:r>
        <w:t>nitrate</w:t>
      </w:r>
      <w:r>
        <w:rPr>
          <w:spacing w:val="-3"/>
        </w:rPr>
        <w:t xml:space="preserve"> </w:t>
      </w:r>
      <w:r>
        <w:t>nitrogen,</w:t>
      </w:r>
      <w:r>
        <w:rPr>
          <w:spacing w:val="-4"/>
        </w:rPr>
        <w:t xml:space="preserve"> </w:t>
      </w:r>
      <w:r>
        <w:t>phosphorus,</w:t>
      </w:r>
      <w:r>
        <w:rPr>
          <w:spacing w:val="-4"/>
        </w:rPr>
        <w:t xml:space="preserve"> </w:t>
      </w:r>
      <w:r>
        <w:t>oil</w:t>
      </w:r>
      <w:r>
        <w:rPr>
          <w:spacing w:val="-3"/>
        </w:rPr>
        <w:t xml:space="preserve"> </w:t>
      </w:r>
      <w:r>
        <w:t>and</w:t>
      </w:r>
      <w:r>
        <w:rPr>
          <w:spacing w:val="-3"/>
        </w:rPr>
        <w:t xml:space="preserve"> </w:t>
      </w:r>
      <w:r>
        <w:t>grease</w:t>
      </w:r>
      <w:r>
        <w:rPr>
          <w:spacing w:val="-3"/>
        </w:rPr>
        <w:t xml:space="preserve"> </w:t>
      </w:r>
      <w:r>
        <w:t>or</w:t>
      </w:r>
      <w:r>
        <w:rPr>
          <w:spacing w:val="-2"/>
        </w:rPr>
        <w:t xml:space="preserve"> </w:t>
      </w:r>
      <w:r>
        <w:t>pH.</w:t>
      </w:r>
      <w:r>
        <w:rPr>
          <w:spacing w:val="40"/>
        </w:rPr>
        <w:t xml:space="preserve"> </w:t>
      </w:r>
      <w:r>
        <w:t>Processed</w:t>
      </w:r>
      <w:r>
        <w:rPr>
          <w:spacing w:val="-3"/>
        </w:rPr>
        <w:t xml:space="preserve"> </w:t>
      </w:r>
      <w:r>
        <w:t>wastewater</w:t>
      </w:r>
      <w:r>
        <w:rPr>
          <w:spacing w:val="-2"/>
        </w:rPr>
        <w:t xml:space="preserve"> </w:t>
      </w:r>
      <w:r>
        <w:t>is treated by anaerobic digesters, a series of treatment lagoons and wastewater storage ponds prior to land application through center pivot irrigation systems.</w:t>
      </w:r>
    </w:p>
    <w:sectPr w:rsidR="00A8311E">
      <w:pgSz w:w="12240" w:h="15840"/>
      <w:pgMar w:top="1360" w:right="13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73CF2"/>
    <w:multiLevelType w:val="hybridMultilevel"/>
    <w:tmpl w:val="8EFCCB68"/>
    <w:lvl w:ilvl="0" w:tplc="D3BC830C">
      <w:start w:val="1"/>
      <w:numFmt w:val="decimal"/>
      <w:lvlText w:val="%1."/>
      <w:lvlJc w:val="left"/>
      <w:pPr>
        <w:ind w:left="1060" w:hanging="361"/>
        <w:jc w:val="left"/>
      </w:pPr>
      <w:rPr>
        <w:rFonts w:ascii="Lucida Bright" w:eastAsia="Lucida Bright" w:hAnsi="Lucida Bright" w:cs="Lucida Bright" w:hint="default"/>
        <w:b w:val="0"/>
        <w:bCs w:val="0"/>
        <w:i w:val="0"/>
        <w:iCs w:val="0"/>
        <w:w w:val="100"/>
        <w:sz w:val="22"/>
        <w:szCs w:val="22"/>
        <w:lang w:val="en-US" w:eastAsia="en-US" w:bidi="ar-SA"/>
      </w:rPr>
    </w:lvl>
    <w:lvl w:ilvl="1" w:tplc="00A4E220">
      <w:numFmt w:val="bullet"/>
      <w:lvlText w:val="•"/>
      <w:lvlJc w:val="left"/>
      <w:pPr>
        <w:ind w:left="1934" w:hanging="361"/>
      </w:pPr>
      <w:rPr>
        <w:rFonts w:hint="default"/>
        <w:lang w:val="en-US" w:eastAsia="en-US" w:bidi="ar-SA"/>
      </w:rPr>
    </w:lvl>
    <w:lvl w:ilvl="2" w:tplc="65F83BA6">
      <w:numFmt w:val="bullet"/>
      <w:lvlText w:val="•"/>
      <w:lvlJc w:val="left"/>
      <w:pPr>
        <w:ind w:left="2808" w:hanging="361"/>
      </w:pPr>
      <w:rPr>
        <w:rFonts w:hint="default"/>
        <w:lang w:val="en-US" w:eastAsia="en-US" w:bidi="ar-SA"/>
      </w:rPr>
    </w:lvl>
    <w:lvl w:ilvl="3" w:tplc="A85AF5B8">
      <w:numFmt w:val="bullet"/>
      <w:lvlText w:val="•"/>
      <w:lvlJc w:val="left"/>
      <w:pPr>
        <w:ind w:left="3682" w:hanging="361"/>
      </w:pPr>
      <w:rPr>
        <w:rFonts w:hint="default"/>
        <w:lang w:val="en-US" w:eastAsia="en-US" w:bidi="ar-SA"/>
      </w:rPr>
    </w:lvl>
    <w:lvl w:ilvl="4" w:tplc="3FBA0C5C">
      <w:numFmt w:val="bullet"/>
      <w:lvlText w:val="•"/>
      <w:lvlJc w:val="left"/>
      <w:pPr>
        <w:ind w:left="4556" w:hanging="361"/>
      </w:pPr>
      <w:rPr>
        <w:rFonts w:hint="default"/>
        <w:lang w:val="en-US" w:eastAsia="en-US" w:bidi="ar-SA"/>
      </w:rPr>
    </w:lvl>
    <w:lvl w:ilvl="5" w:tplc="7D3E2A88">
      <w:numFmt w:val="bullet"/>
      <w:lvlText w:val="•"/>
      <w:lvlJc w:val="left"/>
      <w:pPr>
        <w:ind w:left="5430" w:hanging="361"/>
      </w:pPr>
      <w:rPr>
        <w:rFonts w:hint="default"/>
        <w:lang w:val="en-US" w:eastAsia="en-US" w:bidi="ar-SA"/>
      </w:rPr>
    </w:lvl>
    <w:lvl w:ilvl="6" w:tplc="1D2A4590">
      <w:numFmt w:val="bullet"/>
      <w:lvlText w:val="•"/>
      <w:lvlJc w:val="left"/>
      <w:pPr>
        <w:ind w:left="6304" w:hanging="361"/>
      </w:pPr>
      <w:rPr>
        <w:rFonts w:hint="default"/>
        <w:lang w:val="en-US" w:eastAsia="en-US" w:bidi="ar-SA"/>
      </w:rPr>
    </w:lvl>
    <w:lvl w:ilvl="7" w:tplc="2AF0810A">
      <w:numFmt w:val="bullet"/>
      <w:lvlText w:val="•"/>
      <w:lvlJc w:val="left"/>
      <w:pPr>
        <w:ind w:left="7178" w:hanging="361"/>
      </w:pPr>
      <w:rPr>
        <w:rFonts w:hint="default"/>
        <w:lang w:val="en-US" w:eastAsia="en-US" w:bidi="ar-SA"/>
      </w:rPr>
    </w:lvl>
    <w:lvl w:ilvl="8" w:tplc="DA3E15CE">
      <w:numFmt w:val="bullet"/>
      <w:lvlText w:val="•"/>
      <w:lvlJc w:val="left"/>
      <w:pPr>
        <w:ind w:left="8052" w:hanging="361"/>
      </w:pPr>
      <w:rPr>
        <w:rFonts w:hint="default"/>
        <w:lang w:val="en-US" w:eastAsia="en-US" w:bidi="ar-SA"/>
      </w:rPr>
    </w:lvl>
  </w:abstractNum>
  <w:abstractNum w:abstractNumId="1" w15:restartNumberingAfterBreak="0">
    <w:nsid w:val="76A5670E"/>
    <w:multiLevelType w:val="hybridMultilevel"/>
    <w:tmpl w:val="B8868FEC"/>
    <w:lvl w:ilvl="0" w:tplc="E940DB66">
      <w:start w:val="3"/>
      <w:numFmt w:val="decimal"/>
      <w:lvlText w:val="%1."/>
      <w:lvlJc w:val="left"/>
      <w:pPr>
        <w:ind w:left="719" w:hanging="661"/>
        <w:jc w:val="right"/>
      </w:pPr>
      <w:rPr>
        <w:rFonts w:hint="default"/>
        <w:w w:val="98"/>
        <w:lang w:val="en-US" w:eastAsia="en-US" w:bidi="ar-SA"/>
      </w:rPr>
    </w:lvl>
    <w:lvl w:ilvl="1" w:tplc="655CED5C">
      <w:numFmt w:val="bullet"/>
      <w:lvlText w:val="•"/>
      <w:lvlJc w:val="left"/>
      <w:pPr>
        <w:ind w:left="1628" w:hanging="661"/>
      </w:pPr>
      <w:rPr>
        <w:rFonts w:hint="default"/>
        <w:lang w:val="en-US" w:eastAsia="en-US" w:bidi="ar-SA"/>
      </w:rPr>
    </w:lvl>
    <w:lvl w:ilvl="2" w:tplc="99C6BA84">
      <w:numFmt w:val="bullet"/>
      <w:lvlText w:val="•"/>
      <w:lvlJc w:val="left"/>
      <w:pPr>
        <w:ind w:left="2536" w:hanging="661"/>
      </w:pPr>
      <w:rPr>
        <w:rFonts w:hint="default"/>
        <w:lang w:val="en-US" w:eastAsia="en-US" w:bidi="ar-SA"/>
      </w:rPr>
    </w:lvl>
    <w:lvl w:ilvl="3" w:tplc="F7E80C00">
      <w:numFmt w:val="bullet"/>
      <w:lvlText w:val="•"/>
      <w:lvlJc w:val="left"/>
      <w:pPr>
        <w:ind w:left="3444" w:hanging="661"/>
      </w:pPr>
      <w:rPr>
        <w:rFonts w:hint="default"/>
        <w:lang w:val="en-US" w:eastAsia="en-US" w:bidi="ar-SA"/>
      </w:rPr>
    </w:lvl>
    <w:lvl w:ilvl="4" w:tplc="C2B40276">
      <w:numFmt w:val="bullet"/>
      <w:lvlText w:val="•"/>
      <w:lvlJc w:val="left"/>
      <w:pPr>
        <w:ind w:left="4352" w:hanging="661"/>
      </w:pPr>
      <w:rPr>
        <w:rFonts w:hint="default"/>
        <w:lang w:val="en-US" w:eastAsia="en-US" w:bidi="ar-SA"/>
      </w:rPr>
    </w:lvl>
    <w:lvl w:ilvl="5" w:tplc="C11258F4">
      <w:numFmt w:val="bullet"/>
      <w:lvlText w:val="•"/>
      <w:lvlJc w:val="left"/>
      <w:pPr>
        <w:ind w:left="5260" w:hanging="661"/>
      </w:pPr>
      <w:rPr>
        <w:rFonts w:hint="default"/>
        <w:lang w:val="en-US" w:eastAsia="en-US" w:bidi="ar-SA"/>
      </w:rPr>
    </w:lvl>
    <w:lvl w:ilvl="6" w:tplc="F9BC6C56">
      <w:numFmt w:val="bullet"/>
      <w:lvlText w:val="•"/>
      <w:lvlJc w:val="left"/>
      <w:pPr>
        <w:ind w:left="6168" w:hanging="661"/>
      </w:pPr>
      <w:rPr>
        <w:rFonts w:hint="default"/>
        <w:lang w:val="en-US" w:eastAsia="en-US" w:bidi="ar-SA"/>
      </w:rPr>
    </w:lvl>
    <w:lvl w:ilvl="7" w:tplc="9A22AEFE">
      <w:numFmt w:val="bullet"/>
      <w:lvlText w:val="•"/>
      <w:lvlJc w:val="left"/>
      <w:pPr>
        <w:ind w:left="7076" w:hanging="661"/>
      </w:pPr>
      <w:rPr>
        <w:rFonts w:hint="default"/>
        <w:lang w:val="en-US" w:eastAsia="en-US" w:bidi="ar-SA"/>
      </w:rPr>
    </w:lvl>
    <w:lvl w:ilvl="8" w:tplc="C81EDD96">
      <w:numFmt w:val="bullet"/>
      <w:lvlText w:val="•"/>
      <w:lvlJc w:val="left"/>
      <w:pPr>
        <w:ind w:left="7984" w:hanging="6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8311E"/>
    <w:rsid w:val="00077E31"/>
    <w:rsid w:val="003B4BED"/>
    <w:rsid w:val="005A5D0A"/>
    <w:rsid w:val="00A8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3B23"/>
  <w15:docId w15:val="{B1D0DF07-A883-4217-B35C-97F4F695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Bright" w:eastAsia="Lucida Bright" w:hAnsi="Lucida Bright" w:cs="Lucida Bright"/>
    </w:rPr>
  </w:style>
  <w:style w:type="paragraph" w:styleId="Heading1">
    <w:name w:val="heading 1"/>
    <w:basedOn w:val="Normal"/>
    <w:uiPriority w:val="9"/>
    <w:qFormat/>
    <w:pPr>
      <w:spacing w:before="101"/>
      <w:ind w:left="340"/>
      <w:outlineLvl w:val="0"/>
    </w:pPr>
    <w:rPr>
      <w:rFonts w:ascii="Verdana" w:eastAsia="Verdana" w:hAnsi="Verdana" w:cs="Verdana"/>
      <w:b/>
      <w:bCs/>
      <w:sz w:val="24"/>
      <w:szCs w:val="24"/>
    </w:rPr>
  </w:style>
  <w:style w:type="paragraph" w:styleId="Heading2">
    <w:name w:val="heading 2"/>
    <w:basedOn w:val="Normal"/>
    <w:uiPriority w:val="9"/>
    <w:unhideWhenUsed/>
    <w:qFormat/>
    <w:pPr>
      <w:ind w:left="880"/>
      <w:outlineLvl w:val="1"/>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1060" w:hanging="361"/>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351</Words>
  <Characters>2002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Shoemaker</dc:creator>
  <cp:lastModifiedBy>Leah Whallon</cp:lastModifiedBy>
  <cp:revision>3</cp:revision>
  <dcterms:created xsi:type="dcterms:W3CDTF">2022-06-06T18:56:00Z</dcterms:created>
  <dcterms:modified xsi:type="dcterms:W3CDTF">2022-06-15T16:18:00Z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Acrobat PDFMaker 15 for Word</vt:lpwstr>
  </property>
  <property fmtid="{D5CDD505-2E9C-101B-9397-08002B2CF9AE}" pid="4" name="LastSaved">
    <vt:filetime>2022-06-06T00:00:00Z</vt:filetime>
  </property>
</Properties>
</file>