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A2FE" w14:textId="77777777" w:rsidR="00F61E45" w:rsidRDefault="004719DB">
      <w:pPr>
        <w:pStyle w:val="BodyText"/>
        <w:spacing w:before="79" w:line="276" w:lineRule="auto"/>
        <w:ind w:left="339" w:right="207"/>
        <w:rPr>
          <w:b/>
        </w:rPr>
      </w:pPr>
      <w:r>
        <w:rPr>
          <w:b/>
        </w:rPr>
        <w:t>PLANTILLA EN ESPAÑOL PARA SOLICITUDES NUEVAS/RENOVACIONES/ENMIENDAS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TPDES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TLAP</w:t>
      </w:r>
    </w:p>
    <w:p w14:paraId="5D49B81F" w14:textId="77777777" w:rsidR="00F61E45" w:rsidRDefault="00F61E45">
      <w:pPr>
        <w:pStyle w:val="BodyText"/>
        <w:spacing w:before="3"/>
        <w:rPr>
          <w:b/>
          <w:sz w:val="25"/>
        </w:rPr>
      </w:pPr>
    </w:p>
    <w:p w14:paraId="702972E6" w14:textId="77777777" w:rsidR="00F61E45" w:rsidRDefault="004719DB">
      <w:pPr>
        <w:pStyle w:val="BodyText"/>
        <w:ind w:left="340"/>
        <w:rPr>
          <w:b/>
        </w:rPr>
      </w:pPr>
      <w:r>
        <w:rPr>
          <w:b/>
        </w:rPr>
        <w:t>AGUAS</w:t>
      </w:r>
      <w:r>
        <w:rPr>
          <w:b/>
          <w:spacing w:val="-13"/>
        </w:rPr>
        <w:t xml:space="preserve"> </w:t>
      </w:r>
      <w:r>
        <w:rPr>
          <w:b/>
        </w:rPr>
        <w:t>RESIDUALES</w:t>
      </w:r>
      <w:r>
        <w:rPr>
          <w:b/>
          <w:spacing w:val="-13"/>
        </w:rPr>
        <w:t xml:space="preserve"> </w:t>
      </w:r>
      <w:r>
        <w:rPr>
          <w:b/>
        </w:rPr>
        <w:t>INDUSTRIALES/AGUAS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PLUVIALES</w:t>
      </w:r>
    </w:p>
    <w:p w14:paraId="0129C224" w14:textId="77777777" w:rsidR="00F61E45" w:rsidRDefault="00F61E45">
      <w:pPr>
        <w:pStyle w:val="BodyText"/>
        <w:spacing w:before="10"/>
        <w:rPr>
          <w:b/>
          <w:sz w:val="28"/>
        </w:rPr>
      </w:pPr>
    </w:p>
    <w:p w14:paraId="3A0997CD" w14:textId="77777777" w:rsidR="00F61E45" w:rsidRDefault="004719DB">
      <w:pPr>
        <w:spacing w:line="276" w:lineRule="auto"/>
        <w:ind w:left="340" w:right="102"/>
      </w:pPr>
      <w:r>
        <w:rPr>
          <w:i/>
        </w:rPr>
        <w:t xml:space="preserve">El </w:t>
      </w:r>
      <w:proofErr w:type="spellStart"/>
      <w:r>
        <w:rPr>
          <w:i/>
        </w:rPr>
        <w:t>siguiente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resumen</w:t>
      </w:r>
      <w:proofErr w:type="spellEnd"/>
      <w:r>
        <w:rPr>
          <w:i/>
        </w:rPr>
        <w:t xml:space="preserve"> se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proporciona</w:t>
      </w:r>
      <w:proofErr w:type="spellEnd"/>
      <w:r>
        <w:rPr>
          <w:i/>
        </w:rPr>
        <w:t xml:space="preserve"> para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solicitud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</w:rPr>
        <w:t>permiso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calidad</w:t>
      </w:r>
      <w:proofErr w:type="spellEnd"/>
      <w:r>
        <w:rPr>
          <w:i/>
        </w:rPr>
        <w:t xml:space="preserve"> del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agua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pendiente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revisada</w:t>
      </w:r>
      <w:proofErr w:type="spellEnd"/>
      <w:r>
        <w:rPr>
          <w:i/>
        </w:rPr>
        <w:t xml:space="preserve"> por la </w:t>
      </w:r>
      <w:proofErr w:type="spellStart"/>
      <w:r>
        <w:rPr>
          <w:i/>
        </w:rPr>
        <w:t>Comisión</w:t>
      </w:r>
      <w:proofErr w:type="spellEnd"/>
      <w:r>
        <w:rPr>
          <w:i/>
        </w:rPr>
        <w:t xml:space="preserve"> de Calidad Ambiental de Texas </w:t>
      </w:r>
      <w:proofErr w:type="spellStart"/>
      <w:r>
        <w:rPr>
          <w:i/>
        </w:rPr>
        <w:t>según</w:t>
      </w:r>
      <w:proofErr w:type="spellEnd"/>
      <w:r>
        <w:rPr>
          <w:i/>
        </w:rPr>
        <w:t xml:space="preserve"> lo </w:t>
      </w:r>
      <w:proofErr w:type="spellStart"/>
      <w:r>
        <w:rPr>
          <w:i/>
        </w:rPr>
        <w:t>requerido</w:t>
      </w:r>
      <w:proofErr w:type="spellEnd"/>
      <w:r>
        <w:rPr>
          <w:i/>
        </w:rPr>
        <w:t xml:space="preserve"> por </w:t>
      </w:r>
      <w:proofErr w:type="spellStart"/>
      <w:r>
        <w:rPr>
          <w:i/>
        </w:rPr>
        <w:t>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Capítulo</w:t>
      </w:r>
      <w:proofErr w:type="spellEnd"/>
      <w:r>
        <w:rPr>
          <w:i/>
        </w:rPr>
        <w:t xml:space="preserve"> 39 del Código </w:t>
      </w:r>
      <w:proofErr w:type="spellStart"/>
      <w:r>
        <w:rPr>
          <w:i/>
        </w:rPr>
        <w:t>Administrativo</w:t>
      </w:r>
      <w:proofErr w:type="spellEnd"/>
      <w:r>
        <w:rPr>
          <w:i/>
        </w:rPr>
        <w:t xml:space="preserve"> de Texas 30. La </w:t>
      </w:r>
      <w:proofErr w:type="spellStart"/>
      <w:r>
        <w:rPr>
          <w:i/>
        </w:rPr>
        <w:t>información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proporcionada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resumen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puede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cambiar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durante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revisión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técnica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solicitud</w:t>
      </w:r>
      <w:proofErr w:type="spellEnd"/>
      <w:r>
        <w:rPr>
          <w:i/>
        </w:rPr>
        <w:t xml:space="preserve"> y no son </w:t>
      </w:r>
      <w:proofErr w:type="spellStart"/>
      <w:r>
        <w:rPr>
          <w:i/>
        </w:rPr>
        <w:t>representaciones</w:t>
      </w:r>
      <w:proofErr w:type="spellEnd"/>
      <w:r>
        <w:rPr>
          <w:i/>
        </w:rPr>
        <w:t xml:space="preserve"> federales </w:t>
      </w:r>
      <w:proofErr w:type="spellStart"/>
      <w:r>
        <w:rPr>
          <w:i/>
        </w:rPr>
        <w:t>exigibles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solicitud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permiso</w:t>
      </w:r>
      <w:proofErr w:type="spellEnd"/>
      <w:r>
        <w:t>.</w:t>
      </w:r>
    </w:p>
    <w:p w14:paraId="1D115A35" w14:textId="77777777" w:rsidR="00F61E45" w:rsidRDefault="00F61E45">
      <w:pPr>
        <w:pStyle w:val="BodyText"/>
        <w:spacing w:before="9"/>
        <w:rPr>
          <w:sz w:val="16"/>
        </w:rPr>
      </w:pPr>
    </w:p>
    <w:p w14:paraId="362DC6BB" w14:textId="77777777" w:rsidR="00F61E45" w:rsidRDefault="004719DB">
      <w:pPr>
        <w:pStyle w:val="BodyText"/>
        <w:spacing w:before="101"/>
        <w:ind w:left="340" w:right="207"/>
      </w:pPr>
      <w:proofErr w:type="spellStart"/>
      <w:r>
        <w:t>Compañía</w:t>
      </w:r>
      <w:proofErr w:type="spellEnd"/>
      <w:r>
        <w:t xml:space="preserve"> de queso Hilmar, Hilmar Cheese Company (CN602995342) opera con </w:t>
      </w:r>
      <w:proofErr w:type="spellStart"/>
      <w:r>
        <w:t>nombre</w:t>
      </w:r>
      <w:proofErr w:type="spellEnd"/>
      <w:r>
        <w:rPr>
          <w:spacing w:val="-5"/>
        </w:rPr>
        <w:t xml:space="preserve"> </w:t>
      </w:r>
      <w:r>
        <w:t>Hilmar</w:t>
      </w:r>
      <w:r>
        <w:rPr>
          <w:spacing w:val="-2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RN104968912.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planta</w:t>
      </w:r>
      <w:r>
        <w:rPr>
          <w:spacing w:val="-3"/>
        </w:rPr>
        <w:t xml:space="preserve"> </w:t>
      </w:r>
      <w:proofErr w:type="spellStart"/>
      <w:r>
        <w:t>procesadora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leche.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12400 US Hwy 385N, </w:t>
      </w:r>
      <w:proofErr w:type="spellStart"/>
      <w:r>
        <w:t>en</w:t>
      </w:r>
      <w:proofErr w:type="spellEnd"/>
      <w:r>
        <w:t xml:space="preserve"> la ciudad de Dalhart, Dallam, Texas 79022.</w:t>
      </w:r>
    </w:p>
    <w:p w14:paraId="152DB5F3" w14:textId="77777777" w:rsidR="00F61E45" w:rsidRDefault="00F61E45">
      <w:pPr>
        <w:pStyle w:val="BodyText"/>
        <w:spacing w:before="8"/>
        <w:rPr>
          <w:sz w:val="23"/>
        </w:rPr>
      </w:pPr>
    </w:p>
    <w:p w14:paraId="523B4FFD" w14:textId="62CCF568" w:rsidR="00F61E45" w:rsidRDefault="004719DB" w:rsidP="004719DB">
      <w:pPr>
        <w:pStyle w:val="BodyText"/>
        <w:ind w:left="340" w:right="128"/>
      </w:pPr>
      <w:proofErr w:type="spellStart"/>
      <w:r>
        <w:t>Petición</w:t>
      </w:r>
      <w:proofErr w:type="spellEnd"/>
      <w:r>
        <w:t xml:space="preserve"> para </w:t>
      </w:r>
      <w:proofErr w:type="spellStart"/>
      <w:r>
        <w:t>enmendar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 tierras de Texas (TLAP) No. WQ0004796000 para </w:t>
      </w:r>
      <w:proofErr w:type="spellStart"/>
      <w:r>
        <w:t>reemplazar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carga </w:t>
      </w:r>
      <w:proofErr w:type="spellStart"/>
      <w:r>
        <w:t>hidráulica</w:t>
      </w:r>
      <w:proofErr w:type="spellEnd"/>
      <w:r>
        <w:t xml:space="preserve"> con la </w:t>
      </w:r>
      <w:proofErr w:type="spellStart"/>
      <w:r>
        <w:t>tasa</w:t>
      </w:r>
      <w:proofErr w:type="spellEnd"/>
      <w:r>
        <w:t xml:space="preserve"> de carga de </w:t>
      </w:r>
      <w:proofErr w:type="spellStart"/>
      <w:r>
        <w:t>nitrógeno</w:t>
      </w:r>
      <w:proofErr w:type="spellEnd"/>
      <w:r>
        <w:t xml:space="preserve"> para los </w:t>
      </w:r>
      <w:proofErr w:type="spellStart"/>
      <w:r>
        <w:t>cultivos</w:t>
      </w:r>
      <w:proofErr w:type="spellEnd"/>
      <w:r>
        <w:t xml:space="preserve"> </w:t>
      </w:r>
      <w:proofErr w:type="spellStart"/>
      <w:r>
        <w:t>permitidos</w:t>
      </w:r>
      <w:proofErr w:type="spellEnd"/>
      <w:r>
        <w:t xml:space="preserve">; para </w:t>
      </w:r>
      <w:proofErr w:type="spellStart"/>
      <w:r>
        <w:t>eliminar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carga </w:t>
      </w:r>
      <w:proofErr w:type="spellStart"/>
      <w:r>
        <w:t>hidráulica</w:t>
      </w:r>
      <w:proofErr w:type="spellEnd"/>
      <w:r>
        <w:t xml:space="preserve">; para </w:t>
      </w:r>
      <w:proofErr w:type="spellStart"/>
      <w:r>
        <w:t>autorizar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Disposición</w:t>
      </w:r>
      <w:proofErr w:type="spellEnd"/>
      <w:r>
        <w:t xml:space="preserve"> Especial </w:t>
      </w:r>
      <w:proofErr w:type="spellStart"/>
      <w:r>
        <w:t>Condición</w:t>
      </w:r>
      <w:proofErr w:type="spellEnd"/>
      <w:r>
        <w:t xml:space="preserve"> V.</w:t>
      </w:r>
      <w:r>
        <w:rPr>
          <w:spacing w:val="80"/>
        </w:rPr>
        <w:t xml:space="preserve"> </w:t>
      </w:r>
      <w:proofErr w:type="spellStart"/>
      <w:r>
        <w:t>Parte</w:t>
      </w:r>
      <w:proofErr w:type="spellEnd"/>
      <w:r>
        <w:t xml:space="preserve"> B,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Irrigación</w:t>
      </w:r>
      <w:proofErr w:type="spellEnd"/>
      <w:r>
        <w:t xml:space="preserve">, Punto 7, que no </w:t>
      </w:r>
      <w:proofErr w:type="spellStart"/>
      <w:r>
        <w:t>autoriza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congelado</w:t>
      </w:r>
      <w:proofErr w:type="spellEnd"/>
      <w:r>
        <w:t xml:space="preserve"> o </w:t>
      </w:r>
      <w:proofErr w:type="spellStart"/>
      <w:r>
        <w:t>saturado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Disposición</w:t>
      </w:r>
      <w:proofErr w:type="spellEnd"/>
      <w:r>
        <w:t xml:space="preserve"> Especial </w:t>
      </w:r>
      <w:proofErr w:type="spellStart"/>
      <w:r>
        <w:t>Condición</w:t>
      </w:r>
      <w:proofErr w:type="spellEnd"/>
      <w:r>
        <w:t xml:space="preserve"> V. </w:t>
      </w:r>
      <w:proofErr w:type="spellStart"/>
      <w:r>
        <w:t>Parte</w:t>
      </w:r>
      <w:proofErr w:type="spellEnd"/>
      <w:r>
        <w:t xml:space="preserve"> B,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irrigación</w:t>
      </w:r>
      <w:proofErr w:type="spellEnd"/>
      <w:r>
        <w:t xml:space="preserve"> , </w:t>
      </w:r>
      <w:proofErr w:type="spellStart"/>
      <w:r>
        <w:t>Artículo</w:t>
      </w:r>
      <w:proofErr w:type="spellEnd"/>
      <w:r>
        <w:t xml:space="preserve"> 6, que no </w:t>
      </w:r>
      <w:proofErr w:type="spellStart"/>
      <w:r>
        <w:t>autoriza</w:t>
      </w:r>
      <w:proofErr w:type="spellEnd"/>
      <w:r>
        <w:t xml:space="preserve"> que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se </w:t>
      </w:r>
      <w:proofErr w:type="spellStart"/>
      <w:r>
        <w:t>apliquen</w:t>
      </w:r>
      <w:proofErr w:type="spellEnd"/>
      <w:r>
        <w:t xml:space="preserve"> dentro de las </w:t>
      </w:r>
      <w:proofErr w:type="spellStart"/>
      <w:r>
        <w:t>veinticuatro</w:t>
      </w:r>
      <w:proofErr w:type="spellEnd"/>
      <w:r>
        <w:t xml:space="preserve"> horas </w:t>
      </w:r>
      <w:proofErr w:type="spellStart"/>
      <w:r>
        <w:t>posteriores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proofErr w:type="spellStart"/>
      <w:r>
        <w:t>lluvia</w:t>
      </w:r>
      <w:proofErr w:type="spellEnd"/>
      <w:r>
        <w:rPr>
          <w:spacing w:val="-2"/>
        </w:rPr>
        <w:t xml:space="preserve"> </w:t>
      </w:r>
      <w:proofErr w:type="spellStart"/>
      <w:r>
        <w:t>medida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0.5</w:t>
      </w:r>
      <w:r>
        <w:rPr>
          <w:spacing w:val="-2"/>
        </w:rPr>
        <w:t xml:space="preserve"> </w:t>
      </w:r>
      <w:proofErr w:type="spellStart"/>
      <w:r>
        <w:t>pulgadas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más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cualquier</w:t>
      </w:r>
      <w:proofErr w:type="spellEnd"/>
      <w:r>
        <w:rPr>
          <w:spacing w:val="-1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contenga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estancada</w:t>
      </w:r>
      <w:proofErr w:type="spellEnd"/>
      <w:r>
        <w:t xml:space="preserve">; </w:t>
      </w:r>
      <w:proofErr w:type="spellStart"/>
      <w:r>
        <w:t>revisar</w:t>
      </w:r>
      <w:proofErr w:type="spellEnd"/>
      <w:r>
        <w:t xml:space="preserve"> la </w:t>
      </w:r>
      <w:proofErr w:type="spellStart"/>
      <w:r>
        <w:t>Condición</w:t>
      </w:r>
      <w:proofErr w:type="spellEnd"/>
      <w:r>
        <w:t xml:space="preserve"> de la </w:t>
      </w:r>
      <w:proofErr w:type="spellStart"/>
      <w:r>
        <w:t>Disposición</w:t>
      </w:r>
      <w:proofErr w:type="spellEnd"/>
      <w:r>
        <w:t xml:space="preserve"> Especial V. </w:t>
      </w:r>
      <w:proofErr w:type="spellStart"/>
      <w:r>
        <w:t>Parte</w:t>
      </w:r>
      <w:proofErr w:type="spellEnd"/>
      <w:r>
        <w:t xml:space="preserve"> B, </w:t>
      </w:r>
      <w:proofErr w:type="spellStart"/>
      <w:r>
        <w:t>Requisitos</w:t>
      </w:r>
      <w:proofErr w:type="spellEnd"/>
      <w:r>
        <w:rPr>
          <w:spacing w:val="40"/>
        </w:rPr>
        <w:t xml:space="preserve"> </w:t>
      </w:r>
      <w:r>
        <w:t xml:space="preserve">de </w:t>
      </w:r>
      <w:proofErr w:type="spellStart"/>
      <w:r>
        <w:t>riego</w:t>
      </w:r>
      <w:proofErr w:type="spellEnd"/>
      <w:r>
        <w:t xml:space="preserve">, Punto 12, para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riego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a </w:t>
      </w:r>
      <w:proofErr w:type="spellStart"/>
      <w:r>
        <w:t>tres</w:t>
      </w:r>
      <w:proofErr w:type="spellEnd"/>
      <w:r>
        <w:t xml:space="preserve"> meses antes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siembra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cultivo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reducir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proofErr w:type="spellStart"/>
      <w:r>
        <w:t>área</w:t>
      </w:r>
      <w:proofErr w:type="spellEnd"/>
      <w:r>
        <w:rPr>
          <w:spacing w:val="-2"/>
        </w:rPr>
        <w:t xml:space="preserve"> </w:t>
      </w:r>
      <w:proofErr w:type="spellStart"/>
      <w:r>
        <w:t>irrigada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7,289.5</w:t>
      </w:r>
      <w:r>
        <w:rPr>
          <w:spacing w:val="-5"/>
        </w:rPr>
        <w:t xml:space="preserve"> </w:t>
      </w:r>
      <w:r>
        <w:t>acres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6,592</w:t>
      </w:r>
      <w:r>
        <w:rPr>
          <w:spacing w:val="-2"/>
        </w:rPr>
        <w:t xml:space="preserve"> </w:t>
      </w:r>
      <w:r>
        <w:t xml:space="preserve">acres; y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manejo</w:t>
      </w:r>
      <w:proofErr w:type="spellEnd"/>
      <w:r>
        <w:t xml:space="preserve"> </w:t>
      </w:r>
      <w:proofErr w:type="spellStart"/>
      <w:r>
        <w:t>agronómico</w:t>
      </w:r>
      <w:proofErr w:type="spellEnd"/>
      <w:r>
        <w:t xml:space="preserve"> para que </w:t>
      </w:r>
      <w:proofErr w:type="spellStart"/>
      <w:r>
        <w:t>refleje</w:t>
      </w:r>
      <w:proofErr w:type="spellEnd"/>
      <w:r>
        <w:t xml:space="preserve"> </w:t>
      </w:r>
      <w:proofErr w:type="spellStart"/>
      <w:r>
        <w:t>estimado</w:t>
      </w:r>
      <w:proofErr w:type="spellEnd"/>
      <w:r>
        <w:t xml:space="preserve"> del 65% del </w:t>
      </w:r>
      <w:proofErr w:type="spellStart"/>
      <w:r>
        <w:t>nitrógeno</w:t>
      </w:r>
      <w:proofErr w:type="spellEnd"/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disponible</w:t>
      </w:r>
      <w:r>
        <w:rPr>
          <w:spacing w:val="-1"/>
        </w:rPr>
        <w:t xml:space="preserve"> </w:t>
      </w:r>
      <w:proofErr w:type="spellStart"/>
      <w:r>
        <w:t>después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volatilización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mineralización</w:t>
      </w:r>
      <w:proofErr w:type="spellEnd"/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autorizar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sólidos</w:t>
      </w:r>
      <w:proofErr w:type="spellEnd"/>
      <w:r>
        <w:t xml:space="preserve"> a la tierra para </w:t>
      </w:r>
      <w:proofErr w:type="spellStart"/>
      <w:r>
        <w:t>mejorar</w:t>
      </w:r>
      <w:proofErr w:type="spellEnd"/>
      <w:r>
        <w:rPr>
          <w:spacing w:val="-1"/>
        </w:rPr>
        <w:t xml:space="preserve"> </w:t>
      </w:r>
      <w:r>
        <w:t xml:space="preserve">la </w:t>
      </w:r>
      <w:proofErr w:type="spellStart"/>
      <w:r>
        <w:t>estructura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rPr>
          <w:spacing w:val="-1"/>
        </w:rPr>
        <w:t xml:space="preserve"> </w:t>
      </w:r>
      <w:r>
        <w:t xml:space="preserve">y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plan de </w:t>
      </w:r>
      <w:proofErr w:type="spellStart"/>
      <w:r>
        <w:t>manejo</w:t>
      </w:r>
      <w:proofErr w:type="spellEnd"/>
      <w:r>
        <w:t xml:space="preserve"> </w:t>
      </w:r>
      <w:proofErr w:type="spellStart"/>
      <w:r>
        <w:t>agronómico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Este </w:t>
      </w:r>
      <w:proofErr w:type="spellStart"/>
      <w:r>
        <w:t>permiso</w:t>
      </w:r>
      <w:proofErr w:type="spellEnd"/>
      <w:r>
        <w:t xml:space="preserve"> no </w:t>
      </w:r>
      <w:proofErr w:type="spellStart"/>
      <w:r>
        <w:t>autorizará</w:t>
      </w:r>
      <w:proofErr w:type="spellEnd"/>
      <w:r>
        <w:t xml:space="preserve"> un </w:t>
      </w:r>
      <w:proofErr w:type="spellStart"/>
      <w:r>
        <w:t>desecho</w:t>
      </w:r>
      <w:proofErr w:type="spellEnd"/>
      <w:r>
        <w:t xml:space="preserve"> de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>.</w:t>
      </w:r>
    </w:p>
    <w:p w14:paraId="48787001" w14:textId="77777777" w:rsidR="00F61E45" w:rsidRDefault="00F61E45">
      <w:pPr>
        <w:pStyle w:val="BodyText"/>
        <w:spacing w:before="5"/>
        <w:rPr>
          <w:sz w:val="21"/>
        </w:rPr>
      </w:pPr>
    </w:p>
    <w:p w14:paraId="4F6DC110" w14:textId="77777777" w:rsidR="00F61E45" w:rsidRDefault="004719DB">
      <w:pPr>
        <w:pStyle w:val="BodyText"/>
        <w:ind w:left="340" w:right="77"/>
      </w:pPr>
      <w:r>
        <w:t xml:space="preserve">Los </w:t>
      </w:r>
      <w:proofErr w:type="spellStart"/>
      <w:r>
        <w:t>desechos</w:t>
      </w:r>
      <w:proofErr w:type="spellEnd"/>
      <w:r>
        <w:rPr>
          <w:spacing w:val="40"/>
        </w:rPr>
        <w:t xml:space="preserve"> </w:t>
      </w:r>
      <w:r>
        <w:t xml:space="preserve">de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bioquímica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química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,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,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disueltos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,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amoniacal</w:t>
      </w:r>
      <w:proofErr w:type="spellEnd"/>
      <w:r>
        <w:t xml:space="preserve">,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nítrico</w:t>
      </w:r>
      <w:proofErr w:type="spellEnd"/>
      <w:r>
        <w:t xml:space="preserve">, </w:t>
      </w:r>
      <w:proofErr w:type="spellStart"/>
      <w:r>
        <w:t>fósforo</w:t>
      </w:r>
      <w:proofErr w:type="spellEnd"/>
      <w:r>
        <w:t xml:space="preserve">, </w:t>
      </w:r>
      <w:proofErr w:type="spellStart"/>
      <w:r>
        <w:t>aceite</w:t>
      </w:r>
      <w:proofErr w:type="spellEnd"/>
      <w:r>
        <w:t xml:space="preserve"> y </w:t>
      </w:r>
      <w:proofErr w:type="spellStart"/>
      <w:r>
        <w:t>grasa</w:t>
      </w:r>
      <w:proofErr w:type="spellEnd"/>
      <w:r>
        <w:t xml:space="preserve"> o </w:t>
      </w:r>
      <w:proofErr w:type="spellStart"/>
      <w:r>
        <w:t>pH.</w:t>
      </w:r>
      <w:proofErr w:type="spellEnd"/>
      <w:r>
        <w:t xml:space="preserve">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procesadas</w:t>
      </w:r>
      <w:proofErr w:type="spellEnd"/>
      <w:r>
        <w:t xml:space="preserve"> son </w:t>
      </w:r>
      <w:proofErr w:type="spellStart"/>
      <w:r>
        <w:t>tratadas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digestores</w:t>
      </w:r>
      <w:proofErr w:type="spellEnd"/>
      <w:r>
        <w:rPr>
          <w:spacing w:val="-4"/>
        </w:rPr>
        <w:t xml:space="preserve"> </w:t>
      </w:r>
      <w:proofErr w:type="spellStart"/>
      <w:r>
        <w:t>anaeróbicos</w:t>
      </w:r>
      <w:proofErr w:type="spellEnd"/>
      <w:r>
        <w:t>,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proofErr w:type="spellStart"/>
      <w:r>
        <w:t>serie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métodos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tratamiento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lagunas y </w:t>
      </w:r>
      <w:proofErr w:type="spellStart"/>
      <w:r>
        <w:t>estanques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al </w:t>
      </w:r>
      <w:proofErr w:type="spellStart"/>
      <w:r>
        <w:t>suelo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irrigación</w:t>
      </w:r>
      <w:proofErr w:type="spellEnd"/>
      <w:r>
        <w:rPr>
          <w:spacing w:val="40"/>
        </w:rPr>
        <w:t xml:space="preserve"> </w:t>
      </w:r>
      <w:r>
        <w:t xml:space="preserve">de </w:t>
      </w:r>
      <w:proofErr w:type="spellStart"/>
      <w:r>
        <w:t>pivote</w:t>
      </w:r>
      <w:proofErr w:type="spellEnd"/>
      <w:r>
        <w:t xml:space="preserve"> central.</w:t>
      </w:r>
    </w:p>
    <w:sectPr w:rsidR="00F61E45">
      <w:pgSz w:w="12240" w:h="15840"/>
      <w:pgMar w:top="1360" w:right="13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D01"/>
    <w:multiLevelType w:val="hybridMultilevel"/>
    <w:tmpl w:val="1C0EB68A"/>
    <w:lvl w:ilvl="0" w:tplc="54D27506">
      <w:start w:val="3"/>
      <w:numFmt w:val="decimal"/>
      <w:lvlText w:val="%1."/>
      <w:lvlJc w:val="left"/>
      <w:pPr>
        <w:ind w:left="719" w:hanging="661"/>
        <w:jc w:val="right"/>
      </w:pPr>
      <w:rPr>
        <w:rFonts w:hint="default"/>
        <w:w w:val="98"/>
        <w:lang w:val="en-US" w:eastAsia="en-US" w:bidi="ar-SA"/>
      </w:rPr>
    </w:lvl>
    <w:lvl w:ilvl="1" w:tplc="D63A1D70">
      <w:numFmt w:val="bullet"/>
      <w:lvlText w:val="•"/>
      <w:lvlJc w:val="left"/>
      <w:pPr>
        <w:ind w:left="1628" w:hanging="661"/>
      </w:pPr>
      <w:rPr>
        <w:rFonts w:hint="default"/>
        <w:lang w:val="en-US" w:eastAsia="en-US" w:bidi="ar-SA"/>
      </w:rPr>
    </w:lvl>
    <w:lvl w:ilvl="2" w:tplc="D4B22CAA">
      <w:numFmt w:val="bullet"/>
      <w:lvlText w:val="•"/>
      <w:lvlJc w:val="left"/>
      <w:pPr>
        <w:ind w:left="2536" w:hanging="661"/>
      </w:pPr>
      <w:rPr>
        <w:rFonts w:hint="default"/>
        <w:lang w:val="en-US" w:eastAsia="en-US" w:bidi="ar-SA"/>
      </w:rPr>
    </w:lvl>
    <w:lvl w:ilvl="3" w:tplc="EC7C118A">
      <w:numFmt w:val="bullet"/>
      <w:lvlText w:val="•"/>
      <w:lvlJc w:val="left"/>
      <w:pPr>
        <w:ind w:left="3444" w:hanging="661"/>
      </w:pPr>
      <w:rPr>
        <w:rFonts w:hint="default"/>
        <w:lang w:val="en-US" w:eastAsia="en-US" w:bidi="ar-SA"/>
      </w:rPr>
    </w:lvl>
    <w:lvl w:ilvl="4" w:tplc="2982C904">
      <w:numFmt w:val="bullet"/>
      <w:lvlText w:val="•"/>
      <w:lvlJc w:val="left"/>
      <w:pPr>
        <w:ind w:left="4352" w:hanging="661"/>
      </w:pPr>
      <w:rPr>
        <w:rFonts w:hint="default"/>
        <w:lang w:val="en-US" w:eastAsia="en-US" w:bidi="ar-SA"/>
      </w:rPr>
    </w:lvl>
    <w:lvl w:ilvl="5" w:tplc="12523736">
      <w:numFmt w:val="bullet"/>
      <w:lvlText w:val="•"/>
      <w:lvlJc w:val="left"/>
      <w:pPr>
        <w:ind w:left="5260" w:hanging="661"/>
      </w:pPr>
      <w:rPr>
        <w:rFonts w:hint="default"/>
        <w:lang w:val="en-US" w:eastAsia="en-US" w:bidi="ar-SA"/>
      </w:rPr>
    </w:lvl>
    <w:lvl w:ilvl="6" w:tplc="789C9B10">
      <w:numFmt w:val="bullet"/>
      <w:lvlText w:val="•"/>
      <w:lvlJc w:val="left"/>
      <w:pPr>
        <w:ind w:left="6168" w:hanging="661"/>
      </w:pPr>
      <w:rPr>
        <w:rFonts w:hint="default"/>
        <w:lang w:val="en-US" w:eastAsia="en-US" w:bidi="ar-SA"/>
      </w:rPr>
    </w:lvl>
    <w:lvl w:ilvl="7" w:tplc="509A7AFA">
      <w:numFmt w:val="bullet"/>
      <w:lvlText w:val="•"/>
      <w:lvlJc w:val="left"/>
      <w:pPr>
        <w:ind w:left="7076" w:hanging="661"/>
      </w:pPr>
      <w:rPr>
        <w:rFonts w:hint="default"/>
        <w:lang w:val="en-US" w:eastAsia="en-US" w:bidi="ar-SA"/>
      </w:rPr>
    </w:lvl>
    <w:lvl w:ilvl="8" w:tplc="2A6CC902">
      <w:numFmt w:val="bullet"/>
      <w:lvlText w:val="•"/>
      <w:lvlJc w:val="left"/>
      <w:pPr>
        <w:ind w:left="7984" w:hanging="661"/>
      </w:pPr>
      <w:rPr>
        <w:rFonts w:hint="default"/>
        <w:lang w:val="en-US" w:eastAsia="en-US" w:bidi="ar-SA"/>
      </w:rPr>
    </w:lvl>
  </w:abstractNum>
  <w:abstractNum w:abstractNumId="1" w15:restartNumberingAfterBreak="0">
    <w:nsid w:val="40EA105E"/>
    <w:multiLevelType w:val="hybridMultilevel"/>
    <w:tmpl w:val="1A9C5104"/>
    <w:lvl w:ilvl="0" w:tplc="76563382">
      <w:start w:val="1"/>
      <w:numFmt w:val="decimal"/>
      <w:lvlText w:val="%1."/>
      <w:lvlJc w:val="left"/>
      <w:pPr>
        <w:ind w:left="1060" w:hanging="361"/>
        <w:jc w:val="left"/>
      </w:pPr>
      <w:rPr>
        <w:rFonts w:ascii="Lucida Bright" w:eastAsia="Lucida Bright" w:hAnsi="Lucida Bright" w:cs="Lucida Br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50991E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ar-SA"/>
      </w:rPr>
    </w:lvl>
    <w:lvl w:ilvl="2" w:tplc="7C44ADA8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914A3566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EA86AA04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5" w:tplc="D04A5D62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FA08C5E0">
      <w:numFmt w:val="bullet"/>
      <w:lvlText w:val="•"/>
      <w:lvlJc w:val="left"/>
      <w:pPr>
        <w:ind w:left="6304" w:hanging="361"/>
      </w:pPr>
      <w:rPr>
        <w:rFonts w:hint="default"/>
        <w:lang w:val="en-US" w:eastAsia="en-US" w:bidi="ar-SA"/>
      </w:rPr>
    </w:lvl>
    <w:lvl w:ilvl="7" w:tplc="B3EC0378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ar-SA"/>
      </w:rPr>
    </w:lvl>
    <w:lvl w:ilvl="8" w:tplc="942CCE46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E45"/>
    <w:rsid w:val="004719DB"/>
    <w:rsid w:val="00981382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2618"/>
  <w15:docId w15:val="{32169045-B423-47E0-9169-B815D51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</w:rPr>
  </w:style>
  <w:style w:type="paragraph" w:styleId="Heading1">
    <w:name w:val="heading 1"/>
    <w:basedOn w:val="Normal"/>
    <w:uiPriority w:val="9"/>
    <w:qFormat/>
    <w:pPr>
      <w:spacing w:before="101"/>
      <w:ind w:left="34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06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2280</Characters>
  <Application>Microsoft Office Word</Application>
  <DocSecurity>8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Shoemaker</dc:creator>
  <cp:lastModifiedBy>Leah Whallon</cp:lastModifiedBy>
  <cp:revision>3</cp:revision>
  <dcterms:created xsi:type="dcterms:W3CDTF">2022-06-06T19:14:00Z</dcterms:created>
  <dcterms:modified xsi:type="dcterms:W3CDTF">2022-06-15T16:19:00Z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2022-06-06T00:00:00Z</vt:filetime>
  </property>
</Properties>
</file>