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9BAA" w14:textId="77777777" w:rsidR="000E0860" w:rsidRDefault="00722BE9">
      <w:pPr>
        <w:spacing w:before="70" w:line="254" w:lineRule="exact"/>
        <w:ind w:left="140"/>
        <w:rPr>
          <w:b/>
        </w:rPr>
      </w:pPr>
      <w:r>
        <w:rPr>
          <w:b/>
        </w:rPr>
        <w:t>PLAIN</w:t>
      </w:r>
      <w:r>
        <w:rPr>
          <w:b/>
          <w:spacing w:val="-6"/>
        </w:rPr>
        <w:t xml:space="preserve"> </w:t>
      </w:r>
      <w:r>
        <w:rPr>
          <w:b/>
        </w:rPr>
        <w:t>LANGUAGE</w:t>
      </w:r>
      <w:r>
        <w:rPr>
          <w:b/>
          <w:spacing w:val="-6"/>
        </w:rPr>
        <w:t xml:space="preserve"> </w:t>
      </w:r>
      <w:r>
        <w:rPr>
          <w:b/>
          <w:spacing w:val="-2"/>
        </w:rPr>
        <w:t>SUMMARY</w:t>
      </w:r>
    </w:p>
    <w:p w14:paraId="764284C6" w14:textId="77777777" w:rsidR="000E0860" w:rsidRDefault="00722BE9">
      <w:pPr>
        <w:spacing w:line="250" w:lineRule="exact"/>
        <w:ind w:left="140"/>
        <w:rPr>
          <w:b/>
        </w:rPr>
      </w:pPr>
      <w:r>
        <w:rPr>
          <w:b/>
        </w:rPr>
        <w:t>INDIVIDUAL</w:t>
      </w:r>
      <w:r>
        <w:rPr>
          <w:b/>
          <w:spacing w:val="-11"/>
        </w:rPr>
        <w:t xml:space="preserve"> </w:t>
      </w:r>
      <w:r>
        <w:rPr>
          <w:b/>
        </w:rPr>
        <w:t>INDUSTRIAL</w:t>
      </w:r>
      <w:r>
        <w:rPr>
          <w:b/>
          <w:spacing w:val="-8"/>
        </w:rPr>
        <w:t xml:space="preserve"> </w:t>
      </w:r>
      <w:r>
        <w:rPr>
          <w:b/>
        </w:rPr>
        <w:t>WASTEWATER</w:t>
      </w:r>
      <w:r>
        <w:rPr>
          <w:b/>
          <w:spacing w:val="-9"/>
        </w:rPr>
        <w:t xml:space="preserve"> </w:t>
      </w:r>
      <w:r>
        <w:rPr>
          <w:b/>
          <w:spacing w:val="-2"/>
        </w:rPr>
        <w:t>APPLICATION</w:t>
      </w:r>
    </w:p>
    <w:p w14:paraId="70EC8CB9" w14:textId="77777777" w:rsidR="000E0860" w:rsidRDefault="00722BE9">
      <w:pPr>
        <w:spacing w:before="2" w:line="232" w:lineRule="auto"/>
        <w:ind w:left="140" w:right="191"/>
      </w:pPr>
      <w:r>
        <w:rPr>
          <w:i/>
        </w:rPr>
        <w:t xml:space="preserve">The following summary is </w:t>
      </w:r>
      <w:proofErr w:type="gramStart"/>
      <w:r>
        <w:rPr>
          <w:i/>
        </w:rPr>
        <w:t>provided</w:t>
      </w:r>
      <w:proofErr w:type="gramEnd"/>
      <w:r>
        <w:rPr>
          <w:i/>
        </w:rPr>
        <w:t xml:space="preserve"> for this pending water quality permit application being reviewed by the Texas Commission on Environmental Quality as required by 30 Texas Administrative Code Chapter 39.</w:t>
      </w:r>
      <w:r>
        <w:rPr>
          <w:i/>
          <w:spacing w:val="40"/>
        </w:rPr>
        <w:t xml:space="preserve"> </w:t>
      </w:r>
      <w:r>
        <w:rPr>
          <w:i/>
        </w:rPr>
        <w:t>The information provided in this summary may change during</w:t>
      </w:r>
      <w:r>
        <w:rPr>
          <w:i/>
          <w:spacing w:val="-4"/>
        </w:rPr>
        <w:t xml:space="preserve"> </w:t>
      </w:r>
      <w:r>
        <w:rPr>
          <w:i/>
        </w:rPr>
        <w:t>the</w:t>
      </w:r>
      <w:r>
        <w:rPr>
          <w:i/>
          <w:spacing w:val="-4"/>
        </w:rPr>
        <w:t xml:space="preserve"> </w:t>
      </w:r>
      <w:r>
        <w:rPr>
          <w:i/>
        </w:rPr>
        <w:t>technical</w:t>
      </w:r>
      <w:r>
        <w:rPr>
          <w:i/>
          <w:spacing w:val="-3"/>
        </w:rPr>
        <w:t xml:space="preserve"> </w:t>
      </w:r>
      <w:r>
        <w:rPr>
          <w:i/>
        </w:rPr>
        <w:t>review</w:t>
      </w:r>
      <w:r>
        <w:rPr>
          <w:i/>
          <w:spacing w:val="-5"/>
        </w:rPr>
        <w:t xml:space="preserve"> </w:t>
      </w:r>
      <w:r>
        <w:rPr>
          <w:i/>
        </w:rPr>
        <w:t>of</w:t>
      </w:r>
      <w:r>
        <w:rPr>
          <w:i/>
          <w:spacing w:val="-5"/>
        </w:rPr>
        <w:t xml:space="preserve"> </w:t>
      </w:r>
      <w:r>
        <w:rPr>
          <w:i/>
        </w:rPr>
        <w:t>the</w:t>
      </w:r>
      <w:r>
        <w:rPr>
          <w:i/>
          <w:spacing w:val="-5"/>
        </w:rPr>
        <w:t xml:space="preserve"> </w:t>
      </w:r>
      <w:r>
        <w:rPr>
          <w:i/>
        </w:rPr>
        <w:t>application</w:t>
      </w:r>
      <w:r>
        <w:rPr>
          <w:i/>
          <w:spacing w:val="-6"/>
        </w:rPr>
        <w:t xml:space="preserve"> </w:t>
      </w:r>
      <w:r>
        <w:rPr>
          <w:i/>
        </w:rPr>
        <w:t>and</w:t>
      </w:r>
      <w:r>
        <w:rPr>
          <w:i/>
          <w:spacing w:val="-3"/>
        </w:rPr>
        <w:t xml:space="preserve"> </w:t>
      </w:r>
      <w:r>
        <w:rPr>
          <w:i/>
        </w:rPr>
        <w:t>are</w:t>
      </w:r>
      <w:r>
        <w:rPr>
          <w:i/>
          <w:spacing w:val="-2"/>
        </w:rPr>
        <w:t xml:space="preserve"> </w:t>
      </w:r>
      <w:r>
        <w:rPr>
          <w:i/>
        </w:rPr>
        <w:t>not</w:t>
      </w:r>
      <w:r>
        <w:rPr>
          <w:i/>
          <w:spacing w:val="-2"/>
        </w:rPr>
        <w:t xml:space="preserve"> </w:t>
      </w:r>
      <w:r>
        <w:rPr>
          <w:i/>
        </w:rPr>
        <w:t>federal</w:t>
      </w:r>
      <w:r>
        <w:rPr>
          <w:i/>
          <w:spacing w:val="-5"/>
        </w:rPr>
        <w:t xml:space="preserve"> </w:t>
      </w:r>
      <w:r>
        <w:rPr>
          <w:i/>
        </w:rPr>
        <w:t>enforceable</w:t>
      </w:r>
      <w:r>
        <w:rPr>
          <w:i/>
          <w:spacing w:val="-2"/>
        </w:rPr>
        <w:t xml:space="preserve"> </w:t>
      </w:r>
      <w:r>
        <w:rPr>
          <w:i/>
        </w:rPr>
        <w:t>representations of the permit application</w:t>
      </w:r>
      <w:r>
        <w:t>.</w:t>
      </w:r>
    </w:p>
    <w:p w14:paraId="3DDF8B85" w14:textId="77777777" w:rsidR="000E0860" w:rsidRDefault="000E0860">
      <w:pPr>
        <w:pStyle w:val="BodyText"/>
        <w:spacing w:before="1"/>
        <w:ind w:left="0"/>
        <w:rPr>
          <w:sz w:val="31"/>
        </w:rPr>
      </w:pPr>
    </w:p>
    <w:p w14:paraId="43F83FF6" w14:textId="77777777" w:rsidR="000E0860" w:rsidRDefault="00722BE9">
      <w:pPr>
        <w:pStyle w:val="BodyText"/>
        <w:spacing w:line="232" w:lineRule="auto"/>
        <w:ind w:right="191"/>
      </w:pPr>
      <w:r>
        <w:t xml:space="preserve">Constellation Handley Power, LLC (Constellation) (CN </w:t>
      </w:r>
      <w:proofErr w:type="gramStart"/>
      <w:r>
        <w:t>605469162 )</w:t>
      </w:r>
      <w:proofErr w:type="gramEnd"/>
      <w:r>
        <w:t xml:space="preserve"> operates Handley Generating</w:t>
      </w:r>
      <w:r>
        <w:rPr>
          <w:spacing w:val="-1"/>
        </w:rPr>
        <w:t xml:space="preserve"> </w:t>
      </w:r>
      <w:r>
        <w:t>Station (Handley or Station) (RN 102336906),</w:t>
      </w:r>
      <w:r>
        <w:rPr>
          <w:spacing w:val="-1"/>
        </w:rPr>
        <w:t xml:space="preserve"> </w:t>
      </w:r>
      <w:r>
        <w:t>a three-unit gas-fired, steam electric generating</w:t>
      </w:r>
      <w:r>
        <w:rPr>
          <w:spacing w:val="-2"/>
        </w:rPr>
        <w:t xml:space="preserve"> </w:t>
      </w:r>
      <w:r>
        <w:t>facility.</w:t>
      </w:r>
      <w:r>
        <w:rPr>
          <w:spacing w:val="-4"/>
        </w:rPr>
        <w:t xml:space="preserve"> </w:t>
      </w:r>
      <w:r>
        <w:t>The</w:t>
      </w:r>
      <w:r>
        <w:rPr>
          <w:spacing w:val="-3"/>
        </w:rPr>
        <w:t xml:space="preserve"> </w:t>
      </w:r>
      <w:r>
        <w:t>facility</w:t>
      </w:r>
      <w:r>
        <w:rPr>
          <w:spacing w:val="-2"/>
        </w:rPr>
        <w:t xml:space="preserve"> </w:t>
      </w:r>
      <w:r>
        <w:t>is</w:t>
      </w:r>
      <w:r>
        <w:rPr>
          <w:spacing w:val="-4"/>
        </w:rPr>
        <w:t xml:space="preserve"> </w:t>
      </w:r>
      <w:proofErr w:type="gramStart"/>
      <w:r>
        <w:t>located</w:t>
      </w:r>
      <w:proofErr w:type="gramEnd"/>
      <w:r>
        <w:rPr>
          <w:spacing w:val="-3"/>
        </w:rPr>
        <w:t xml:space="preserve"> </w:t>
      </w:r>
      <w:r>
        <w:t>on</w:t>
      </w:r>
      <w:r>
        <w:rPr>
          <w:spacing w:val="-5"/>
        </w:rPr>
        <w:t xml:space="preserve"> </w:t>
      </w:r>
      <w:r>
        <w:t>the</w:t>
      </w:r>
      <w:r>
        <w:rPr>
          <w:spacing w:val="-2"/>
        </w:rPr>
        <w:t xml:space="preserve"> </w:t>
      </w:r>
      <w:r>
        <w:t>northwest</w:t>
      </w:r>
      <w:r>
        <w:rPr>
          <w:spacing w:val="-3"/>
        </w:rPr>
        <w:t xml:space="preserve"> </w:t>
      </w:r>
      <w:r>
        <w:t>shore</w:t>
      </w:r>
      <w:r>
        <w:rPr>
          <w:spacing w:val="-3"/>
        </w:rPr>
        <w:t xml:space="preserve"> </w:t>
      </w:r>
      <w:r>
        <w:t>of</w:t>
      </w:r>
      <w:r>
        <w:rPr>
          <w:spacing w:val="-4"/>
        </w:rPr>
        <w:t xml:space="preserve"> </w:t>
      </w:r>
      <w:r>
        <w:t>Lake</w:t>
      </w:r>
      <w:r>
        <w:rPr>
          <w:spacing w:val="-3"/>
        </w:rPr>
        <w:t xml:space="preserve"> </w:t>
      </w:r>
      <w:r>
        <w:t>Arlington,</w:t>
      </w:r>
      <w:r>
        <w:rPr>
          <w:spacing w:val="-4"/>
        </w:rPr>
        <w:t xml:space="preserve"> </w:t>
      </w:r>
      <w:r>
        <w:t>6604</w:t>
      </w:r>
      <w:r>
        <w:rPr>
          <w:spacing w:val="-5"/>
        </w:rPr>
        <w:t xml:space="preserve"> </w:t>
      </w:r>
      <w:r>
        <w:t>East Rosedale Street, in Fort Worth, Tarrant County, Texas 76112.</w:t>
      </w:r>
    </w:p>
    <w:p w14:paraId="25BAA79F" w14:textId="77777777" w:rsidR="000E0860" w:rsidRDefault="00722BE9">
      <w:pPr>
        <w:pStyle w:val="BodyText"/>
        <w:spacing w:before="115" w:line="232" w:lineRule="auto"/>
        <w:ind w:right="191"/>
      </w:pPr>
      <w:r>
        <w:t xml:space="preserve">This application </w:t>
      </w:r>
      <w:proofErr w:type="gramStart"/>
      <w:r>
        <w:t>provides</w:t>
      </w:r>
      <w:proofErr w:type="gramEnd"/>
      <w:r>
        <w:t xml:space="preserve"> information in support of a major amendment to address the free available chlorine loading limit in the current permit. The loading limit was miscalculated in the 2017 draft permit. As instructed by the Texas Commission on Environmental Quality (TCEQ) in its response to comments on the draft permit, Constellation has </w:t>
      </w:r>
      <w:proofErr w:type="gramStart"/>
      <w:r>
        <w:t>submitted</w:t>
      </w:r>
      <w:proofErr w:type="gramEnd"/>
      <w:r>
        <w:t xml:space="preserve"> this application for a major amendment to seek a correction in this mass loading limit; the corrected limit would be 463 </w:t>
      </w:r>
      <w:proofErr w:type="spellStart"/>
      <w:r>
        <w:t>lbs</w:t>
      </w:r>
      <w:proofErr w:type="spellEnd"/>
      <w:r>
        <w:t xml:space="preserve">/day (daily average) and 1,156 </w:t>
      </w:r>
      <w:proofErr w:type="spellStart"/>
      <w:r>
        <w:t>lbs</w:t>
      </w:r>
      <w:proofErr w:type="spellEnd"/>
      <w:r>
        <w:t>/day (maximum). This permit authorizes the discharge of pollutants into water in the state in compliance with applicable</w:t>
      </w:r>
      <w:r>
        <w:rPr>
          <w:spacing w:val="-1"/>
        </w:rPr>
        <w:t xml:space="preserve"> </w:t>
      </w:r>
      <w:r>
        <w:t>laws</w:t>
      </w:r>
      <w:r>
        <w:rPr>
          <w:spacing w:val="-3"/>
        </w:rPr>
        <w:t xml:space="preserve"> </w:t>
      </w:r>
      <w:r>
        <w:t>and</w:t>
      </w:r>
      <w:r>
        <w:rPr>
          <w:spacing w:val="-5"/>
        </w:rPr>
        <w:t xml:space="preserve"> </w:t>
      </w:r>
      <w:r>
        <w:t>regulations.</w:t>
      </w:r>
      <w:r>
        <w:rPr>
          <w:spacing w:val="40"/>
        </w:rPr>
        <w:t xml:space="preserve"> </w:t>
      </w:r>
      <w:r>
        <w:t>Due</w:t>
      </w:r>
      <w:r>
        <w:rPr>
          <w:spacing w:val="-2"/>
        </w:rPr>
        <w:t xml:space="preserve"> </w:t>
      </w:r>
      <w:r>
        <w:t>to</w:t>
      </w:r>
      <w:r>
        <w:rPr>
          <w:spacing w:val="-3"/>
        </w:rPr>
        <w:t xml:space="preserve"> </w:t>
      </w:r>
      <w:r>
        <w:t>changes</w:t>
      </w:r>
      <w:r>
        <w:rPr>
          <w:spacing w:val="-3"/>
        </w:rPr>
        <w:t xml:space="preserve"> </w:t>
      </w:r>
      <w:r>
        <w:t>that</w:t>
      </w:r>
      <w:r>
        <w:rPr>
          <w:spacing w:val="-2"/>
        </w:rPr>
        <w:t xml:space="preserve"> </w:t>
      </w:r>
      <w:r>
        <w:t>have</w:t>
      </w:r>
      <w:r>
        <w:rPr>
          <w:spacing w:val="-3"/>
        </w:rPr>
        <w:t xml:space="preserve"> </w:t>
      </w:r>
      <w:r>
        <w:t>occurred</w:t>
      </w:r>
      <w:r>
        <w:rPr>
          <w:spacing w:val="-2"/>
        </w:rPr>
        <w:t xml:space="preserve"> </w:t>
      </w:r>
      <w:r>
        <w:t>since</w:t>
      </w:r>
      <w:r>
        <w:rPr>
          <w:spacing w:val="-2"/>
        </w:rPr>
        <w:t xml:space="preserve"> </w:t>
      </w:r>
      <w:r>
        <w:t>the</w:t>
      </w:r>
      <w:r>
        <w:rPr>
          <w:spacing w:val="-4"/>
        </w:rPr>
        <w:t xml:space="preserve"> </w:t>
      </w:r>
      <w:r>
        <w:t>current</w:t>
      </w:r>
      <w:r>
        <w:rPr>
          <w:spacing w:val="-2"/>
        </w:rPr>
        <w:t xml:space="preserve"> </w:t>
      </w:r>
      <w:r>
        <w:t xml:space="preserve">permit was issued and as shown in the application for the major amendment, Constellation is also </w:t>
      </w:r>
      <w:proofErr w:type="gramStart"/>
      <w:r>
        <w:t>seeking</w:t>
      </w:r>
      <w:proofErr w:type="gramEnd"/>
      <w:r>
        <w:t xml:space="preserve"> to update certain information on the name of the owner/operator and facility to reflect current corporate records and the names of Station personnel with responsibilities regarding this permit.</w:t>
      </w:r>
    </w:p>
    <w:p w14:paraId="04BD3DC8" w14:textId="77777777" w:rsidR="000E0860" w:rsidRDefault="00722BE9">
      <w:pPr>
        <w:pStyle w:val="BodyText"/>
        <w:spacing w:before="111" w:line="232" w:lineRule="auto"/>
        <w:ind w:right="243"/>
      </w:pPr>
      <w:r>
        <w:t>Handley collects, treats, and discharges wastewater via two outfalls. Outfall 001 consists of once-through</w:t>
      </w:r>
      <w:r>
        <w:rPr>
          <w:spacing w:val="-5"/>
        </w:rPr>
        <w:t xml:space="preserve"> </w:t>
      </w:r>
      <w:r>
        <w:t>cooling</w:t>
      </w:r>
      <w:r>
        <w:rPr>
          <w:spacing w:val="-4"/>
        </w:rPr>
        <w:t xml:space="preserve"> </w:t>
      </w:r>
      <w:r>
        <w:t>water</w:t>
      </w:r>
      <w:r>
        <w:rPr>
          <w:spacing w:val="-1"/>
        </w:rPr>
        <w:t xml:space="preserve"> </w:t>
      </w:r>
      <w:r>
        <w:t>and</w:t>
      </w:r>
      <w:r>
        <w:rPr>
          <w:spacing w:val="-2"/>
        </w:rPr>
        <w:t xml:space="preserve"> </w:t>
      </w:r>
      <w:r>
        <w:t>previously</w:t>
      </w:r>
      <w:r>
        <w:rPr>
          <w:spacing w:val="-4"/>
        </w:rPr>
        <w:t xml:space="preserve"> </w:t>
      </w:r>
      <w:proofErr w:type="gramStart"/>
      <w:r>
        <w:t>monitored</w:t>
      </w:r>
      <w:proofErr w:type="gramEnd"/>
      <w:r>
        <w:rPr>
          <w:spacing w:val="-5"/>
        </w:rPr>
        <w:t xml:space="preserve"> </w:t>
      </w:r>
      <w:r>
        <w:t>effluents</w:t>
      </w:r>
      <w:r>
        <w:rPr>
          <w:spacing w:val="-4"/>
        </w:rPr>
        <w:t xml:space="preserve"> </w:t>
      </w:r>
      <w:r>
        <w:t>which</w:t>
      </w:r>
      <w:r>
        <w:rPr>
          <w:spacing w:val="-3"/>
        </w:rPr>
        <w:t xml:space="preserve"> </w:t>
      </w:r>
      <w:r>
        <w:t>are</w:t>
      </w:r>
      <w:r>
        <w:rPr>
          <w:spacing w:val="-2"/>
        </w:rPr>
        <w:t xml:space="preserve"> </w:t>
      </w:r>
      <w:r>
        <w:t>discharged</w:t>
      </w:r>
      <w:r>
        <w:rPr>
          <w:spacing w:val="-2"/>
        </w:rPr>
        <w:t xml:space="preserve"> </w:t>
      </w:r>
      <w:r>
        <w:t>to</w:t>
      </w:r>
      <w:r>
        <w:rPr>
          <w:spacing w:val="-6"/>
        </w:rPr>
        <w:t xml:space="preserve"> </w:t>
      </w:r>
      <w:r>
        <w:t xml:space="preserve">Lake Arlington via the Discharge Canal. Outfall 201 consists of multiple locations discharging to Lake Arlington via the Intake and Discharge Canals and is </w:t>
      </w:r>
      <w:proofErr w:type="gramStart"/>
      <w:r>
        <w:t>comprised</w:t>
      </w:r>
      <w:proofErr w:type="gramEnd"/>
      <w:r>
        <w:t xml:space="preserve"> of low-volume wastes, auxiliary cooling water, and stormwater runoff.</w:t>
      </w:r>
    </w:p>
    <w:p w14:paraId="6AF7CBEA" w14:textId="77777777" w:rsidR="000E0860" w:rsidRDefault="000E0860">
      <w:pPr>
        <w:pStyle w:val="BodyText"/>
        <w:spacing w:before="11"/>
        <w:ind w:left="0"/>
        <w:rPr>
          <w:sz w:val="20"/>
        </w:rPr>
      </w:pPr>
    </w:p>
    <w:p w14:paraId="3F56BAEE" w14:textId="77777777" w:rsidR="000E0860" w:rsidRDefault="00722BE9">
      <w:pPr>
        <w:pStyle w:val="BodyText"/>
        <w:spacing w:line="232" w:lineRule="auto"/>
        <w:ind w:right="157"/>
      </w:pPr>
      <w:r>
        <w:t>Both Outfall 001 and Outfall 201 are subject to federal effluent limitation guidelines at 40 CFR Part 423. Consistent with 40 CFR Part 423, Handley’s permit includes limits on: free available chlorine, total residual chlorine, total suspended solids, oil &amp; grease, pH, and temperature.</w:t>
      </w:r>
      <w:r>
        <w:rPr>
          <w:spacing w:val="-4"/>
        </w:rPr>
        <w:t xml:space="preserve"> </w:t>
      </w:r>
      <w:proofErr w:type="gramStart"/>
      <w:r>
        <w:t>Additional</w:t>
      </w:r>
      <w:proofErr w:type="gramEnd"/>
      <w:r>
        <w:rPr>
          <w:spacing w:val="-2"/>
        </w:rPr>
        <w:t xml:space="preserve"> </w:t>
      </w:r>
      <w:r>
        <w:t>information</w:t>
      </w:r>
      <w:r>
        <w:rPr>
          <w:spacing w:val="-4"/>
        </w:rPr>
        <w:t xml:space="preserve"> </w:t>
      </w:r>
      <w:r>
        <w:t>on</w:t>
      </w:r>
      <w:r>
        <w:rPr>
          <w:spacing w:val="-3"/>
        </w:rPr>
        <w:t xml:space="preserve"> </w:t>
      </w:r>
      <w:r>
        <w:t>potential</w:t>
      </w:r>
      <w:r>
        <w:rPr>
          <w:spacing w:val="-2"/>
        </w:rPr>
        <w:t xml:space="preserve"> </w:t>
      </w:r>
      <w:r>
        <w:t>pollutants</w:t>
      </w:r>
      <w:r>
        <w:rPr>
          <w:spacing w:val="-4"/>
        </w:rPr>
        <w:t xml:space="preserve"> </w:t>
      </w:r>
      <w:r>
        <w:t>can</w:t>
      </w:r>
      <w:r>
        <w:rPr>
          <w:spacing w:val="-3"/>
        </w:rPr>
        <w:t xml:space="preserve"> </w:t>
      </w:r>
      <w:r>
        <w:t>be</w:t>
      </w:r>
      <w:r>
        <w:rPr>
          <w:spacing w:val="-5"/>
        </w:rPr>
        <w:t xml:space="preserve"> </w:t>
      </w:r>
      <w:r>
        <w:t>found</w:t>
      </w:r>
      <w:r>
        <w:rPr>
          <w:spacing w:val="-4"/>
        </w:rPr>
        <w:t xml:space="preserve"> </w:t>
      </w:r>
      <w:r>
        <w:t>in</w:t>
      </w:r>
      <w:r>
        <w:rPr>
          <w:spacing w:val="-4"/>
        </w:rPr>
        <w:t xml:space="preserve"> </w:t>
      </w:r>
      <w:r>
        <w:t>Worksheet</w:t>
      </w:r>
      <w:r>
        <w:rPr>
          <w:spacing w:val="-3"/>
        </w:rPr>
        <w:t xml:space="preserve"> </w:t>
      </w:r>
      <w:r>
        <w:t>2.0</w:t>
      </w:r>
      <w:r>
        <w:rPr>
          <w:spacing w:val="-3"/>
        </w:rPr>
        <w:t xml:space="preserve"> </w:t>
      </w:r>
      <w:r>
        <w:t>of the Industrial Wastewater Application Technical Report submitted to TCEQ in March of 2020 as part of Constellation’s permit renewal application.</w:t>
      </w:r>
    </w:p>
    <w:p w14:paraId="7D4E1E17" w14:textId="77777777" w:rsidR="000E0860" w:rsidRDefault="000E0860">
      <w:pPr>
        <w:pStyle w:val="BodyText"/>
        <w:spacing w:before="10"/>
        <w:ind w:left="0"/>
        <w:rPr>
          <w:sz w:val="20"/>
        </w:rPr>
      </w:pPr>
    </w:p>
    <w:p w14:paraId="71426DFE" w14:textId="3B811125" w:rsidR="000E0860" w:rsidRDefault="00722BE9" w:rsidP="00722BE9">
      <w:pPr>
        <w:pStyle w:val="BodyText"/>
        <w:spacing w:line="232" w:lineRule="auto"/>
        <w:ind w:right="191"/>
      </w:pPr>
      <w:proofErr w:type="gramStart"/>
      <w:r>
        <w:t>Cooling water is supplied by Lake Arlington</w:t>
      </w:r>
      <w:proofErr w:type="gramEnd"/>
      <w:r>
        <w:t>. Fort Worth Municipal Water supplies the facilities’</w:t>
      </w:r>
      <w:r>
        <w:rPr>
          <w:spacing w:val="-2"/>
        </w:rPr>
        <w:t xml:space="preserve"> </w:t>
      </w:r>
      <w:r>
        <w:t>potable</w:t>
      </w:r>
      <w:r>
        <w:rPr>
          <w:spacing w:val="-3"/>
        </w:rPr>
        <w:t xml:space="preserve"> </w:t>
      </w:r>
      <w:r>
        <w:t>water and</w:t>
      </w:r>
      <w:r>
        <w:rPr>
          <w:spacing w:val="-1"/>
        </w:rPr>
        <w:t xml:space="preserve"> </w:t>
      </w:r>
      <w:r>
        <w:t>boiler</w:t>
      </w:r>
      <w:r>
        <w:rPr>
          <w:spacing w:val="-2"/>
        </w:rPr>
        <w:t xml:space="preserve"> </w:t>
      </w:r>
      <w:r>
        <w:t>make-up</w:t>
      </w:r>
      <w:r>
        <w:rPr>
          <w:spacing w:val="-3"/>
        </w:rPr>
        <w:t xml:space="preserve"> </w:t>
      </w:r>
      <w:r>
        <w:t>water.</w:t>
      </w:r>
      <w:r>
        <w:rPr>
          <w:spacing w:val="-2"/>
        </w:rPr>
        <w:t xml:space="preserve"> </w:t>
      </w:r>
      <w:r>
        <w:t>Water from</w:t>
      </w:r>
      <w:r>
        <w:rPr>
          <w:spacing w:val="-1"/>
        </w:rPr>
        <w:t xml:space="preserve"> </w:t>
      </w:r>
      <w:r>
        <w:t>Lake</w:t>
      </w:r>
      <w:r>
        <w:rPr>
          <w:spacing w:val="-1"/>
        </w:rPr>
        <w:t xml:space="preserve"> </w:t>
      </w:r>
      <w:r>
        <w:t>Arlington</w:t>
      </w:r>
      <w:r>
        <w:rPr>
          <w:spacing w:val="-2"/>
        </w:rPr>
        <w:t xml:space="preserve"> </w:t>
      </w:r>
      <w:r>
        <w:t>is</w:t>
      </w:r>
      <w:r>
        <w:rPr>
          <w:spacing w:val="-2"/>
        </w:rPr>
        <w:t xml:space="preserve"> </w:t>
      </w:r>
      <w:r>
        <w:t>withdrawn</w:t>
      </w:r>
      <w:r>
        <w:rPr>
          <w:spacing w:val="-2"/>
        </w:rPr>
        <w:t xml:space="preserve"> </w:t>
      </w:r>
      <w:r>
        <w:t xml:space="preserve">at the intake structure and treated with sodium hypochlorite and </w:t>
      </w:r>
      <w:proofErr w:type="spellStart"/>
      <w:r>
        <w:t>Spectrus</w:t>
      </w:r>
      <w:proofErr w:type="spellEnd"/>
      <w:r>
        <w:t xml:space="preserve"> CT 1300 to prevent biofouling and then passes through condensers and auxiliary equipment on a once-through basis to cool equipment and condense exhaust steam. Low volume wastewater from boiler blowdown from Unit 3 receives no treatment prior to discharge via Outfall 201. Low volume wastewater from boiler blowdown for Units 4 and 5 first passes through the neutralization basin (used for pH adjustment and heat dissipation) prior to discharge via Outfall 201. The oil/water</w:t>
      </w:r>
      <w:r>
        <w:rPr>
          <w:spacing w:val="-4"/>
        </w:rPr>
        <w:t xml:space="preserve"> </w:t>
      </w:r>
      <w:r>
        <w:t>separator</w:t>
      </w:r>
      <w:r>
        <w:rPr>
          <w:spacing w:val="-2"/>
        </w:rPr>
        <w:t xml:space="preserve"> </w:t>
      </w:r>
      <w:r>
        <w:t>discharges</w:t>
      </w:r>
      <w:r>
        <w:rPr>
          <w:spacing w:val="-4"/>
        </w:rPr>
        <w:t xml:space="preserve"> </w:t>
      </w:r>
      <w:r>
        <w:t>via</w:t>
      </w:r>
      <w:r>
        <w:rPr>
          <w:spacing w:val="-3"/>
        </w:rPr>
        <w:t xml:space="preserve"> </w:t>
      </w:r>
      <w:r>
        <w:t>Outfall</w:t>
      </w:r>
      <w:r>
        <w:rPr>
          <w:spacing w:val="-3"/>
        </w:rPr>
        <w:t xml:space="preserve"> </w:t>
      </w:r>
      <w:r>
        <w:t>201.</w:t>
      </w:r>
      <w:r>
        <w:rPr>
          <w:spacing w:val="-4"/>
        </w:rPr>
        <w:t xml:space="preserve"> </w:t>
      </w:r>
      <w:r>
        <w:t>Floor</w:t>
      </w:r>
      <w:r>
        <w:rPr>
          <w:spacing w:val="-2"/>
        </w:rPr>
        <w:t xml:space="preserve"> </w:t>
      </w:r>
      <w:r>
        <w:t>drains</w:t>
      </w:r>
      <w:r>
        <w:rPr>
          <w:spacing w:val="-4"/>
        </w:rPr>
        <w:t xml:space="preserve"> </w:t>
      </w:r>
      <w:r>
        <w:t>and</w:t>
      </w:r>
      <w:r>
        <w:rPr>
          <w:spacing w:val="-3"/>
        </w:rPr>
        <w:t xml:space="preserve"> </w:t>
      </w:r>
      <w:r>
        <w:t>sumps,</w:t>
      </w:r>
      <w:r>
        <w:rPr>
          <w:spacing w:val="-4"/>
        </w:rPr>
        <w:t xml:space="preserve"> </w:t>
      </w:r>
      <w:r>
        <w:t>as</w:t>
      </w:r>
      <w:r>
        <w:rPr>
          <w:spacing w:val="-4"/>
        </w:rPr>
        <w:t xml:space="preserve"> </w:t>
      </w:r>
      <w:r>
        <w:t>well</w:t>
      </w:r>
      <w:r>
        <w:rPr>
          <w:spacing w:val="-5"/>
        </w:rPr>
        <w:t xml:space="preserve"> </w:t>
      </w:r>
      <w:r>
        <w:t>as</w:t>
      </w:r>
      <w:r>
        <w:rPr>
          <w:spacing w:val="-3"/>
        </w:rPr>
        <w:t xml:space="preserve"> </w:t>
      </w:r>
      <w:r>
        <w:t xml:space="preserve">stormwater drains, are </w:t>
      </w:r>
      <w:proofErr w:type="gramStart"/>
      <w:r>
        <w:t>located</w:t>
      </w:r>
      <w:proofErr w:type="gramEnd"/>
      <w:r>
        <w:rPr>
          <w:spacing w:val="-1"/>
        </w:rPr>
        <w:t xml:space="preserve"> </w:t>
      </w:r>
      <w:r>
        <w:t>throughout the facility and discharge to both Outfall 001 and Outfall 201. Domestic wastewater is discharged to Village Creek Wastewater Treatment Plant, an off-site POTW (WQ0010494013), for treatment and disposal.</w:t>
      </w:r>
    </w:p>
    <w:sectPr w:rsidR="000E0860" w:rsidSect="00722BE9">
      <w:footerReference w:type="default" r:id="rId6"/>
      <w:pgSz w:w="12240" w:h="15840"/>
      <w:pgMar w:top="640" w:right="940" w:bottom="880" w:left="94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3374" w14:textId="77777777" w:rsidR="005F05C8" w:rsidRDefault="00722BE9">
      <w:r>
        <w:separator/>
      </w:r>
    </w:p>
  </w:endnote>
  <w:endnote w:type="continuationSeparator" w:id="0">
    <w:p w14:paraId="064D6A5B" w14:textId="77777777" w:rsidR="005F05C8" w:rsidRDefault="0072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1A9B" w14:textId="49B62431" w:rsidR="000E0860" w:rsidRDefault="000E086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B0DC" w14:textId="77777777" w:rsidR="005F05C8" w:rsidRDefault="00722BE9">
      <w:r>
        <w:separator/>
      </w:r>
    </w:p>
  </w:footnote>
  <w:footnote w:type="continuationSeparator" w:id="0">
    <w:p w14:paraId="7965C2FB" w14:textId="77777777" w:rsidR="005F05C8" w:rsidRDefault="00722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E0860"/>
    <w:rsid w:val="000E0860"/>
    <w:rsid w:val="005F05C8"/>
    <w:rsid w:val="00722BE9"/>
    <w:rsid w:val="00D1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0EA4"/>
  <w15:docId w15:val="{44A7D5A4-E363-4445-9D75-654E43E3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Bright" w:eastAsia="Lucida Bright" w:hAnsi="Lucida Bright"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2BE9"/>
    <w:pPr>
      <w:tabs>
        <w:tab w:val="center" w:pos="4680"/>
        <w:tab w:val="right" w:pos="9360"/>
      </w:tabs>
    </w:pPr>
  </w:style>
  <w:style w:type="character" w:customStyle="1" w:styleId="HeaderChar">
    <w:name w:val="Header Char"/>
    <w:basedOn w:val="DefaultParagraphFont"/>
    <w:link w:val="Header"/>
    <w:uiPriority w:val="99"/>
    <w:rsid w:val="00722BE9"/>
    <w:rPr>
      <w:rFonts w:ascii="Lucida Bright" w:eastAsia="Lucida Bright" w:hAnsi="Lucida Bright" w:cs="Lucida Bright"/>
    </w:rPr>
  </w:style>
  <w:style w:type="paragraph" w:styleId="Footer">
    <w:name w:val="footer"/>
    <w:basedOn w:val="Normal"/>
    <w:link w:val="FooterChar"/>
    <w:uiPriority w:val="99"/>
    <w:unhideWhenUsed/>
    <w:rsid w:val="00722BE9"/>
    <w:pPr>
      <w:tabs>
        <w:tab w:val="center" w:pos="4680"/>
        <w:tab w:val="right" w:pos="9360"/>
      </w:tabs>
    </w:pPr>
  </w:style>
  <w:style w:type="character" w:customStyle="1" w:styleId="FooterChar">
    <w:name w:val="Footer Char"/>
    <w:basedOn w:val="DefaultParagraphFont"/>
    <w:link w:val="Footer"/>
    <w:uiPriority w:val="99"/>
    <w:rsid w:val="00722BE9"/>
    <w:rPr>
      <w:rFonts w:ascii="Lucida Bright" w:eastAsia="Lucida Bright" w:hAnsi="Lucida Bright"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3201</Characters>
  <Application>Microsoft Office Word</Application>
  <DocSecurity>8</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Plain Language Summary Transmittal Letter_20220511v1</dc:title>
  <dc:creator>estapleton</dc:creator>
  <cp:lastModifiedBy>Leah Whallon</cp:lastModifiedBy>
  <cp:revision>3</cp:revision>
  <dcterms:created xsi:type="dcterms:W3CDTF">2022-06-07T14:04:00Z</dcterms:created>
  <dcterms:modified xsi:type="dcterms:W3CDTF">2022-06-08T18:29:00Z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Nuance PDF Create</vt:lpwstr>
  </property>
  <property fmtid="{D5CDD505-2E9C-101B-9397-08002B2CF9AE}" pid="4" name="LastSaved">
    <vt:filetime>2022-06-07T00:00:00Z</vt:filetime>
  </property>
</Properties>
</file>