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place">
        <w:smartTag w:uri="urn:schemas-microsoft-com:office:smarttags" w:element="Stat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3E2DADFC"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7E37E3" w:rsidRPr="006F7D34">
        <w:rPr>
          <w:rFonts w:asciiTheme="minorHAnsi" w:hAnsiTheme="minorHAnsi"/>
          <w:b/>
          <w:sz w:val="22"/>
        </w:rPr>
        <w:t>WQ00</w:t>
      </w:r>
      <w:r w:rsidR="00755247">
        <w:rPr>
          <w:rFonts w:asciiTheme="minorHAnsi" w:hAnsiTheme="minorHAnsi"/>
          <w:b/>
          <w:sz w:val="22"/>
        </w:rPr>
        <w:t>11832001</w:t>
      </w:r>
    </w:p>
    <w:p w14:paraId="50B5AEEB" w14:textId="77777777" w:rsidR="008B108E" w:rsidRPr="006F7D34" w:rsidRDefault="008B108E">
      <w:pPr>
        <w:widowControl w:val="0"/>
        <w:rPr>
          <w:rFonts w:asciiTheme="minorHAnsi" w:hAnsiTheme="minorHAnsi"/>
          <w:sz w:val="22"/>
        </w:rPr>
      </w:pPr>
    </w:p>
    <w:p w14:paraId="65043EAB" w14:textId="1AFE22C9" w:rsidR="00A92CC7" w:rsidRPr="00CC28A1" w:rsidRDefault="00A92CC7" w:rsidP="00A92CC7">
      <w:pPr>
        <w:widowControl w:val="0"/>
        <w:rPr>
          <w:rFonts w:asciiTheme="minorHAnsi" w:hAnsiTheme="minorHAnsi"/>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proofErr w:type="spellStart"/>
      <w:r w:rsidR="00755247" w:rsidRPr="00755247">
        <w:rPr>
          <w:rFonts w:asciiTheme="minorHAnsi" w:hAnsiTheme="minorHAnsi"/>
          <w:sz w:val="22"/>
          <w:szCs w:val="22"/>
        </w:rPr>
        <w:t>Faulkey</w:t>
      </w:r>
      <w:proofErr w:type="spellEnd"/>
      <w:r w:rsidR="00755247" w:rsidRPr="00755247">
        <w:rPr>
          <w:rFonts w:asciiTheme="minorHAnsi" w:hAnsiTheme="minorHAnsi"/>
          <w:sz w:val="22"/>
          <w:szCs w:val="22"/>
        </w:rPr>
        <w:t xml:space="preserve"> Gully Municipal Utility District, c/o Coats Rose, P.C., 9 Greenway Plaza, Suite 1000, Houston, Texas 77046, has applied to the Texas Commission on Environmental Quality (TCEQ) to amend Texas Pollutant Discharge Elimination System (TPDES) Permit No. WQ0011832001 (EPA I.D. No. TX0072354) to authorize the removal of additional metal testing. The domestic wastewater treatment facility is located at 15503 Hermitage Oaks Drive, Tomball, in Harris County, Texas 77377. The discharge route is from the plant site to </w:t>
      </w:r>
      <w:proofErr w:type="spellStart"/>
      <w:r w:rsidR="00755247" w:rsidRPr="00755247">
        <w:rPr>
          <w:rFonts w:asciiTheme="minorHAnsi" w:hAnsiTheme="minorHAnsi"/>
          <w:sz w:val="22"/>
          <w:szCs w:val="22"/>
        </w:rPr>
        <w:t>Faulkey</w:t>
      </w:r>
      <w:proofErr w:type="spellEnd"/>
      <w:r w:rsidR="00755247" w:rsidRPr="00755247">
        <w:rPr>
          <w:rFonts w:asciiTheme="minorHAnsi" w:hAnsiTheme="minorHAnsi"/>
          <w:sz w:val="22"/>
          <w:szCs w:val="22"/>
        </w:rPr>
        <w:t xml:space="preserve"> </w:t>
      </w:r>
      <w:proofErr w:type="gramStart"/>
      <w:r w:rsidR="00755247" w:rsidRPr="00755247">
        <w:rPr>
          <w:rFonts w:asciiTheme="minorHAnsi" w:hAnsiTheme="minorHAnsi"/>
          <w:sz w:val="22"/>
          <w:szCs w:val="22"/>
        </w:rPr>
        <w:t>Gully;</w:t>
      </w:r>
      <w:proofErr w:type="gramEnd"/>
      <w:r w:rsidR="00755247" w:rsidRPr="00755247">
        <w:rPr>
          <w:rFonts w:asciiTheme="minorHAnsi" w:hAnsiTheme="minorHAnsi"/>
          <w:sz w:val="22"/>
          <w:szCs w:val="22"/>
        </w:rPr>
        <w:t xml:space="preserve"> thence to Cypress Creek. TCEQ received this application on December 16, 2022. The permit application will be available for viewing and copying at Northwest Branch Library, 11355 Regency Green Drive, Cypress, Texas prior to the date </w:t>
      </w:r>
      <w:r w:rsidR="00266198">
        <w:rPr>
          <w:rFonts w:asciiTheme="minorHAnsi" w:hAnsiTheme="minorHAnsi"/>
          <w:sz w:val="22"/>
          <w:szCs w:val="22"/>
        </w:rPr>
        <w:t>this notice</w:t>
      </w:r>
      <w:r w:rsidR="00755247" w:rsidRPr="00755247">
        <w:rPr>
          <w:rFonts w:asciiTheme="minorHAnsi" w:hAnsiTheme="minorHAnsi"/>
          <w:sz w:val="22"/>
          <w:szCs w:val="22"/>
        </w:rPr>
        <w:t xml:space="preserve"> is published in the newspaper. This link to an electronic map of the site or facility's general location is provided as a public courtesy and not part of the application or notice. For the exact location, refer to the application.</w:t>
      </w:r>
    </w:p>
    <w:p w14:paraId="62B22CBC" w14:textId="48DFA62F" w:rsidR="009B6E3F" w:rsidRDefault="00755247" w:rsidP="009B6E3F">
      <w:pPr>
        <w:widowControl w:val="0"/>
        <w:rPr>
          <w:rFonts w:asciiTheme="minorHAnsi" w:hAnsiTheme="minorHAnsi"/>
          <w:color w:val="FF0000"/>
          <w:sz w:val="22"/>
          <w:szCs w:val="22"/>
        </w:rPr>
      </w:pPr>
      <w:hyperlink r:id="rId7" w:history="1">
        <w:r w:rsidRPr="00D9344D">
          <w:rPr>
            <w:rStyle w:val="Hyperlink"/>
            <w:rFonts w:asciiTheme="minorHAnsi" w:hAnsiTheme="minorHAnsi"/>
            <w:sz w:val="22"/>
            <w:szCs w:val="22"/>
          </w:rPr>
          <w:t>https://gisweb.tceq.texas.gov/LocationMapper/?marker=-95.60611,29.999546&amp;level=18</w:t>
        </w:r>
      </w:hyperlink>
    </w:p>
    <w:p w14:paraId="6F9C2396" w14:textId="77777777" w:rsidR="0086290D" w:rsidRPr="006F7D34" w:rsidRDefault="0086290D" w:rsidP="0086290D">
      <w:pPr>
        <w:widowControl w:val="0"/>
        <w:rPr>
          <w:rFonts w:asciiTheme="minorHAnsi" w:hAnsiTheme="minorHAnsi"/>
          <w:sz w:val="22"/>
        </w:rPr>
      </w:pPr>
    </w:p>
    <w:p w14:paraId="1A2785CF" w14:textId="77777777" w:rsidR="00755247" w:rsidRPr="00744FE5" w:rsidRDefault="00755247" w:rsidP="00755247">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9"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74F2686D" w14:textId="77777777" w:rsidR="005B1DEE" w:rsidRDefault="005B1DEE"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w:t>
      </w:r>
      <w:r w:rsidRPr="006F7D34">
        <w:rPr>
          <w:rFonts w:asciiTheme="minorHAnsi" w:hAnsiTheme="minorHAnsi"/>
          <w:sz w:val="22"/>
        </w:rPr>
        <w:lastRenderedPageBreak/>
        <w:t xml:space="preserve">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0"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1"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Please be aware that any contact information you provide, 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w:t>
      </w:r>
      <w:r w:rsidRPr="00DF2E6E">
        <w:rPr>
          <w:rFonts w:ascii="Georgia" w:hAnsi="Georgia"/>
          <w:sz w:val="22"/>
          <w:szCs w:val="22"/>
        </w:rPr>
        <w:lastRenderedPageBreak/>
        <w:t xml:space="preserve">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2"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CF3CB03" w14:textId="77777777" w:rsidR="0069505B" w:rsidRDefault="0069505B" w:rsidP="009B6E3F">
      <w:pPr>
        <w:widowControl w:val="0"/>
        <w:rPr>
          <w:rFonts w:asciiTheme="minorHAnsi" w:hAnsiTheme="minorHAnsi"/>
          <w:sz w:val="22"/>
        </w:rPr>
      </w:pPr>
    </w:p>
    <w:p w14:paraId="30F09359" w14:textId="77777777" w:rsidR="00C8650A" w:rsidRDefault="00C8650A" w:rsidP="00E1474D">
      <w:pPr>
        <w:widowControl w:val="0"/>
        <w:rPr>
          <w:rFonts w:asciiTheme="minorHAnsi" w:hAnsiTheme="minorHAnsi"/>
          <w:sz w:val="22"/>
        </w:rPr>
      </w:pPr>
      <w:r w:rsidRPr="00C8650A">
        <w:rPr>
          <w:rFonts w:asciiTheme="minorHAnsi" w:hAnsiTheme="minorHAnsi"/>
          <w:sz w:val="22"/>
        </w:rPr>
        <w:t xml:space="preserve">Further information may also be obtained from </w:t>
      </w:r>
      <w:proofErr w:type="spellStart"/>
      <w:r w:rsidRPr="00C8650A">
        <w:rPr>
          <w:rFonts w:asciiTheme="minorHAnsi" w:hAnsiTheme="minorHAnsi"/>
          <w:sz w:val="22"/>
        </w:rPr>
        <w:t>Faulkey</w:t>
      </w:r>
      <w:proofErr w:type="spellEnd"/>
      <w:r w:rsidRPr="00C8650A">
        <w:rPr>
          <w:rFonts w:asciiTheme="minorHAnsi" w:hAnsiTheme="minorHAnsi"/>
          <w:sz w:val="22"/>
        </w:rPr>
        <w:t xml:space="preserve"> Gully Municipal Utility District at the address stated above or by calling Mrs. Kelly Wilkinson, P.E., IDS Engineering Group, at 832-590-7247.   </w:t>
      </w:r>
    </w:p>
    <w:p w14:paraId="456B5D13" w14:textId="078C6AF9"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2DCD7A98"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C8650A" w:rsidRPr="00C8650A">
        <w:rPr>
          <w:rFonts w:asciiTheme="minorHAnsi" w:hAnsiTheme="minorHAnsi"/>
          <w:sz w:val="22"/>
        </w:rPr>
        <w:t>February 22, 2023</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18151C2"/>
    <w:multiLevelType w:val="hybridMultilevel"/>
    <w:tmpl w:val="9858C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1909394">
    <w:abstractNumId w:val="0"/>
  </w:num>
  <w:num w:numId="2" w16cid:durableId="59829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A3210"/>
    <w:rsid w:val="000E31F9"/>
    <w:rsid w:val="000E5D10"/>
    <w:rsid w:val="00172FBB"/>
    <w:rsid w:val="001B4D86"/>
    <w:rsid w:val="001D4FA1"/>
    <w:rsid w:val="00200DA8"/>
    <w:rsid w:val="00266198"/>
    <w:rsid w:val="00386F24"/>
    <w:rsid w:val="003C06F0"/>
    <w:rsid w:val="003C2D33"/>
    <w:rsid w:val="003F5920"/>
    <w:rsid w:val="004251D2"/>
    <w:rsid w:val="00465615"/>
    <w:rsid w:val="00485511"/>
    <w:rsid w:val="004C3D54"/>
    <w:rsid w:val="004C590F"/>
    <w:rsid w:val="004E0E73"/>
    <w:rsid w:val="00517ACC"/>
    <w:rsid w:val="00580096"/>
    <w:rsid w:val="005B1DEE"/>
    <w:rsid w:val="00603CBD"/>
    <w:rsid w:val="006122AB"/>
    <w:rsid w:val="00637EE0"/>
    <w:rsid w:val="0069505B"/>
    <w:rsid w:val="006F7D34"/>
    <w:rsid w:val="00702771"/>
    <w:rsid w:val="007513D2"/>
    <w:rsid w:val="00755247"/>
    <w:rsid w:val="007A7573"/>
    <w:rsid w:val="007D47A2"/>
    <w:rsid w:val="007E37E3"/>
    <w:rsid w:val="00855797"/>
    <w:rsid w:val="0086290D"/>
    <w:rsid w:val="008B108E"/>
    <w:rsid w:val="008B6E63"/>
    <w:rsid w:val="008D0335"/>
    <w:rsid w:val="0093173A"/>
    <w:rsid w:val="009A6654"/>
    <w:rsid w:val="009B5885"/>
    <w:rsid w:val="009B6E3F"/>
    <w:rsid w:val="009D6836"/>
    <w:rsid w:val="00A4663E"/>
    <w:rsid w:val="00A92CC7"/>
    <w:rsid w:val="00B26ABA"/>
    <w:rsid w:val="00B671E3"/>
    <w:rsid w:val="00BA2FC4"/>
    <w:rsid w:val="00BA322D"/>
    <w:rsid w:val="00BB4F98"/>
    <w:rsid w:val="00BE108C"/>
    <w:rsid w:val="00C656EF"/>
    <w:rsid w:val="00C77C96"/>
    <w:rsid w:val="00C8650A"/>
    <w:rsid w:val="00CC28A1"/>
    <w:rsid w:val="00CC56EE"/>
    <w:rsid w:val="00CF3664"/>
    <w:rsid w:val="00D22F2C"/>
    <w:rsid w:val="00D91C51"/>
    <w:rsid w:val="00DA3C0A"/>
    <w:rsid w:val="00DD4731"/>
    <w:rsid w:val="00E1474D"/>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840">
      <w:bodyDiv w:val="1"/>
      <w:marLeft w:val="0"/>
      <w:marRight w:val="0"/>
      <w:marTop w:val="0"/>
      <w:marBottom w:val="0"/>
      <w:divBdr>
        <w:top w:val="none" w:sz="0" w:space="0" w:color="auto"/>
        <w:left w:val="none" w:sz="0" w:space="0" w:color="auto"/>
        <w:bottom w:val="none" w:sz="0" w:space="0" w:color="auto"/>
        <w:right w:val="none" w:sz="0" w:space="0" w:color="auto"/>
      </w:divBdr>
    </w:div>
    <w:div w:id="10247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sweb.tceq.texas.gov/LocationMapper/?marker=-95.60611,29.999546&amp;level=18" TargetMode="External"/><Relationship Id="rId12" Type="http://schemas.openxmlformats.org/officeDocument/2006/relationships/hyperlink" Target="http://www.tceq.texas.gov/goto/p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14.tceq.texas.gov/epic/eComment/" TargetMode="External"/><Relationship Id="rId5" Type="http://schemas.openxmlformats.org/officeDocument/2006/relationships/webSettings" Target="webSettings.xml"/><Relationship Id="rId10" Type="http://schemas.openxmlformats.org/officeDocument/2006/relationships/hyperlink" Target="http://www.tceq.texas.gov/goto/cid" TargetMode="External"/><Relationship Id="rId4" Type="http://schemas.openxmlformats.org/officeDocument/2006/relationships/settings" Target="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1739-CC63-4E2E-B1C0-55FB6F2D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1053</Words>
  <Characters>6586</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7624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41</cp:revision>
  <cp:lastPrinted>2011-01-14T23:45:00Z</cp:lastPrinted>
  <dcterms:created xsi:type="dcterms:W3CDTF">2011-01-14T17:45:00Z</dcterms:created>
  <dcterms:modified xsi:type="dcterms:W3CDTF">2023-02-22T21:12:00Z</dcterms:modified>
</cp:coreProperties>
</file>