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0D1F8E6A" w14:textId="002B41A6" w:rsidR="0045346E" w:rsidRDefault="0045346E" w:rsidP="0045346E">
      <w:pPr>
        <w:pStyle w:val="paragraph"/>
        <w:spacing w:before="0" w:beforeAutospacing="0" w:after="0" w:afterAutospacing="0" w:line="276" w:lineRule="auto"/>
        <w:textAlignment w:val="baseline"/>
        <w:rPr>
          <w:rStyle w:val="normaltextrun"/>
          <w:rFonts w:ascii="Lucida Bright" w:hAnsi="Lucida Bright"/>
          <w:sz w:val="22"/>
          <w:szCs w:val="22"/>
          <w:lang w:val="e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7324A010" w14:textId="77777777" w:rsidR="00ED0A23" w:rsidRPr="00ED0A23" w:rsidRDefault="00ED0A23" w:rsidP="00ED0A23">
      <w:pPr>
        <w:pStyle w:val="paragraph"/>
        <w:spacing w:line="276" w:lineRule="auto"/>
        <w:textAlignment w:val="baseline"/>
        <w:rPr>
          <w:rStyle w:val="normaltextrun"/>
          <w:rFonts w:ascii="Lucida Bright" w:hAnsi="Lucida Bright"/>
          <w:sz w:val="22"/>
          <w:szCs w:val="22"/>
          <w:lang w:val="es"/>
        </w:rPr>
      </w:pPr>
      <w:r w:rsidRPr="00ED0A23">
        <w:rPr>
          <w:rStyle w:val="normaltextrun"/>
          <w:rFonts w:ascii="Lucida Bright" w:hAnsi="Lucida Bright"/>
          <w:sz w:val="22"/>
          <w:szCs w:val="22"/>
          <w:lang w:val="es"/>
        </w:rPr>
        <w:t>Gulf Sulphur Services Ltd., LLC (CN600130181) opera Galveston Sulphur Terminal (RN12911955), una instalación de transferencia de azufre sólido y fundido. La instalación está ubicada en 4500 Old Port Industrial Road, en Galveston, Condado de Galveston, Texas 77554.</w:t>
      </w:r>
    </w:p>
    <w:p w14:paraId="5F1D7933" w14:textId="77777777" w:rsidR="00ED0A23" w:rsidRPr="00ED0A23" w:rsidRDefault="00ED0A23" w:rsidP="00ED0A23">
      <w:pPr>
        <w:pStyle w:val="paragraph"/>
        <w:spacing w:line="276" w:lineRule="auto"/>
        <w:textAlignment w:val="baseline"/>
        <w:rPr>
          <w:rStyle w:val="normaltextrun"/>
          <w:rFonts w:ascii="Lucida Bright" w:hAnsi="Lucida Bright"/>
          <w:sz w:val="22"/>
          <w:szCs w:val="22"/>
          <w:lang w:val="es"/>
        </w:rPr>
      </w:pPr>
      <w:r w:rsidRPr="00ED0A23">
        <w:rPr>
          <w:rStyle w:val="normaltextrun"/>
          <w:rFonts w:ascii="Lucida Bright" w:hAnsi="Lucida Bright"/>
          <w:sz w:val="22"/>
          <w:szCs w:val="22"/>
          <w:lang w:val="es"/>
        </w:rPr>
        <w:t>Esta aplicación es un proceso de descarga de renovación de aguas residuales y aguas pluviales de forma intermitente y con caudal variable desde un emisario.</w:t>
      </w:r>
    </w:p>
    <w:p w14:paraId="7BD4C236" w14:textId="08BF8F3E" w:rsidR="00ED0A23" w:rsidRDefault="00ED0A23" w:rsidP="00ED0A23">
      <w:pPr>
        <w:pStyle w:val="paragraph"/>
        <w:spacing w:before="0" w:beforeAutospacing="0" w:after="0" w:afterAutospacing="0" w:line="276" w:lineRule="auto"/>
        <w:textAlignment w:val="baseline"/>
        <w:rPr>
          <w:rStyle w:val="normaltextrun"/>
          <w:rFonts w:ascii="Lucida Bright" w:hAnsi="Lucida Bright"/>
          <w:sz w:val="22"/>
          <w:szCs w:val="22"/>
          <w:lang w:val="es"/>
        </w:rPr>
      </w:pPr>
      <w:r w:rsidRPr="00ED0A23">
        <w:rPr>
          <w:rStyle w:val="normaltextrun"/>
          <w:rFonts w:ascii="Lucida Bright" w:hAnsi="Lucida Bright"/>
          <w:sz w:val="22"/>
          <w:szCs w:val="22"/>
          <w:lang w:val="es"/>
        </w:rPr>
        <w:t>Se espera que las descargas de la instalación contengan sólidos suspendidos totales, demanda química de oxígeno, aceite y grasa y cobre total. Las aguas pluviales y las aguas residuales del proceso se tratan con sulfato férrico y cáustico para reducir el pH y eliminar el cobre antes de la descarga.</w:t>
      </w:r>
    </w:p>
    <w:p w14:paraId="294DAF2E" w14:textId="21F221E0" w:rsidR="004A726B" w:rsidRPr="00A776A3" w:rsidRDefault="004A726B" w:rsidP="0045346E">
      <w:pPr>
        <w:pStyle w:val="BodyText"/>
        <w:spacing w:line="276" w:lineRule="auto"/>
        <w:rPr>
          <w:sz w:val="22"/>
          <w:szCs w:val="22"/>
          <w:lang w:val="es-US"/>
        </w:rPr>
      </w:pPr>
    </w:p>
    <w:sectPr w:rsidR="004A726B"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477E" w14:textId="77777777" w:rsidR="005558A8" w:rsidRDefault="005558A8" w:rsidP="00E52C9A">
      <w:r>
        <w:rPr>
          <w:lang w:val="es"/>
        </w:rPr>
        <w:separator/>
      </w:r>
    </w:p>
  </w:endnote>
  <w:endnote w:type="continuationSeparator" w:id="0">
    <w:p w14:paraId="17FDD50C" w14:textId="77777777" w:rsidR="005558A8" w:rsidRDefault="005558A8"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995" w14:textId="77777777" w:rsidR="005558A8" w:rsidRDefault="005558A8" w:rsidP="00E52C9A">
      <w:r>
        <w:rPr>
          <w:lang w:val="es"/>
        </w:rPr>
        <w:separator/>
      </w:r>
    </w:p>
  </w:footnote>
  <w:footnote w:type="continuationSeparator" w:id="0">
    <w:p w14:paraId="1499B4A0" w14:textId="77777777" w:rsidR="005558A8" w:rsidRDefault="005558A8"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29691731">
    <w:abstractNumId w:val="9"/>
  </w:num>
  <w:num w:numId="2" w16cid:durableId="293951175">
    <w:abstractNumId w:val="8"/>
  </w:num>
  <w:num w:numId="3" w16cid:durableId="1823540817">
    <w:abstractNumId w:val="7"/>
  </w:num>
  <w:num w:numId="4" w16cid:durableId="1903059458">
    <w:abstractNumId w:val="6"/>
  </w:num>
  <w:num w:numId="5" w16cid:durableId="1088965563">
    <w:abstractNumId w:val="5"/>
  </w:num>
  <w:num w:numId="6" w16cid:durableId="1830754000">
    <w:abstractNumId w:val="4"/>
  </w:num>
  <w:num w:numId="7" w16cid:durableId="1622494550">
    <w:abstractNumId w:val="3"/>
  </w:num>
  <w:num w:numId="8" w16cid:durableId="201090526">
    <w:abstractNumId w:val="2"/>
  </w:num>
  <w:num w:numId="9" w16cid:durableId="325672285">
    <w:abstractNumId w:val="1"/>
  </w:num>
  <w:num w:numId="10" w16cid:durableId="101731945">
    <w:abstractNumId w:val="0"/>
  </w:num>
  <w:num w:numId="11" w16cid:durableId="1373185818">
    <w:abstractNumId w:val="12"/>
  </w:num>
  <w:num w:numId="12" w16cid:durableId="785655337">
    <w:abstractNumId w:val="11"/>
  </w:num>
  <w:num w:numId="13" w16cid:durableId="1506624523">
    <w:abstractNumId w:val="10"/>
  </w:num>
  <w:num w:numId="14" w16cid:durableId="1507283755">
    <w:abstractNumId w:val="9"/>
  </w:num>
  <w:num w:numId="15" w16cid:durableId="1057171952">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51B7F"/>
    <w:rsid w:val="0006042B"/>
    <w:rsid w:val="001135B1"/>
    <w:rsid w:val="00116413"/>
    <w:rsid w:val="00164CE2"/>
    <w:rsid w:val="00174280"/>
    <w:rsid w:val="0017492A"/>
    <w:rsid w:val="001918A9"/>
    <w:rsid w:val="001D081C"/>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93C75"/>
    <w:rsid w:val="003A2339"/>
    <w:rsid w:val="003B41DF"/>
    <w:rsid w:val="003D7D1F"/>
    <w:rsid w:val="003F5ABB"/>
    <w:rsid w:val="00417619"/>
    <w:rsid w:val="0045346E"/>
    <w:rsid w:val="0046089F"/>
    <w:rsid w:val="004A726B"/>
    <w:rsid w:val="004D2CA6"/>
    <w:rsid w:val="00523CA7"/>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A4619"/>
    <w:rsid w:val="008C4ACF"/>
    <w:rsid w:val="008E33DD"/>
    <w:rsid w:val="008E6CA0"/>
    <w:rsid w:val="008F4441"/>
    <w:rsid w:val="00902B87"/>
    <w:rsid w:val="0094541B"/>
    <w:rsid w:val="009557CB"/>
    <w:rsid w:val="0097286B"/>
    <w:rsid w:val="00996B99"/>
    <w:rsid w:val="009A4011"/>
    <w:rsid w:val="00A03680"/>
    <w:rsid w:val="00A2193F"/>
    <w:rsid w:val="00A75BA9"/>
    <w:rsid w:val="00A776A3"/>
    <w:rsid w:val="00AB074C"/>
    <w:rsid w:val="00B00FF3"/>
    <w:rsid w:val="00B3681B"/>
    <w:rsid w:val="00B43B7C"/>
    <w:rsid w:val="00B4403F"/>
    <w:rsid w:val="00B607B7"/>
    <w:rsid w:val="00B868F1"/>
    <w:rsid w:val="00BE39E1"/>
    <w:rsid w:val="00BF000E"/>
    <w:rsid w:val="00C95864"/>
    <w:rsid w:val="00CC59A8"/>
    <w:rsid w:val="00CC6108"/>
    <w:rsid w:val="00CF4CB6"/>
    <w:rsid w:val="00D10961"/>
    <w:rsid w:val="00D44331"/>
    <w:rsid w:val="00D53F25"/>
    <w:rsid w:val="00D63671"/>
    <w:rsid w:val="00D642CF"/>
    <w:rsid w:val="00D9218C"/>
    <w:rsid w:val="00DB72FD"/>
    <w:rsid w:val="00DB788B"/>
    <w:rsid w:val="00DC278A"/>
    <w:rsid w:val="00DE7C8C"/>
    <w:rsid w:val="00E14844"/>
    <w:rsid w:val="00E52C9A"/>
    <w:rsid w:val="00E93DEF"/>
    <w:rsid w:val="00EA1F7C"/>
    <w:rsid w:val="00ED0A23"/>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1082</Characters>
  <Application>Microsoft Office Word</Application>
  <DocSecurity>4</DocSecurity>
  <Lines>20</Lines>
  <Paragraphs>6</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2023-07-27T12:10:00Z</dcterms:created>
  <dcterms:modified xsi:type="dcterms:W3CDTF">2023-07-27T12:10:00Z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7959b14ffe6fa7225529487890e66c32bec2cc3656668debdef88cfb0db3fbec</vt:lpwstr>
  </property>
</Properties>
</file>