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01C9" w14:textId="77777777" w:rsidR="00B75E02" w:rsidRDefault="00B75E02">
      <w:pPr>
        <w:pStyle w:val="BodyText"/>
        <w:rPr>
          <w:rFonts w:ascii="Times New Roman"/>
          <w:sz w:val="26"/>
        </w:rPr>
      </w:pPr>
    </w:p>
    <w:p w14:paraId="708A4752" w14:textId="77777777" w:rsidR="00B75E02" w:rsidRDefault="00B75E02">
      <w:pPr>
        <w:pStyle w:val="BodyText"/>
        <w:spacing w:before="1"/>
        <w:rPr>
          <w:rFonts w:ascii="Times New Roman"/>
          <w:sz w:val="26"/>
        </w:rPr>
      </w:pPr>
    </w:p>
    <w:p w14:paraId="03DF03B0" w14:textId="77777777" w:rsidR="00B75E02" w:rsidRDefault="004178C6">
      <w:pPr>
        <w:pStyle w:val="BodyText"/>
        <w:ind w:left="120"/>
        <w:rPr>
          <w:b/>
        </w:rPr>
      </w:pPr>
      <w:r>
        <w:rPr>
          <w:b/>
        </w:rPr>
        <w:t>SPANISH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TRANSLATION:</w:t>
      </w:r>
    </w:p>
    <w:p w14:paraId="1D9D23D2" w14:textId="77777777" w:rsidR="00B75E02" w:rsidRDefault="004178C6">
      <w:pPr>
        <w:pStyle w:val="Title"/>
      </w:pPr>
      <w:r>
        <w:rPr>
          <w:b w:val="0"/>
        </w:rPr>
        <w:br w:type="column"/>
      </w:r>
      <w:r>
        <w:t>ATTACHMENT</w:t>
      </w:r>
      <w:r>
        <w:rPr>
          <w:spacing w:val="-21"/>
        </w:rPr>
        <w:t xml:space="preserve"> </w:t>
      </w:r>
      <w:r>
        <w:rPr>
          <w:spacing w:val="-10"/>
        </w:rPr>
        <w:t>C</w:t>
      </w:r>
    </w:p>
    <w:p w14:paraId="30740190" w14:textId="77777777" w:rsidR="00B75E02" w:rsidRDefault="00B75E02">
      <w:pPr>
        <w:sectPr w:rsidR="00B75E02">
          <w:type w:val="continuous"/>
          <w:pgSz w:w="12240" w:h="15840"/>
          <w:pgMar w:top="840" w:right="1320" w:bottom="280" w:left="1320" w:header="720" w:footer="720" w:gutter="0"/>
          <w:cols w:num="2" w:space="720" w:equalWidth="0">
            <w:col w:w="2944" w:space="518"/>
            <w:col w:w="6138"/>
          </w:cols>
        </w:sectPr>
      </w:pPr>
    </w:p>
    <w:p w14:paraId="6D6CB5B8" w14:textId="77777777" w:rsidR="00B75E02" w:rsidRDefault="004178C6">
      <w:pPr>
        <w:pStyle w:val="BodyText"/>
        <w:spacing w:before="121"/>
        <w:ind w:left="120"/>
        <w:rPr>
          <w:b/>
        </w:rPr>
      </w:pPr>
      <w:r>
        <w:rPr>
          <w:b/>
        </w:rPr>
        <w:t>AGUAS</w:t>
      </w:r>
      <w:r>
        <w:rPr>
          <w:b/>
          <w:spacing w:val="-11"/>
        </w:rPr>
        <w:t xml:space="preserve"> </w:t>
      </w:r>
      <w:r>
        <w:rPr>
          <w:b/>
        </w:rPr>
        <w:t>RESIDUALES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DOMÉSTICAS</w:t>
      </w:r>
    </w:p>
    <w:p w14:paraId="7E844DD3" w14:textId="77777777" w:rsidR="00B75E02" w:rsidRDefault="004178C6">
      <w:pPr>
        <w:spacing w:before="120"/>
        <w:ind w:left="120" w:right="122"/>
      </w:pP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siguiente resumen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proporciona</w:t>
      </w:r>
      <w:r>
        <w:rPr>
          <w:i/>
          <w:spacing w:val="-1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esta</w:t>
      </w:r>
      <w:r>
        <w:rPr>
          <w:i/>
          <w:spacing w:val="-1"/>
        </w:rPr>
        <w:t xml:space="preserve"> </w:t>
      </w:r>
      <w:r>
        <w:rPr>
          <w:i/>
        </w:rPr>
        <w:t>solicitud de</w:t>
      </w:r>
      <w:r>
        <w:rPr>
          <w:i/>
          <w:spacing w:val="-1"/>
        </w:rPr>
        <w:t xml:space="preserve"> </w:t>
      </w:r>
      <w:r>
        <w:rPr>
          <w:i/>
        </w:rPr>
        <w:t>permiso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calidad del</w:t>
      </w:r>
      <w:r>
        <w:rPr>
          <w:i/>
          <w:spacing w:val="-1"/>
        </w:rPr>
        <w:t xml:space="preserve"> </w:t>
      </w:r>
      <w:r>
        <w:rPr>
          <w:i/>
        </w:rPr>
        <w:t>agua</w:t>
      </w:r>
      <w:r>
        <w:rPr>
          <w:i/>
        </w:rPr>
        <w:t xml:space="preserve"> pendiente que está siendo revisada por la Comisión de Calidad Ambiental de Texas según lo requerido por el Capítulo 39 del Código Administrativo de Texas 30. La información</w:t>
      </w:r>
      <w:r>
        <w:rPr>
          <w:i/>
          <w:spacing w:val="-5"/>
        </w:rPr>
        <w:t xml:space="preserve"> </w:t>
      </w:r>
      <w:r>
        <w:rPr>
          <w:i/>
        </w:rPr>
        <w:t>proporcionada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este</w:t>
      </w:r>
      <w:r>
        <w:rPr>
          <w:i/>
          <w:spacing w:val="-5"/>
        </w:rPr>
        <w:t xml:space="preserve"> </w:t>
      </w:r>
      <w:r>
        <w:rPr>
          <w:i/>
        </w:rPr>
        <w:t>resumen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4"/>
        </w:rPr>
        <w:t xml:space="preserve"> </w:t>
      </w:r>
      <w:r>
        <w:rPr>
          <w:i/>
        </w:rPr>
        <w:t>cambiar</w:t>
      </w:r>
      <w:r>
        <w:rPr>
          <w:i/>
          <w:spacing w:val="-5"/>
        </w:rPr>
        <w:t xml:space="preserve"> </w:t>
      </w:r>
      <w:r>
        <w:rPr>
          <w:i/>
        </w:rPr>
        <w:t>durante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revisión</w:t>
      </w:r>
      <w:r>
        <w:rPr>
          <w:i/>
          <w:spacing w:val="-5"/>
        </w:rPr>
        <w:t xml:space="preserve"> </w:t>
      </w:r>
      <w:r>
        <w:rPr>
          <w:i/>
        </w:rPr>
        <w:t>técnica de la soli</w:t>
      </w:r>
      <w:r>
        <w:rPr>
          <w:i/>
        </w:rPr>
        <w:t>citud y no son representaciones federales exigibles de la solicitud de permiso</w:t>
      </w:r>
      <w:r>
        <w:t>.</w:t>
      </w:r>
    </w:p>
    <w:p w14:paraId="34AA8CC4" w14:textId="77777777" w:rsidR="00B75E02" w:rsidRDefault="00B75E02">
      <w:pPr>
        <w:pStyle w:val="BodyText"/>
        <w:spacing w:before="7"/>
        <w:rPr>
          <w:sz w:val="23"/>
        </w:rPr>
      </w:pPr>
    </w:p>
    <w:p w14:paraId="0DE71173" w14:textId="77777777" w:rsidR="00B75E02" w:rsidRDefault="004178C6">
      <w:pPr>
        <w:pStyle w:val="BodyText"/>
        <w:spacing w:before="1"/>
        <w:ind w:left="119" w:right="124"/>
      </w:pPr>
      <w:r>
        <w:t xml:space="preserve">Midway Water </w:t>
      </w:r>
      <w:proofErr w:type="spellStart"/>
      <w:r>
        <w:t>Utilities</w:t>
      </w:r>
      <w:proofErr w:type="spellEnd"/>
      <w:r>
        <w:t>, Inc. (CN600663579) opera la planta de tratamiento de aguas residuales de Aldine Forest (RN101514198), una planta de lodos activados que funciona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mod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estabilización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contacto.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situada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1235 de </w:t>
      </w:r>
      <w:proofErr w:type="spellStart"/>
      <w:r>
        <w:t>Verhalen</w:t>
      </w:r>
      <w:proofErr w:type="spellEnd"/>
      <w:r>
        <w:t xml:space="preserve"> Avenue, Houston, en el condado de Harris, Texas 77039.</w:t>
      </w:r>
    </w:p>
    <w:p w14:paraId="74951EDF" w14:textId="77777777" w:rsidR="00B75E02" w:rsidRDefault="00B75E02">
      <w:pPr>
        <w:pStyle w:val="BodyText"/>
        <w:spacing w:before="10"/>
        <w:rPr>
          <w:sz w:val="23"/>
        </w:rPr>
      </w:pPr>
    </w:p>
    <w:p w14:paraId="17CE56C3" w14:textId="77777777" w:rsidR="00B75E02" w:rsidRDefault="004178C6">
      <w:pPr>
        <w:pStyle w:val="BodyText"/>
        <w:ind w:left="120" w:right="122"/>
      </w:pPr>
      <w:r>
        <w:t>Esta</w:t>
      </w:r>
      <w:r>
        <w:rPr>
          <w:spacing w:val="-4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renovación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descarga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aguas</w:t>
      </w:r>
      <w:r>
        <w:rPr>
          <w:spacing w:val="-3"/>
        </w:rPr>
        <w:t xml:space="preserve"> </w:t>
      </w:r>
      <w:r>
        <w:t xml:space="preserve">residuales domésticas tratadas </w:t>
      </w:r>
      <w:r>
        <w:rPr>
          <w:rFonts w:ascii="Georgia" w:hAnsi="Georgia"/>
          <w:sz w:val="24"/>
        </w:rPr>
        <w:t xml:space="preserve">en un volumen que no sobrepasa un </w:t>
      </w:r>
      <w:r>
        <w:t xml:space="preserve">flujo promedio diario de 25,000 galones por </w:t>
      </w:r>
      <w:r>
        <w:rPr>
          <w:rFonts w:ascii="Georgia" w:hAnsi="Georgia"/>
          <w:sz w:val="24"/>
        </w:rPr>
        <w:t xml:space="preserve">día </w:t>
      </w:r>
      <w:r>
        <w:t>s a través del emisario 001.</w:t>
      </w:r>
    </w:p>
    <w:p w14:paraId="61E33328" w14:textId="77777777" w:rsidR="00B75E02" w:rsidRDefault="00B75E02">
      <w:pPr>
        <w:pStyle w:val="BodyText"/>
        <w:rPr>
          <w:sz w:val="24"/>
        </w:rPr>
      </w:pPr>
    </w:p>
    <w:p w14:paraId="642E67D6" w14:textId="77777777" w:rsidR="00B75E02" w:rsidRDefault="004178C6">
      <w:pPr>
        <w:pStyle w:val="BodyText"/>
        <w:spacing w:before="1" w:line="235" w:lineRule="auto"/>
        <w:ind w:left="120" w:right="122"/>
      </w:pPr>
      <w:r>
        <w:t>El</w:t>
      </w:r>
      <w:r>
        <w:rPr>
          <w:spacing w:val="-4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descarga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bioquímica de oxígeno carbonoso de cin</w:t>
      </w:r>
      <w:r>
        <w:t>co días (CBOD</w:t>
      </w:r>
      <w:r>
        <w:rPr>
          <w:position w:val="-2"/>
          <w:sz w:val="11"/>
        </w:rPr>
        <w:t>5</w:t>
      </w:r>
      <w:r>
        <w:t>), sólidos suspendidos totales (TSS), nitrógeno amoniacal (NH</w:t>
      </w:r>
      <w:r>
        <w:rPr>
          <w:position w:val="-2"/>
          <w:sz w:val="11"/>
        </w:rPr>
        <w:t>3</w:t>
      </w:r>
      <w:r>
        <w:t xml:space="preserve">-N), nitrógeno Kjeldahl total (TKN) y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coli</w:t>
      </w:r>
      <w:proofErr w:type="spellEnd"/>
      <w:r>
        <w:t>. Otros parámetros potenciales se incluyen en el Informe Técnico Doméstico 1.0, Sección 7.</w:t>
      </w:r>
    </w:p>
    <w:p w14:paraId="63526291" w14:textId="77777777" w:rsidR="00B75E02" w:rsidRDefault="004178C6">
      <w:pPr>
        <w:pStyle w:val="BodyText"/>
        <w:spacing w:before="3"/>
        <w:ind w:left="120" w:right="196"/>
      </w:pP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Contaminantes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Efluente</w:t>
      </w:r>
      <w:r>
        <w:rPr>
          <w:spacing w:val="-3"/>
        </w:rPr>
        <w:t xml:space="preserve"> </w:t>
      </w:r>
      <w:r>
        <w:t>Tratado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paquete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permiso. Las aguas residuales domésticas se tratan en una planta de lodos activados que funciona en modo de estabilización por contacto. Las unidades de tratamiento incluyen un tamiz de barra</w:t>
      </w:r>
      <w:r>
        <w:t xml:space="preserve">s, una balsa de aireación, un clarificador, dos compartimientos de contacto con cloro y una balsa de </w:t>
      </w:r>
      <w:proofErr w:type="spellStart"/>
      <w:r>
        <w:t>reaireación</w:t>
      </w:r>
      <w:proofErr w:type="spellEnd"/>
      <w:r>
        <w:t xml:space="preserve"> y un digestor de lodos aeróbicos para el tratamiento de los sólidos.</w:t>
      </w:r>
    </w:p>
    <w:p w14:paraId="6A9C4F1B" w14:textId="77777777" w:rsidR="00B75E02" w:rsidRDefault="00B75E02">
      <w:pPr>
        <w:pStyle w:val="BodyText"/>
        <w:rPr>
          <w:sz w:val="20"/>
        </w:rPr>
      </w:pPr>
    </w:p>
    <w:p w14:paraId="0993B75F" w14:textId="77777777" w:rsidR="00B75E02" w:rsidRDefault="00B75E02">
      <w:pPr>
        <w:pStyle w:val="BodyText"/>
        <w:rPr>
          <w:sz w:val="20"/>
        </w:rPr>
      </w:pPr>
    </w:p>
    <w:p w14:paraId="02EE74F5" w14:textId="77777777" w:rsidR="00B75E02" w:rsidRDefault="00B75E02">
      <w:pPr>
        <w:pStyle w:val="BodyText"/>
        <w:rPr>
          <w:sz w:val="20"/>
        </w:rPr>
      </w:pPr>
    </w:p>
    <w:p w14:paraId="11098C63" w14:textId="77777777" w:rsidR="00B75E02" w:rsidRDefault="00B75E02">
      <w:pPr>
        <w:pStyle w:val="BodyText"/>
        <w:rPr>
          <w:sz w:val="20"/>
        </w:rPr>
      </w:pPr>
    </w:p>
    <w:p w14:paraId="365B59FB" w14:textId="77777777" w:rsidR="00B75E02" w:rsidRDefault="00B75E02">
      <w:pPr>
        <w:pStyle w:val="BodyText"/>
        <w:rPr>
          <w:sz w:val="20"/>
        </w:rPr>
      </w:pPr>
    </w:p>
    <w:p w14:paraId="6997BC83" w14:textId="77777777" w:rsidR="00B75E02" w:rsidRDefault="00B75E02">
      <w:pPr>
        <w:pStyle w:val="BodyText"/>
        <w:rPr>
          <w:sz w:val="20"/>
        </w:rPr>
      </w:pPr>
    </w:p>
    <w:p w14:paraId="7D27CE9E" w14:textId="77777777" w:rsidR="00B75E02" w:rsidRDefault="00B75E02">
      <w:pPr>
        <w:pStyle w:val="BodyText"/>
        <w:rPr>
          <w:sz w:val="20"/>
        </w:rPr>
      </w:pPr>
    </w:p>
    <w:p w14:paraId="7B2E8C37" w14:textId="77777777" w:rsidR="00B75E02" w:rsidRDefault="00B75E02">
      <w:pPr>
        <w:pStyle w:val="BodyText"/>
        <w:rPr>
          <w:sz w:val="20"/>
        </w:rPr>
      </w:pPr>
    </w:p>
    <w:p w14:paraId="43C60DE5" w14:textId="77777777" w:rsidR="00B75E02" w:rsidRDefault="00B75E02">
      <w:pPr>
        <w:pStyle w:val="BodyText"/>
        <w:rPr>
          <w:sz w:val="20"/>
        </w:rPr>
      </w:pPr>
    </w:p>
    <w:p w14:paraId="200FE408" w14:textId="77777777" w:rsidR="00B75E02" w:rsidRDefault="00B75E02">
      <w:pPr>
        <w:pStyle w:val="BodyText"/>
        <w:rPr>
          <w:sz w:val="20"/>
        </w:rPr>
      </w:pPr>
    </w:p>
    <w:p w14:paraId="1CABD895" w14:textId="77777777" w:rsidR="00B75E02" w:rsidRDefault="00B75E02">
      <w:pPr>
        <w:pStyle w:val="BodyText"/>
        <w:rPr>
          <w:sz w:val="20"/>
        </w:rPr>
      </w:pPr>
    </w:p>
    <w:p w14:paraId="07A07F29" w14:textId="77777777" w:rsidR="00B75E02" w:rsidRDefault="00B75E02">
      <w:pPr>
        <w:pStyle w:val="BodyText"/>
        <w:rPr>
          <w:sz w:val="20"/>
        </w:rPr>
      </w:pPr>
    </w:p>
    <w:p w14:paraId="333AEFC2" w14:textId="77777777" w:rsidR="00B75E02" w:rsidRDefault="00B75E02">
      <w:pPr>
        <w:pStyle w:val="BodyText"/>
        <w:rPr>
          <w:sz w:val="20"/>
        </w:rPr>
      </w:pPr>
    </w:p>
    <w:p w14:paraId="770CB13A" w14:textId="77777777" w:rsidR="00B75E02" w:rsidRDefault="00B75E02">
      <w:pPr>
        <w:pStyle w:val="BodyText"/>
        <w:rPr>
          <w:sz w:val="20"/>
        </w:rPr>
      </w:pPr>
    </w:p>
    <w:p w14:paraId="3CF7F069" w14:textId="77777777" w:rsidR="00B75E02" w:rsidRDefault="00B75E02">
      <w:pPr>
        <w:pStyle w:val="BodyText"/>
        <w:rPr>
          <w:sz w:val="20"/>
        </w:rPr>
      </w:pPr>
    </w:p>
    <w:p w14:paraId="0ECECD2E" w14:textId="77777777" w:rsidR="00B75E02" w:rsidRDefault="00B75E02">
      <w:pPr>
        <w:pStyle w:val="BodyText"/>
        <w:rPr>
          <w:sz w:val="20"/>
        </w:rPr>
      </w:pPr>
    </w:p>
    <w:p w14:paraId="2EA219CE" w14:textId="77777777" w:rsidR="00B75E02" w:rsidRDefault="00B75E02">
      <w:pPr>
        <w:pStyle w:val="BodyText"/>
        <w:rPr>
          <w:sz w:val="20"/>
        </w:rPr>
      </w:pPr>
    </w:p>
    <w:p w14:paraId="1BC4C13D" w14:textId="77777777" w:rsidR="00B75E02" w:rsidRDefault="00B75E02">
      <w:pPr>
        <w:pStyle w:val="BodyText"/>
        <w:rPr>
          <w:sz w:val="20"/>
        </w:rPr>
      </w:pPr>
    </w:p>
    <w:p w14:paraId="66360CFC" w14:textId="77777777" w:rsidR="00B75E02" w:rsidRDefault="00B75E02">
      <w:pPr>
        <w:pStyle w:val="BodyText"/>
        <w:rPr>
          <w:sz w:val="20"/>
        </w:rPr>
      </w:pPr>
    </w:p>
    <w:p w14:paraId="429D18DB" w14:textId="77777777" w:rsidR="00B75E02" w:rsidRDefault="00B75E02">
      <w:pPr>
        <w:pStyle w:val="BodyText"/>
        <w:rPr>
          <w:sz w:val="20"/>
        </w:rPr>
      </w:pPr>
    </w:p>
    <w:p w14:paraId="1FCF6652" w14:textId="77777777" w:rsidR="00B75E02" w:rsidRDefault="00B75E02">
      <w:pPr>
        <w:pStyle w:val="BodyText"/>
        <w:rPr>
          <w:sz w:val="20"/>
        </w:rPr>
      </w:pPr>
    </w:p>
    <w:p w14:paraId="72952CAE" w14:textId="77777777" w:rsidR="00B75E02" w:rsidRDefault="00B75E02">
      <w:pPr>
        <w:pStyle w:val="BodyText"/>
        <w:rPr>
          <w:sz w:val="20"/>
        </w:rPr>
      </w:pPr>
    </w:p>
    <w:p w14:paraId="5FE007B2" w14:textId="77777777" w:rsidR="00B75E02" w:rsidRDefault="00B75E02">
      <w:pPr>
        <w:pStyle w:val="BodyText"/>
        <w:rPr>
          <w:sz w:val="20"/>
        </w:rPr>
      </w:pPr>
    </w:p>
    <w:p w14:paraId="30941480" w14:textId="77777777" w:rsidR="00B75E02" w:rsidRDefault="00B75E02">
      <w:pPr>
        <w:pStyle w:val="BodyText"/>
        <w:spacing w:before="1"/>
        <w:rPr>
          <w:sz w:val="19"/>
        </w:rPr>
      </w:pPr>
    </w:p>
    <w:p w14:paraId="3BE34E5D" w14:textId="77777777" w:rsidR="00B75E02" w:rsidRDefault="004178C6">
      <w:pPr>
        <w:spacing w:before="100"/>
        <w:ind w:right="117"/>
        <w:jc w:val="right"/>
        <w:rPr>
          <w:sz w:val="20"/>
        </w:rPr>
      </w:pPr>
      <w:r>
        <w:rPr>
          <w:sz w:val="20"/>
        </w:rPr>
        <w:t>ATT</w:t>
      </w:r>
      <w:r>
        <w:rPr>
          <w:spacing w:val="-1"/>
          <w:sz w:val="20"/>
        </w:rPr>
        <w:t xml:space="preserve"> </w:t>
      </w:r>
      <w:r>
        <w:rPr>
          <w:sz w:val="20"/>
        </w:rPr>
        <w:t>C-</w:t>
      </w:r>
      <w:r>
        <w:rPr>
          <w:spacing w:val="-10"/>
          <w:sz w:val="20"/>
        </w:rPr>
        <w:t>2</w:t>
      </w:r>
    </w:p>
    <w:p w14:paraId="1A4213CA" w14:textId="77777777" w:rsidR="00B75E02" w:rsidRDefault="004178C6">
      <w:pPr>
        <w:spacing w:before="1"/>
        <w:ind w:left="1082"/>
        <w:rPr>
          <w:sz w:val="12"/>
        </w:rPr>
      </w:pPr>
      <w:r>
        <w:rPr>
          <w:sz w:val="12"/>
        </w:rPr>
        <w:t>M:\Projects\1882\020-01\6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Regulatory</w:t>
      </w:r>
      <w:proofErr w:type="spellEnd"/>
      <w:r>
        <w:rPr>
          <w:sz w:val="12"/>
        </w:rPr>
        <w:t>\6-1</w:t>
      </w:r>
      <w:r>
        <w:rPr>
          <w:spacing w:val="-6"/>
          <w:sz w:val="12"/>
        </w:rPr>
        <w:t xml:space="preserve"> </w:t>
      </w:r>
      <w:r>
        <w:rPr>
          <w:sz w:val="12"/>
        </w:rPr>
        <w:t>Aldine</w:t>
      </w:r>
      <w:r>
        <w:rPr>
          <w:spacing w:val="-5"/>
          <w:sz w:val="12"/>
        </w:rPr>
        <w:t xml:space="preserve"> </w:t>
      </w:r>
      <w:r>
        <w:rPr>
          <w:sz w:val="12"/>
        </w:rPr>
        <w:t>Forest\6-1-1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Permit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\</w:t>
      </w:r>
      <w:proofErr w:type="spellStart"/>
      <w:r>
        <w:rPr>
          <w:sz w:val="12"/>
        </w:rPr>
        <w:t>Attachments</w:t>
      </w:r>
      <w:proofErr w:type="spellEnd"/>
      <w:r>
        <w:rPr>
          <w:sz w:val="12"/>
        </w:rPr>
        <w:t>\</w:t>
      </w:r>
      <w:proofErr w:type="spellStart"/>
      <w:r>
        <w:rPr>
          <w:sz w:val="12"/>
        </w:rPr>
        <w:t>Attachment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C</w:t>
      </w:r>
      <w:r>
        <w:rPr>
          <w:spacing w:val="-6"/>
          <w:sz w:val="12"/>
        </w:rPr>
        <w:t xml:space="preserve"> </w:t>
      </w:r>
      <w:r>
        <w:rPr>
          <w:sz w:val="12"/>
        </w:rPr>
        <w:t>Municipal</w:t>
      </w:r>
      <w:r>
        <w:rPr>
          <w:spacing w:val="-6"/>
          <w:sz w:val="12"/>
        </w:rPr>
        <w:t xml:space="preserve"> </w:t>
      </w:r>
      <w:r>
        <w:rPr>
          <w:sz w:val="12"/>
        </w:rPr>
        <w:t>TPDES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PLS_final.docx</w:t>
      </w:r>
    </w:p>
    <w:sectPr w:rsidR="00B75E02">
      <w:type w:val="continuous"/>
      <w:pgSz w:w="12240" w:h="15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E02"/>
    <w:rsid w:val="004178C6"/>
    <w:rsid w:val="00B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326C6"/>
  <w15:docId w15:val="{1F109C4F-72A9-42F3-B493-D49655E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120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8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Cover_06-2022</dc:title>
  <dc:creator>jenglish</dc:creator>
  <cp:lastModifiedBy>Leah Whallon</cp:lastModifiedBy>
  <cp:revision>2</cp:revision>
  <dcterms:created xsi:type="dcterms:W3CDTF">2022-06-30T20:39:00Z</dcterms:created>
  <dcterms:modified xsi:type="dcterms:W3CDTF">2022-06-30T20:39:00Z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2022-06-30T00:00:00Z</vt:filetime>
  </property>
  <property fmtid="{D5CDD505-2E9C-101B-9397-08002B2CF9AE}" pid="5" name="Producer">
    <vt:lpwstr>Adobe Acrobat 10.1.16 Paper Capture Plug-in</vt:lpwstr>
  </property>
</Properties>
</file>