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692BA14" w:rsidR="00A37037" w:rsidRPr="00621D8F" w:rsidRDefault="00A37037">
      <w:pPr>
        <w:widowControl w:val="0"/>
        <w:jc w:val="center"/>
        <w:rPr>
          <w:rFonts w:ascii="Georgia" w:hAnsi="Georgia"/>
          <w:b/>
          <w:sz w:val="22"/>
          <w:szCs w:val="22"/>
        </w:rPr>
      </w:pPr>
      <w:r w:rsidRPr="00621D8F">
        <w:rPr>
          <w:rFonts w:ascii="Georgia" w:hAnsi="Georgia"/>
          <w:b/>
          <w:sz w:val="22"/>
          <w:szCs w:val="22"/>
        </w:rPr>
        <w:t xml:space="preserve">PERMIT NO. </w:t>
      </w:r>
      <w:r w:rsidR="00621D8F" w:rsidRPr="00621D8F">
        <w:rPr>
          <w:rFonts w:ascii="Georgia" w:hAnsi="Georgia"/>
          <w:b/>
          <w:bCs/>
          <w:sz w:val="22"/>
          <w:szCs w:val="22"/>
        </w:rPr>
        <w:t>WQ0014882001</w:t>
      </w:r>
    </w:p>
    <w:p w14:paraId="4D7114C8" w14:textId="77777777" w:rsidR="00A37037" w:rsidRPr="00621D8F" w:rsidRDefault="00A37037">
      <w:pPr>
        <w:widowControl w:val="0"/>
        <w:rPr>
          <w:rFonts w:ascii="Georgia" w:hAnsi="Georgia"/>
          <w:sz w:val="22"/>
          <w:szCs w:val="22"/>
        </w:rPr>
      </w:pPr>
    </w:p>
    <w:p w14:paraId="4E774CFE" w14:textId="4F34273A" w:rsidR="00621D8F" w:rsidRPr="00621D8F" w:rsidRDefault="00A37037" w:rsidP="00621D8F">
      <w:pPr>
        <w:rPr>
          <w:rFonts w:ascii="Georgia" w:hAnsi="Georgia"/>
          <w:sz w:val="22"/>
          <w:szCs w:val="22"/>
        </w:rPr>
      </w:pPr>
      <w:r w:rsidRPr="00621D8F">
        <w:rPr>
          <w:rFonts w:ascii="Georgia" w:hAnsi="Georgia"/>
          <w:b/>
          <w:sz w:val="22"/>
          <w:szCs w:val="22"/>
        </w:rPr>
        <w:t xml:space="preserve">APPLICATION. </w:t>
      </w:r>
      <w:r w:rsidR="00621D8F" w:rsidRPr="00621D8F">
        <w:rPr>
          <w:rFonts w:ascii="Georgia" w:hAnsi="Georgia"/>
          <w:sz w:val="22"/>
          <w:szCs w:val="22"/>
        </w:rPr>
        <w:t>North Bayport Pasadena IP, Ltd., 2780 Skypark Drive</w:t>
      </w:r>
      <w:r w:rsidR="00A75C72">
        <w:rPr>
          <w:rFonts w:ascii="Georgia" w:hAnsi="Georgia"/>
          <w:sz w:val="22"/>
          <w:szCs w:val="22"/>
        </w:rPr>
        <w:t>, Suite 410</w:t>
      </w:r>
      <w:r w:rsidR="00621D8F" w:rsidRPr="00621D8F">
        <w:rPr>
          <w:rFonts w:ascii="Georgia" w:hAnsi="Georgia"/>
          <w:sz w:val="22"/>
          <w:szCs w:val="22"/>
        </w:rPr>
        <w:t>, Torrance, California 90505, has applied to the Texas Commission on Environmental Quality (TCEQ) to renew Texas Pollutant Discharge Elimination System (TPDES) Permit No. WQ0014882001 (EPA I.D. No. TX0083836) to authorize the discharge of treated wastewater at a volume not to exceed a daily average flow of 25,000 gallons per day. The domestic wastewater treatment facility is located at 18874 East Hardy Road, Houston, in Harris County, Texas 77073. The discharge route is from the plant site to an onsite pond</w:t>
      </w:r>
      <w:r w:rsidR="00383E88">
        <w:rPr>
          <w:rFonts w:ascii="Georgia" w:hAnsi="Georgia"/>
          <w:sz w:val="22"/>
          <w:szCs w:val="22"/>
        </w:rPr>
        <w:t>;</w:t>
      </w:r>
      <w:r w:rsidR="00621D8F" w:rsidRPr="00621D8F">
        <w:rPr>
          <w:rFonts w:ascii="Georgia" w:hAnsi="Georgia"/>
          <w:sz w:val="22"/>
          <w:szCs w:val="22"/>
        </w:rPr>
        <w:t xml:space="preserve"> thence to an unnamed ditch; thence to a seri</w:t>
      </w:r>
      <w:r w:rsidR="00A75C72">
        <w:rPr>
          <w:rFonts w:ascii="Georgia" w:hAnsi="Georgia"/>
          <w:sz w:val="22"/>
          <w:szCs w:val="22"/>
        </w:rPr>
        <w:t>e</w:t>
      </w:r>
      <w:r w:rsidR="00621D8F" w:rsidRPr="00621D8F">
        <w:rPr>
          <w:rFonts w:ascii="Georgia" w:hAnsi="Georgia"/>
          <w:sz w:val="22"/>
          <w:szCs w:val="22"/>
        </w:rPr>
        <w:t>s of Harris Cunty Flood Control District Ditch</w:t>
      </w:r>
      <w:r w:rsidR="00A75C72">
        <w:rPr>
          <w:rFonts w:ascii="Georgia" w:hAnsi="Georgia"/>
          <w:sz w:val="22"/>
          <w:szCs w:val="22"/>
        </w:rPr>
        <w:t>es</w:t>
      </w:r>
      <w:r w:rsidR="00621D8F" w:rsidRPr="00621D8F">
        <w:rPr>
          <w:rFonts w:ascii="Georgia" w:hAnsi="Georgia"/>
          <w:sz w:val="22"/>
          <w:szCs w:val="22"/>
        </w:rPr>
        <w:t xml:space="preserve">; thence to Greens Bayou Above Tidal. TCEQ received this application on June 1, 2022. The permit application is available for viewing and copying at Harris County Library – Aldine Branch, </w:t>
      </w:r>
      <w:r w:rsidR="00A75C72">
        <w:rPr>
          <w:rFonts w:ascii="Georgia" w:hAnsi="Georgia"/>
          <w:sz w:val="22"/>
          <w:szCs w:val="22"/>
        </w:rPr>
        <w:t xml:space="preserve">11331 Airline Drive, </w:t>
      </w:r>
      <w:r w:rsidR="00621D8F" w:rsidRPr="00621D8F">
        <w:rPr>
          <w:rFonts w:ascii="Georgia" w:hAnsi="Georgia"/>
          <w:sz w:val="22"/>
          <w:szCs w:val="22"/>
        </w:rPr>
        <w:t>Houston, Texas. This link to an electronic map of the site or facility's general location is provided as a public courtesy and not part of the application or notice. For the exact location, refer to the application.</w:t>
      </w:r>
    </w:p>
    <w:p w14:paraId="7071F5D1" w14:textId="1355DB42" w:rsidR="00621D8F" w:rsidRDefault="00383E88" w:rsidP="00621D8F">
      <w:pPr>
        <w:rPr>
          <w:u w:val="single"/>
          <w:lang w:val="es-MX"/>
        </w:rPr>
      </w:pPr>
      <w:hyperlink r:id="rId6" w:history="1">
        <w:r w:rsidR="00621D8F" w:rsidRPr="00D469B6">
          <w:rPr>
            <w:rStyle w:val="Hyperlink"/>
            <w:lang w:val="es-MX"/>
          </w:rPr>
          <w:t>https://tceq.maps.arcgis.com/apps/webappviewer/index.html?id=db5bac44afbc468bbddd360f8168250f&amp;marker=-95.394083%2C29.991072&amp;level=12</w:t>
        </w:r>
      </w:hyperlink>
    </w:p>
    <w:p w14:paraId="558CB867" w14:textId="77777777" w:rsidR="00A37037" w:rsidRPr="00943CAF" w:rsidRDefault="00A37037" w:rsidP="00FC1161">
      <w:pPr>
        <w:widowControl w:val="0"/>
        <w:rPr>
          <w:rFonts w:asciiTheme="minorHAnsi" w:hAnsiTheme="minorHAnsi"/>
          <w:sz w:val="22"/>
          <w:szCs w:val="22"/>
        </w:rPr>
      </w:pPr>
    </w:p>
    <w:p w14:paraId="66C3ECCB" w14:textId="77777777" w:rsidR="00BE16A7" w:rsidRPr="00621D8F" w:rsidRDefault="00BE16A7" w:rsidP="00BE16A7">
      <w:pPr>
        <w:rPr>
          <w:rFonts w:asciiTheme="minorHAnsi" w:hAnsiTheme="minorHAnsi"/>
          <w:sz w:val="22"/>
          <w:szCs w:val="22"/>
        </w:rPr>
      </w:pPr>
      <w:r w:rsidRPr="00621D8F">
        <w:rPr>
          <w:rFonts w:asciiTheme="minorHAnsi" w:hAnsiTheme="minorHAnsi"/>
          <w:b/>
          <w:bCs/>
          <w:sz w:val="22"/>
          <w:szCs w:val="22"/>
        </w:rPr>
        <w:t>ALTERNATIVE LANGUAGE NOTICE.</w:t>
      </w:r>
      <w:r w:rsidRPr="00621D8F">
        <w:rPr>
          <w:sz w:val="22"/>
          <w:szCs w:val="22"/>
        </w:rPr>
        <w:t> </w:t>
      </w:r>
      <w:r w:rsidRPr="00621D8F">
        <w:rPr>
          <w:rFonts w:asciiTheme="minorHAnsi" w:hAnsiTheme="minorHAnsi"/>
          <w:sz w:val="22"/>
          <w:szCs w:val="22"/>
        </w:rPr>
        <w:t xml:space="preserve">Alternative language notice in Spanish is available at </w:t>
      </w:r>
      <w:hyperlink r:id="rId7" w:history="1">
        <w:r w:rsidRPr="00621D8F">
          <w:rPr>
            <w:rStyle w:val="Hyperlink"/>
            <w:rFonts w:asciiTheme="minorHAnsi" w:hAnsiTheme="minorHAnsi"/>
            <w:color w:val="auto"/>
            <w:sz w:val="22"/>
            <w:szCs w:val="22"/>
          </w:rPr>
          <w:t>https://www.tceq.texas.gov/permitting/wastewater/plain-language-summaries-and-public-notices</w:t>
        </w:r>
      </w:hyperlink>
      <w:r w:rsidRPr="00621D8F">
        <w:rPr>
          <w:rFonts w:asciiTheme="minorHAnsi" w:hAnsiTheme="minorHAnsi"/>
          <w:sz w:val="22"/>
          <w:szCs w:val="22"/>
        </w:rPr>
        <w:t>.</w:t>
      </w:r>
      <w:r w:rsidRPr="00621D8F">
        <w:rPr>
          <w:rFonts w:asciiTheme="minorHAnsi" w:hAnsiTheme="minorHAnsi"/>
          <w:b/>
          <w:bCs/>
          <w:sz w:val="22"/>
          <w:szCs w:val="22"/>
        </w:rPr>
        <w:t xml:space="preserve"> </w:t>
      </w:r>
      <w:r w:rsidRPr="00621D8F">
        <w:rPr>
          <w:rFonts w:asciiTheme="minorHAnsi" w:hAnsiTheme="minorHAnsi"/>
          <w:sz w:val="22"/>
          <w:szCs w:val="22"/>
        </w:rPr>
        <w:t xml:space="preserve">El aviso de </w:t>
      </w:r>
      <w:proofErr w:type="spellStart"/>
      <w:r w:rsidRPr="00621D8F">
        <w:rPr>
          <w:rFonts w:asciiTheme="minorHAnsi" w:hAnsiTheme="minorHAnsi"/>
          <w:sz w:val="22"/>
          <w:szCs w:val="22"/>
        </w:rPr>
        <w:t>idioma</w:t>
      </w:r>
      <w:proofErr w:type="spellEnd"/>
      <w:r w:rsidRPr="00621D8F">
        <w:rPr>
          <w:rFonts w:asciiTheme="minorHAnsi" w:hAnsiTheme="minorHAnsi"/>
          <w:sz w:val="22"/>
          <w:szCs w:val="22"/>
        </w:rPr>
        <w:t xml:space="preserve"> alternativo </w:t>
      </w:r>
      <w:proofErr w:type="spellStart"/>
      <w:r w:rsidRPr="00621D8F">
        <w:rPr>
          <w:rFonts w:asciiTheme="minorHAnsi" w:hAnsiTheme="minorHAnsi"/>
          <w:sz w:val="22"/>
          <w:szCs w:val="22"/>
        </w:rPr>
        <w:t>en</w:t>
      </w:r>
      <w:proofErr w:type="spellEnd"/>
      <w:r w:rsidRPr="00621D8F">
        <w:rPr>
          <w:rFonts w:asciiTheme="minorHAnsi" w:hAnsiTheme="minorHAnsi"/>
          <w:sz w:val="22"/>
          <w:szCs w:val="22"/>
        </w:rPr>
        <w:t xml:space="preserve"> </w:t>
      </w:r>
      <w:proofErr w:type="spellStart"/>
      <w:r w:rsidRPr="00621D8F">
        <w:rPr>
          <w:rFonts w:asciiTheme="minorHAnsi" w:hAnsiTheme="minorHAnsi"/>
          <w:sz w:val="22"/>
          <w:szCs w:val="22"/>
        </w:rPr>
        <w:t>español</w:t>
      </w:r>
      <w:proofErr w:type="spellEnd"/>
      <w:r w:rsidRPr="00621D8F">
        <w:rPr>
          <w:rFonts w:asciiTheme="minorHAnsi" w:hAnsiTheme="minorHAnsi"/>
          <w:sz w:val="22"/>
          <w:szCs w:val="22"/>
        </w:rPr>
        <w:t xml:space="preserve"> </w:t>
      </w:r>
      <w:proofErr w:type="spellStart"/>
      <w:r w:rsidRPr="00621D8F">
        <w:rPr>
          <w:rFonts w:asciiTheme="minorHAnsi" w:hAnsiTheme="minorHAnsi"/>
          <w:sz w:val="22"/>
          <w:szCs w:val="22"/>
        </w:rPr>
        <w:t>está</w:t>
      </w:r>
      <w:proofErr w:type="spellEnd"/>
      <w:r w:rsidRPr="00621D8F">
        <w:rPr>
          <w:rFonts w:asciiTheme="minorHAnsi" w:hAnsiTheme="minorHAnsi"/>
          <w:sz w:val="22"/>
          <w:szCs w:val="22"/>
        </w:rPr>
        <w:t xml:space="preserve"> disponible </w:t>
      </w:r>
      <w:proofErr w:type="spellStart"/>
      <w:r w:rsidRPr="00621D8F">
        <w:rPr>
          <w:rFonts w:asciiTheme="minorHAnsi" w:hAnsiTheme="minorHAnsi"/>
          <w:sz w:val="22"/>
          <w:szCs w:val="22"/>
        </w:rPr>
        <w:t>en</w:t>
      </w:r>
      <w:proofErr w:type="spellEnd"/>
      <w:r w:rsidRPr="00621D8F">
        <w:rPr>
          <w:rFonts w:asciiTheme="minorHAnsi" w:hAnsiTheme="minorHAnsi"/>
          <w:sz w:val="22"/>
          <w:szCs w:val="22"/>
        </w:rPr>
        <w:t xml:space="preserve"> </w:t>
      </w:r>
      <w:hyperlink r:id="rId8" w:history="1">
        <w:r w:rsidRPr="00621D8F">
          <w:rPr>
            <w:rStyle w:val="Hyperlink"/>
            <w:rFonts w:asciiTheme="minorHAnsi" w:hAnsiTheme="minorHAnsi"/>
            <w:color w:val="auto"/>
            <w:sz w:val="22"/>
            <w:szCs w:val="22"/>
          </w:rPr>
          <w:t>https://www.tceq.texas.gov/permitting/wastewater/plain-language-summaries-and-public-notices</w:t>
        </w:r>
      </w:hyperlink>
      <w:r w:rsidRPr="00621D8F">
        <w:rPr>
          <w:rFonts w:asciiTheme="minorHAnsi" w:hAnsiTheme="minorHAnsi"/>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922506D" w14:textId="68E969F1" w:rsidR="00621D8F" w:rsidRPr="00621D8F" w:rsidRDefault="00621D8F" w:rsidP="00621D8F">
      <w:pPr>
        <w:rPr>
          <w:rFonts w:asciiTheme="minorHAnsi" w:hAnsiTheme="minorHAnsi"/>
          <w:sz w:val="22"/>
          <w:szCs w:val="22"/>
        </w:rPr>
      </w:pPr>
      <w:r w:rsidRPr="00621D8F">
        <w:rPr>
          <w:rFonts w:asciiTheme="minorHAnsi" w:hAnsiTheme="minorHAnsi"/>
          <w:sz w:val="22"/>
          <w:szCs w:val="22"/>
        </w:rPr>
        <w:t>Further information may also be obtained from North Bayport Pasadena IP</w:t>
      </w:r>
      <w:r w:rsidR="00A75C72">
        <w:rPr>
          <w:rFonts w:asciiTheme="minorHAnsi" w:hAnsiTheme="minorHAnsi"/>
          <w:sz w:val="22"/>
          <w:szCs w:val="22"/>
        </w:rPr>
        <w:t>, Ltd.</w:t>
      </w:r>
      <w:r w:rsidR="00A755A0">
        <w:rPr>
          <w:rFonts w:asciiTheme="minorHAnsi" w:hAnsiTheme="minorHAnsi"/>
          <w:sz w:val="22"/>
          <w:szCs w:val="22"/>
        </w:rPr>
        <w:t xml:space="preserve"> </w:t>
      </w:r>
      <w:r w:rsidRPr="00621D8F">
        <w:rPr>
          <w:rFonts w:asciiTheme="minorHAnsi" w:hAnsiTheme="minorHAnsi"/>
          <w:sz w:val="22"/>
          <w:szCs w:val="22"/>
        </w:rPr>
        <w:t>at the address stated above or by calling Mr. Patrick Aucoin, President, Aucoin, &amp; Associates, Inc., at 281-583-6855.</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107B03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A755A0" w:rsidRPr="00A755A0">
        <w:rPr>
          <w:rFonts w:asciiTheme="minorHAnsi" w:hAnsiTheme="minorHAnsi"/>
          <w:iCs/>
          <w:sz w:val="22"/>
          <w:szCs w:val="22"/>
        </w:rPr>
        <w:t>August 29</w:t>
      </w:r>
      <w:r w:rsidR="00621D8F" w:rsidRPr="00A755A0">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83E88"/>
    <w:rsid w:val="003E0931"/>
    <w:rsid w:val="003F3271"/>
    <w:rsid w:val="00562CFA"/>
    <w:rsid w:val="005E5179"/>
    <w:rsid w:val="00621D8F"/>
    <w:rsid w:val="006B4B01"/>
    <w:rsid w:val="00780876"/>
    <w:rsid w:val="007E37E3"/>
    <w:rsid w:val="0082339D"/>
    <w:rsid w:val="00873E20"/>
    <w:rsid w:val="008C570E"/>
    <w:rsid w:val="008D433D"/>
    <w:rsid w:val="008E0430"/>
    <w:rsid w:val="00943CAF"/>
    <w:rsid w:val="00946A9F"/>
    <w:rsid w:val="009B5DA8"/>
    <w:rsid w:val="00A37037"/>
    <w:rsid w:val="00A47A53"/>
    <w:rsid w:val="00A755A0"/>
    <w:rsid w:val="00A75C72"/>
    <w:rsid w:val="00A876DD"/>
    <w:rsid w:val="00A9155F"/>
    <w:rsid w:val="00A9774B"/>
    <w:rsid w:val="00AD37F4"/>
    <w:rsid w:val="00B074CA"/>
    <w:rsid w:val="00B075BC"/>
    <w:rsid w:val="00B6469A"/>
    <w:rsid w:val="00B65B5F"/>
    <w:rsid w:val="00BA1628"/>
    <w:rsid w:val="00BE16A7"/>
    <w:rsid w:val="00BF1BB7"/>
    <w:rsid w:val="00C27EF0"/>
    <w:rsid w:val="00C33A19"/>
    <w:rsid w:val="00C901F8"/>
    <w:rsid w:val="00D149DC"/>
    <w:rsid w:val="00D74809"/>
    <w:rsid w:val="00DA0111"/>
    <w:rsid w:val="00DA0AC2"/>
    <w:rsid w:val="00DA6059"/>
    <w:rsid w:val="00DF1241"/>
    <w:rsid w:val="00E33248"/>
    <w:rsid w:val="00E52844"/>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94083%2C29.99107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6883</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7968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3</cp:revision>
  <cp:lastPrinted>2022-05-04T20:21:00Z</cp:lastPrinted>
  <dcterms:created xsi:type="dcterms:W3CDTF">2022-08-29T17:18:00Z</dcterms:created>
  <dcterms:modified xsi:type="dcterms:W3CDTF">2022-08-29T17:47:00Z</dcterms:modified>
</cp:coreProperties>
</file>