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CA7C0" w14:textId="77777777" w:rsidR="00655AEC" w:rsidRDefault="00655AEC">
      <w:pPr>
        <w:pStyle w:val="BodyText"/>
        <w:spacing w:before="11"/>
        <w:ind w:left="0" w:right="0"/>
        <w:rPr>
          <w:sz w:val="21"/>
        </w:rPr>
      </w:pPr>
    </w:p>
    <w:p w14:paraId="0DFC1BC3" w14:textId="77777777" w:rsidR="00655AEC" w:rsidRDefault="00085B2C">
      <w:pPr>
        <w:pStyle w:val="BodyText"/>
        <w:rPr>
          <w:b/>
        </w:rPr>
      </w:pPr>
      <w:r>
        <w:rPr>
          <w:b/>
        </w:rPr>
        <w:t>ENGLISH</w:t>
      </w:r>
      <w:r>
        <w:rPr>
          <w:b/>
          <w:spacing w:val="-5"/>
        </w:rPr>
        <w:t xml:space="preserve"> </w:t>
      </w:r>
      <w:r>
        <w:rPr>
          <w:b/>
        </w:rPr>
        <w:t>TEMPLATE</w:t>
      </w:r>
      <w:r>
        <w:rPr>
          <w:b/>
          <w:spacing w:val="-5"/>
        </w:rPr>
        <w:t xml:space="preserve"> </w:t>
      </w:r>
      <w:r>
        <w:rPr>
          <w:b/>
        </w:rPr>
        <w:t>FOR</w:t>
      </w:r>
      <w:r>
        <w:rPr>
          <w:b/>
          <w:spacing w:val="-7"/>
        </w:rPr>
        <w:t xml:space="preserve"> </w:t>
      </w:r>
      <w:r>
        <w:rPr>
          <w:b/>
        </w:rPr>
        <w:t>TPDES</w:t>
      </w:r>
      <w:r>
        <w:rPr>
          <w:b/>
          <w:spacing w:val="-7"/>
        </w:rPr>
        <w:t xml:space="preserve"> </w:t>
      </w:r>
      <w:r>
        <w:rPr>
          <w:b/>
        </w:rPr>
        <w:t>or</w:t>
      </w:r>
      <w:r>
        <w:rPr>
          <w:b/>
          <w:spacing w:val="-5"/>
        </w:rPr>
        <w:t xml:space="preserve"> </w:t>
      </w:r>
      <w:r>
        <w:rPr>
          <w:b/>
        </w:rPr>
        <w:t>TLAP</w:t>
      </w:r>
      <w:r>
        <w:rPr>
          <w:b/>
          <w:spacing w:val="-6"/>
        </w:rPr>
        <w:t xml:space="preserve"> </w:t>
      </w:r>
      <w:r>
        <w:rPr>
          <w:b/>
        </w:rPr>
        <w:t>NEW/RENEWAL/AMENDMENT</w:t>
      </w:r>
      <w:r>
        <w:rPr>
          <w:b/>
          <w:spacing w:val="-3"/>
        </w:rPr>
        <w:t xml:space="preserve"> </w:t>
      </w:r>
      <w:r>
        <w:rPr>
          <w:b/>
        </w:rPr>
        <w:t>APPLICATIONS INDUSTRIAL WASTEWATER/STORMWATER</w:t>
      </w:r>
    </w:p>
    <w:p w14:paraId="1BC1C55C" w14:textId="77777777" w:rsidR="00655AEC" w:rsidRDefault="00085B2C">
      <w:pPr>
        <w:spacing w:before="1"/>
        <w:ind w:left="119" w:right="165"/>
      </w:pPr>
      <w:r>
        <w:rPr>
          <w:i/>
        </w:rPr>
        <w:t>The following summary is provided for this pending water quality permit application being reviewed by the Texas Commission on Environmental Quality as required by 30 Texas Administrative Code Chapter 39.</w:t>
      </w:r>
      <w:r>
        <w:rPr>
          <w:i/>
          <w:spacing w:val="40"/>
        </w:rPr>
        <w:t xml:space="preserve"> </w:t>
      </w:r>
      <w:r>
        <w:rPr>
          <w:i/>
        </w:rPr>
        <w:t>The information provided in this summary may change during</w:t>
      </w:r>
      <w:r>
        <w:rPr>
          <w:i/>
          <w:spacing w:val="-5"/>
        </w:rPr>
        <w:t xml:space="preserve"> </w:t>
      </w:r>
      <w:r>
        <w:rPr>
          <w:i/>
        </w:rPr>
        <w:t>the</w:t>
      </w:r>
      <w:r>
        <w:rPr>
          <w:i/>
          <w:spacing w:val="-6"/>
        </w:rPr>
        <w:t xml:space="preserve"> </w:t>
      </w:r>
      <w:r>
        <w:rPr>
          <w:i/>
        </w:rPr>
        <w:t>technical</w:t>
      </w:r>
      <w:r>
        <w:rPr>
          <w:i/>
          <w:spacing w:val="-1"/>
        </w:rPr>
        <w:t xml:space="preserve"> </w:t>
      </w:r>
      <w:r>
        <w:rPr>
          <w:i/>
        </w:rPr>
        <w:t>review</w:t>
      </w:r>
      <w:r>
        <w:rPr>
          <w:i/>
          <w:spacing w:val="-6"/>
        </w:rPr>
        <w:t xml:space="preserve"> </w:t>
      </w:r>
      <w:r>
        <w:rPr>
          <w:i/>
        </w:rPr>
        <w:t>of</w:t>
      </w:r>
      <w:r>
        <w:rPr>
          <w:i/>
          <w:spacing w:val="-3"/>
        </w:rPr>
        <w:t xml:space="preserve"> </w:t>
      </w:r>
      <w:r>
        <w:rPr>
          <w:i/>
        </w:rPr>
        <w:t>the</w:t>
      </w:r>
      <w:r>
        <w:rPr>
          <w:i/>
          <w:spacing w:val="-3"/>
        </w:rPr>
        <w:t xml:space="preserve"> </w:t>
      </w:r>
      <w:r>
        <w:rPr>
          <w:i/>
        </w:rPr>
        <w:t>application</w:t>
      </w:r>
      <w:r>
        <w:rPr>
          <w:i/>
          <w:spacing w:val="-4"/>
        </w:rPr>
        <w:t xml:space="preserve"> </w:t>
      </w:r>
      <w:r>
        <w:rPr>
          <w:i/>
        </w:rPr>
        <w:t>and</w:t>
      </w:r>
      <w:r>
        <w:rPr>
          <w:i/>
          <w:spacing w:val="-3"/>
        </w:rPr>
        <w:t xml:space="preserve"> </w:t>
      </w:r>
      <w:r>
        <w:rPr>
          <w:i/>
        </w:rPr>
        <w:t>are</w:t>
      </w:r>
      <w:r>
        <w:rPr>
          <w:i/>
          <w:spacing w:val="-3"/>
        </w:rPr>
        <w:t xml:space="preserve"> </w:t>
      </w:r>
      <w:r>
        <w:rPr>
          <w:i/>
        </w:rPr>
        <w:t>not</w:t>
      </w:r>
      <w:r>
        <w:rPr>
          <w:i/>
          <w:spacing w:val="-2"/>
        </w:rPr>
        <w:t xml:space="preserve"> </w:t>
      </w:r>
      <w:r>
        <w:rPr>
          <w:i/>
        </w:rPr>
        <w:t>federal</w:t>
      </w:r>
      <w:r>
        <w:rPr>
          <w:i/>
          <w:spacing w:val="-4"/>
        </w:rPr>
        <w:t xml:space="preserve"> </w:t>
      </w:r>
      <w:r>
        <w:rPr>
          <w:i/>
        </w:rPr>
        <w:t>enforceable</w:t>
      </w:r>
      <w:r>
        <w:rPr>
          <w:i/>
          <w:spacing w:val="-3"/>
        </w:rPr>
        <w:t xml:space="preserve"> </w:t>
      </w:r>
      <w:r>
        <w:rPr>
          <w:i/>
        </w:rPr>
        <w:t>representations of the permit application</w:t>
      </w:r>
      <w:r>
        <w:t>.</w:t>
      </w:r>
    </w:p>
    <w:p w14:paraId="73BD12C4" w14:textId="77777777" w:rsidR="00655AEC" w:rsidRDefault="00085B2C">
      <w:pPr>
        <w:pStyle w:val="BodyText"/>
        <w:spacing w:before="121"/>
      </w:pPr>
      <w:r>
        <w:t>U.S. Steel Oilwell Services, LLC ( (CN604278002 ) operates Offshore Operations Houston (RN100650621), a facility for finishing oil country tubular products. The facility is located at 9518</w:t>
      </w:r>
      <w:r>
        <w:rPr>
          <w:spacing w:val="-3"/>
        </w:rPr>
        <w:t xml:space="preserve"> </w:t>
      </w:r>
      <w:r>
        <w:t>E.</w:t>
      </w:r>
      <w:r>
        <w:rPr>
          <w:spacing w:val="-4"/>
        </w:rPr>
        <w:t xml:space="preserve"> </w:t>
      </w:r>
      <w:r>
        <w:t>Mount</w:t>
      </w:r>
      <w:r>
        <w:rPr>
          <w:spacing w:val="-4"/>
        </w:rPr>
        <w:t xml:space="preserve"> </w:t>
      </w:r>
      <w:r>
        <w:t>Houston</w:t>
      </w:r>
      <w:r>
        <w:rPr>
          <w:spacing w:val="-3"/>
        </w:rPr>
        <w:t xml:space="preserve"> </w:t>
      </w:r>
      <w:r>
        <w:t>Road,</w:t>
      </w:r>
      <w:r>
        <w:rPr>
          <w:spacing w:val="-5"/>
        </w:rPr>
        <w:t xml:space="preserve"> </w:t>
      </w:r>
      <w:r>
        <w:t>in</w:t>
      </w:r>
      <w:r>
        <w:rPr>
          <w:spacing w:val="-3"/>
        </w:rPr>
        <w:t xml:space="preserve"> </w:t>
      </w:r>
      <w:r>
        <w:t>Houston,</w:t>
      </w:r>
      <w:r>
        <w:rPr>
          <w:spacing w:val="-5"/>
        </w:rPr>
        <w:t xml:space="preserve"> </w:t>
      </w:r>
      <w:r>
        <w:t>Harris</w:t>
      </w:r>
      <w:r>
        <w:rPr>
          <w:spacing w:val="-4"/>
        </w:rPr>
        <w:t xml:space="preserve"> </w:t>
      </w:r>
      <w:r>
        <w:t>County,</w:t>
      </w:r>
      <w:r>
        <w:rPr>
          <w:spacing w:val="-4"/>
        </w:rPr>
        <w:t xml:space="preserve"> </w:t>
      </w:r>
      <w:r>
        <w:t>Texas</w:t>
      </w:r>
      <w:r>
        <w:rPr>
          <w:spacing w:val="-4"/>
        </w:rPr>
        <w:t xml:space="preserve"> </w:t>
      </w:r>
      <w:r>
        <w:t>77050.</w:t>
      </w:r>
      <w:r>
        <w:rPr>
          <w:spacing w:val="-3"/>
        </w:rPr>
        <w:t xml:space="preserve"> </w:t>
      </w:r>
      <w:r>
        <w:t>This</w:t>
      </w:r>
      <w:r>
        <w:rPr>
          <w:spacing w:val="-4"/>
        </w:rPr>
        <w:t xml:space="preserve"> </w:t>
      </w:r>
      <w:r>
        <w:t>application</w:t>
      </w:r>
      <w:r>
        <w:rPr>
          <w:spacing w:val="-4"/>
        </w:rPr>
        <w:t xml:space="preserve"> </w:t>
      </w:r>
      <w:r>
        <w:t>is</w:t>
      </w:r>
      <w:r>
        <w:rPr>
          <w:spacing w:val="-4"/>
        </w:rPr>
        <w:t xml:space="preserve"> </w:t>
      </w:r>
      <w:r>
        <w:t>for a renewal to discharge hydrostatic test water, machinery wash water, and stormwater, and also authorizes the following waste streams monitored inside the facility (internal outfalls) before it is mixed with the other wastewaters authorized for discharge via main Outfall 003, referred to as “previously monitored effluents” (ultrasonic test water, phosphate process water, and water from pipe cleaning and cooling) via Outfall 003. Ultrasonic test water, phosphate process water, and</w:t>
      </w:r>
      <w:r>
        <w:rPr>
          <w:spacing w:val="-3"/>
        </w:rPr>
        <w:t xml:space="preserve"> </w:t>
      </w:r>
      <w:r>
        <w:t>water from pipe cleaning and</w:t>
      </w:r>
      <w:r>
        <w:rPr>
          <w:spacing w:val="-3"/>
        </w:rPr>
        <w:t xml:space="preserve"> </w:t>
      </w:r>
      <w:r>
        <w:t>cooling drains on</w:t>
      </w:r>
      <w:r>
        <w:rPr>
          <w:spacing w:val="-2"/>
        </w:rPr>
        <w:t xml:space="preserve"> </w:t>
      </w:r>
      <w:r>
        <w:t>a flow-variable basis via internal Outfall 103. This permit will not authorize a discharge of pollutants into water in the state.</w:t>
      </w:r>
    </w:p>
    <w:p w14:paraId="3785D9D2" w14:textId="77777777" w:rsidR="00655AEC" w:rsidRDefault="00085B2C">
      <w:pPr>
        <w:pStyle w:val="BodyText"/>
        <w:spacing w:before="119"/>
      </w:pPr>
      <w:r>
        <w:t>Discharges from the facility are expected to contain total cadmium, total chromium, total copper,</w:t>
      </w:r>
      <w:r>
        <w:rPr>
          <w:spacing w:val="-2"/>
        </w:rPr>
        <w:t xml:space="preserve"> </w:t>
      </w:r>
      <w:r>
        <w:t>total lead,</w:t>
      </w:r>
      <w:r>
        <w:rPr>
          <w:spacing w:val="-2"/>
        </w:rPr>
        <w:t xml:space="preserve"> </w:t>
      </w:r>
      <w:r>
        <w:t>total</w:t>
      </w:r>
      <w:r>
        <w:rPr>
          <w:spacing w:val="-1"/>
        </w:rPr>
        <w:t xml:space="preserve"> </w:t>
      </w:r>
      <w:r>
        <w:t>nickel,</w:t>
      </w:r>
      <w:r>
        <w:rPr>
          <w:spacing w:val="-2"/>
        </w:rPr>
        <w:t xml:space="preserve"> </w:t>
      </w:r>
      <w:r>
        <w:t>total</w:t>
      </w:r>
      <w:r>
        <w:rPr>
          <w:spacing w:val="-1"/>
        </w:rPr>
        <w:t xml:space="preserve"> </w:t>
      </w:r>
      <w:r>
        <w:t>silver,</w:t>
      </w:r>
      <w:r>
        <w:rPr>
          <w:spacing w:val="-1"/>
        </w:rPr>
        <w:t xml:space="preserve"> </w:t>
      </w:r>
      <w:r>
        <w:t>total</w:t>
      </w:r>
      <w:r>
        <w:rPr>
          <w:spacing w:val="-1"/>
        </w:rPr>
        <w:t xml:space="preserve"> </w:t>
      </w:r>
      <w:r>
        <w:t>zinc,</w:t>
      </w:r>
      <w:r>
        <w:rPr>
          <w:spacing w:val="-1"/>
        </w:rPr>
        <w:t xml:space="preserve"> </w:t>
      </w:r>
      <w:r>
        <w:t>total cyanide,</w:t>
      </w:r>
      <w:r>
        <w:rPr>
          <w:spacing w:val="-6"/>
        </w:rPr>
        <w:t xml:space="preserve"> </w:t>
      </w:r>
      <w:r>
        <w:t>total toxic organics</w:t>
      </w:r>
      <w:r>
        <w:rPr>
          <w:spacing w:val="-1"/>
        </w:rPr>
        <w:t xml:space="preserve"> </w:t>
      </w:r>
      <w:r>
        <w:t>(TTO), oil</w:t>
      </w:r>
      <w:r>
        <w:rPr>
          <w:spacing w:val="-2"/>
        </w:rPr>
        <w:t xml:space="preserve"> </w:t>
      </w:r>
      <w:r>
        <w:t>and</w:t>
      </w:r>
      <w:r>
        <w:rPr>
          <w:spacing w:val="-3"/>
        </w:rPr>
        <w:t xml:space="preserve"> </w:t>
      </w:r>
      <w:r>
        <w:t>grease,</w:t>
      </w:r>
      <w:r>
        <w:rPr>
          <w:spacing w:val="-3"/>
        </w:rPr>
        <w:t xml:space="preserve"> </w:t>
      </w:r>
      <w:r>
        <w:t>total</w:t>
      </w:r>
      <w:r>
        <w:rPr>
          <w:spacing w:val="-3"/>
        </w:rPr>
        <w:t xml:space="preserve"> </w:t>
      </w:r>
      <w:r>
        <w:t>suspended</w:t>
      </w:r>
      <w:r>
        <w:rPr>
          <w:spacing w:val="-3"/>
        </w:rPr>
        <w:t xml:space="preserve"> </w:t>
      </w:r>
      <w:r>
        <w:t>solids</w:t>
      </w:r>
      <w:r>
        <w:rPr>
          <w:spacing w:val="-3"/>
        </w:rPr>
        <w:t xml:space="preserve"> </w:t>
      </w:r>
      <w:r>
        <w:t>(TSS),</w:t>
      </w:r>
      <w:r>
        <w:rPr>
          <w:spacing w:val="-3"/>
        </w:rPr>
        <w:t xml:space="preserve"> </w:t>
      </w:r>
      <w:r>
        <w:t>and</w:t>
      </w:r>
      <w:r>
        <w:rPr>
          <w:spacing w:val="-3"/>
        </w:rPr>
        <w:t xml:space="preserve"> </w:t>
      </w:r>
      <w:r>
        <w:t>pH.</w:t>
      </w:r>
      <w:r>
        <w:rPr>
          <w:spacing w:val="-4"/>
        </w:rPr>
        <w:t xml:space="preserve"> </w:t>
      </w:r>
      <w:r>
        <w:t>Temperature</w:t>
      </w:r>
      <w:r>
        <w:rPr>
          <w:spacing w:val="-3"/>
        </w:rPr>
        <w:t xml:space="preserve"> </w:t>
      </w:r>
      <w:r>
        <w:t>is</w:t>
      </w:r>
      <w:r>
        <w:rPr>
          <w:spacing w:val="-5"/>
        </w:rPr>
        <w:t xml:space="preserve"> </w:t>
      </w:r>
      <w:r>
        <w:t>also</w:t>
      </w:r>
      <w:r>
        <w:rPr>
          <w:spacing w:val="-5"/>
        </w:rPr>
        <w:t xml:space="preserve"> </w:t>
      </w:r>
      <w:r>
        <w:t>expected</w:t>
      </w:r>
      <w:r>
        <w:rPr>
          <w:spacing w:val="-1"/>
        </w:rPr>
        <w:t xml:space="preserve"> </w:t>
      </w:r>
      <w:r>
        <w:t>from</w:t>
      </w:r>
      <w:r>
        <w:rPr>
          <w:spacing w:val="-3"/>
        </w:rPr>
        <w:t xml:space="preserve"> </w:t>
      </w:r>
      <w:r>
        <w:t>these discharges. Additional potential pollutants are included in the Industrial Wastewater Application Technical Report, Worksheet 2.0. .Process wastewater and cooling water are treated by a wastewater treatment system consisting of a coalescing filter that is used to remove oils and solids, two sand filters to polish the wastewater to remove low concentrations of pollutants, and an oil/water separator. It then flows to a 5000-gallon reclaim tank which supplies water back to the process or can be discharged for offsite disposal or to Outfall 103, which flows into Outfall 003. It is currently sent for offsite disposal. Machinery wash water combines with stormwater and discharges to the HCFCD ditch from Outfall 003.</w:t>
      </w:r>
    </w:p>
    <w:sectPr w:rsidR="00655AEC">
      <w:footerReference w:type="default" r:id="rId6"/>
      <w:type w:val="continuous"/>
      <w:pgSz w:w="12240" w:h="15840"/>
      <w:pgMar w:top="880" w:right="960" w:bottom="280" w:left="9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60A583" w14:textId="77777777" w:rsidR="00085B2C" w:rsidRDefault="00085B2C" w:rsidP="00085B2C">
      <w:r>
        <w:separator/>
      </w:r>
    </w:p>
  </w:endnote>
  <w:endnote w:type="continuationSeparator" w:id="0">
    <w:p w14:paraId="02A9848E" w14:textId="77777777" w:rsidR="00085B2C" w:rsidRDefault="00085B2C" w:rsidP="00085B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1502A" w14:textId="77777777" w:rsidR="00085B2C" w:rsidRDefault="00085B2C" w:rsidP="00085B2C">
    <w:pPr>
      <w:tabs>
        <w:tab w:val="left" w:pos="8998"/>
      </w:tabs>
      <w:spacing w:before="14"/>
      <w:ind w:left="120"/>
      <w:rPr>
        <w:b/>
        <w:sz w:val="18"/>
      </w:rPr>
    </w:pPr>
    <w:r>
      <w:rPr>
        <w:spacing w:val="-2"/>
        <w:sz w:val="18"/>
      </w:rPr>
      <w:t>TCEQ-10411</w:t>
    </w:r>
    <w:r>
      <w:rPr>
        <w:spacing w:val="7"/>
        <w:sz w:val="18"/>
      </w:rPr>
      <w:t xml:space="preserve"> </w:t>
    </w:r>
    <w:r>
      <w:rPr>
        <w:spacing w:val="-2"/>
        <w:sz w:val="18"/>
      </w:rPr>
      <w:t>(05/20/2022)</w:t>
    </w:r>
    <w:r>
      <w:rPr>
        <w:spacing w:val="8"/>
        <w:sz w:val="18"/>
      </w:rPr>
      <w:t xml:space="preserve"> </w:t>
    </w:r>
    <w:r>
      <w:rPr>
        <w:spacing w:val="-2"/>
        <w:sz w:val="18"/>
      </w:rPr>
      <w:t>Industrial</w:t>
    </w:r>
    <w:r>
      <w:rPr>
        <w:spacing w:val="7"/>
        <w:sz w:val="18"/>
      </w:rPr>
      <w:t xml:space="preserve"> </w:t>
    </w:r>
    <w:r>
      <w:rPr>
        <w:spacing w:val="-2"/>
        <w:sz w:val="18"/>
      </w:rPr>
      <w:t>Wastewater</w:t>
    </w:r>
    <w:r>
      <w:rPr>
        <w:spacing w:val="8"/>
        <w:sz w:val="18"/>
      </w:rPr>
      <w:t xml:space="preserve"> </w:t>
    </w:r>
    <w:r>
      <w:rPr>
        <w:spacing w:val="-2"/>
        <w:sz w:val="18"/>
      </w:rPr>
      <w:t>Application</w:t>
    </w:r>
    <w:r>
      <w:rPr>
        <w:spacing w:val="6"/>
        <w:sz w:val="18"/>
      </w:rPr>
      <w:t xml:space="preserve"> </w:t>
    </w:r>
    <w:r>
      <w:rPr>
        <w:spacing w:val="-2"/>
        <w:sz w:val="18"/>
      </w:rPr>
      <w:t>Administrative</w:t>
    </w:r>
    <w:r>
      <w:rPr>
        <w:spacing w:val="10"/>
        <w:sz w:val="18"/>
      </w:rPr>
      <w:t xml:space="preserve"> </w:t>
    </w:r>
    <w:r>
      <w:rPr>
        <w:spacing w:val="-2"/>
        <w:sz w:val="18"/>
      </w:rPr>
      <w:t>Report</w:t>
    </w:r>
    <w:r>
      <w:rPr>
        <w:sz w:val="18"/>
      </w:rPr>
      <w:tab/>
      <w:t>Page</w:t>
    </w:r>
    <w:r>
      <w:rPr>
        <w:spacing w:val="6"/>
        <w:sz w:val="18"/>
      </w:rPr>
      <w:t xml:space="preserve"> </w:t>
    </w:r>
    <w:r>
      <w:rPr>
        <w:b/>
        <w:sz w:val="18"/>
      </w:rPr>
      <w:t>18</w:t>
    </w:r>
    <w:r>
      <w:rPr>
        <w:b/>
        <w:spacing w:val="-5"/>
        <w:sz w:val="18"/>
      </w:rPr>
      <w:t xml:space="preserve"> </w:t>
    </w:r>
    <w:r>
      <w:rPr>
        <w:sz w:val="18"/>
      </w:rPr>
      <w:t>of</w:t>
    </w:r>
    <w:r>
      <w:rPr>
        <w:spacing w:val="-3"/>
        <w:sz w:val="18"/>
      </w:rPr>
      <w:t xml:space="preserve"> </w:t>
    </w:r>
    <w:r>
      <w:rPr>
        <w:b/>
        <w:spacing w:val="-5"/>
        <w:sz w:val="18"/>
      </w:rPr>
      <w:t>21</w:t>
    </w:r>
  </w:p>
  <w:p w14:paraId="4E202426" w14:textId="77777777" w:rsidR="00085B2C" w:rsidRDefault="00085B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B6874C" w14:textId="77777777" w:rsidR="00085B2C" w:rsidRDefault="00085B2C" w:rsidP="00085B2C">
      <w:r>
        <w:separator/>
      </w:r>
    </w:p>
  </w:footnote>
  <w:footnote w:type="continuationSeparator" w:id="0">
    <w:p w14:paraId="05A02329" w14:textId="77777777" w:rsidR="00085B2C" w:rsidRDefault="00085B2C" w:rsidP="00085B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documentProtection w:edit="readOnly" w:enforcement="1"/>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655AEC"/>
    <w:rsid w:val="00085B2C"/>
    <w:rsid w:val="000F0686"/>
    <w:rsid w:val="00655A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14A5A"/>
  <w15:docId w15:val="{F2FA6FAA-CF30-431E-B35A-25429B9D7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Lucida Bright" w:eastAsia="Lucida Bright" w:hAnsi="Lucida Bright" w:cs="Lucida Brigh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9" w:right="165"/>
    </w:pPr>
  </w:style>
  <w:style w:type="paragraph" w:styleId="Title">
    <w:name w:val="Title"/>
    <w:basedOn w:val="Normal"/>
    <w:uiPriority w:val="10"/>
    <w:qFormat/>
    <w:pPr>
      <w:spacing w:before="77"/>
      <w:ind w:left="120" w:right="165"/>
    </w:pPr>
    <w:rPr>
      <w:rFonts w:ascii="Verdana" w:eastAsia="Verdana" w:hAnsi="Verdana" w:cs="Verdana"/>
      <w:b/>
      <w:b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85B2C"/>
    <w:pPr>
      <w:tabs>
        <w:tab w:val="center" w:pos="4680"/>
        <w:tab w:val="right" w:pos="9360"/>
      </w:tabs>
    </w:pPr>
  </w:style>
  <w:style w:type="character" w:customStyle="1" w:styleId="HeaderChar">
    <w:name w:val="Header Char"/>
    <w:basedOn w:val="DefaultParagraphFont"/>
    <w:link w:val="Header"/>
    <w:uiPriority w:val="99"/>
    <w:rsid w:val="00085B2C"/>
    <w:rPr>
      <w:rFonts w:ascii="Lucida Bright" w:eastAsia="Lucida Bright" w:hAnsi="Lucida Bright" w:cs="Lucida Bright"/>
    </w:rPr>
  </w:style>
  <w:style w:type="paragraph" w:styleId="Footer">
    <w:name w:val="footer"/>
    <w:basedOn w:val="Normal"/>
    <w:link w:val="FooterChar"/>
    <w:uiPriority w:val="99"/>
    <w:unhideWhenUsed/>
    <w:rsid w:val="00085B2C"/>
    <w:pPr>
      <w:tabs>
        <w:tab w:val="center" w:pos="4680"/>
        <w:tab w:val="right" w:pos="9360"/>
      </w:tabs>
    </w:pPr>
  </w:style>
  <w:style w:type="character" w:customStyle="1" w:styleId="FooterChar">
    <w:name w:val="Footer Char"/>
    <w:basedOn w:val="DefaultParagraphFont"/>
    <w:link w:val="Footer"/>
    <w:uiPriority w:val="99"/>
    <w:rsid w:val="00085B2C"/>
    <w:rPr>
      <w:rFonts w:ascii="Lucida Bright" w:eastAsia="Lucida Bright" w:hAnsi="Lucida Bright" w:cs="Lucida Brigh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361</Words>
  <Characters>2064</Characters>
  <Application>Microsoft Office Word</Application>
  <DocSecurity>8</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TEMPLATE FOR TPDES or TLAP NEW/RENEWAL/AMENDMENT APPLICATIONS INDUSTRIAL WASTEWATER/STORMWATER</dc:title>
  <dc:creator>Laura Rectenwald</dc:creator>
  <cp:lastModifiedBy>Leah Whallon</cp:lastModifiedBy>
  <cp:revision>3</cp:revision>
  <dcterms:created xsi:type="dcterms:W3CDTF">2022-07-13T19:32:00Z</dcterms:created>
  <dcterms:modified xsi:type="dcterms:W3CDTF">2022-07-15T20:08:00Z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2022-07-13T00:00:00Z</vt:filetime>
  </property>
  <property fmtid="{D5CDD505-2E9C-101B-9397-08002B2CF9AE}" pid="3" name="Creator">
    <vt:lpwstr>Acrobat PDFMaker 22 for Word</vt:lpwstr>
  </property>
  <property fmtid="{D5CDD505-2E9C-101B-9397-08002B2CF9AE}" pid="4" name="LastSaved">
    <vt:filetime>2022-07-13T00:00:00Z</vt:filetime>
  </property>
  <property fmtid="{D5CDD505-2E9C-101B-9397-08002B2CF9AE}" pid="5" name="Producer">
    <vt:lpwstr>Adobe Acrobat Pro DC (32-bit) 22.1.20142</vt:lpwstr>
  </property>
</Properties>
</file>