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82A7" w14:textId="0B61F7A7" w:rsidR="0039389D" w:rsidRDefault="0039389D" w:rsidP="0039389D">
      <w:pPr>
        <w:pStyle w:val="Title"/>
      </w:pPr>
      <w:r>
        <w:rPr>
          <w:noProof/>
        </w:rPr>
        <w:drawing>
          <wp:inline distT="0" distB="0" distL="0" distR="0" wp14:anchorId="48666E66" wp14:editId="0ED00ABE">
            <wp:extent cx="1442852" cy="1442852"/>
            <wp:effectExtent l="0" t="0" r="508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829" cy="1460829"/>
                    </a:xfrm>
                    <a:prstGeom prst="rect">
                      <a:avLst/>
                    </a:prstGeom>
                    <a:noFill/>
                    <a:ln>
                      <a:noFill/>
                    </a:ln>
                  </pic:spPr>
                </pic:pic>
              </a:graphicData>
            </a:graphic>
          </wp:inline>
        </w:drawing>
      </w:r>
    </w:p>
    <w:p w14:paraId="0DDF4DCA" w14:textId="77777777" w:rsidR="0039389D" w:rsidRDefault="0039389D" w:rsidP="0039389D">
      <w:pPr>
        <w:pStyle w:val="Title"/>
      </w:pPr>
    </w:p>
    <w:p w14:paraId="7930A7CA" w14:textId="2B4EECCD" w:rsidR="000069B6" w:rsidRPr="001746A1" w:rsidRDefault="000069B6" w:rsidP="0039389D">
      <w:pPr>
        <w:pStyle w:val="Title"/>
      </w:pPr>
      <w:r w:rsidRPr="001746A1">
        <w:fldChar w:fldCharType="begin"/>
      </w:r>
      <w:r w:rsidRPr="001746A1">
        <w:instrText xml:space="preserve"> SEQ CHAPTER \h \r 1</w:instrText>
      </w:r>
      <w:r w:rsidRPr="001746A1">
        <w:fldChar w:fldCharType="end"/>
      </w:r>
      <w:r w:rsidRPr="001746A1">
        <w:t>Texas Commission on Environmental Quality</w:t>
      </w:r>
      <w:r w:rsidR="00C778BE" w:rsidRPr="001746A1">
        <w:br/>
      </w:r>
      <w:r w:rsidRPr="001746A1">
        <w:t xml:space="preserve">Dry Cleaner </w:t>
      </w:r>
      <w:r w:rsidR="00050600" w:rsidRPr="001746A1">
        <w:t xml:space="preserve">Environmental Response </w:t>
      </w:r>
      <w:r w:rsidR="00C778BE" w:rsidRPr="001746A1">
        <w:t>Program</w:t>
      </w:r>
      <w:r w:rsidR="001746A1">
        <w:br/>
      </w:r>
      <w:r w:rsidRPr="001746A1">
        <w:t>Status Report</w:t>
      </w:r>
    </w:p>
    <w:p w14:paraId="5AA1FA1A" w14:textId="3644E252" w:rsidR="000069B6" w:rsidRPr="001746A1" w:rsidRDefault="000069B6" w:rsidP="0039389D">
      <w:pPr>
        <w:pStyle w:val="Subtitle"/>
      </w:pPr>
      <w:r w:rsidRPr="001746A1">
        <w:t>Fiscal Year</w:t>
      </w:r>
      <w:r w:rsidR="00871641" w:rsidRPr="001746A1">
        <w:t xml:space="preserve"> </w:t>
      </w:r>
      <w:r w:rsidR="00F17BB1">
        <w:t>2021</w:t>
      </w:r>
    </w:p>
    <w:p w14:paraId="13048BE4" w14:textId="77777777" w:rsidR="000069B6" w:rsidRPr="00FC0D9B" w:rsidRDefault="000069B6" w:rsidP="0039389D">
      <w:pPr>
        <w:pStyle w:val="Subtitle"/>
      </w:pPr>
      <w:r w:rsidRPr="00FC0D9B">
        <w:t>Prepared for the</w:t>
      </w:r>
      <w:r w:rsidR="007A6BFC">
        <w:br/>
      </w:r>
      <w:r w:rsidRPr="00FC0D9B">
        <w:t>Dry Cleaner Advisory Committee</w:t>
      </w:r>
    </w:p>
    <w:p w14:paraId="30777881" w14:textId="77777777" w:rsidR="000069B6" w:rsidRDefault="000069B6" w:rsidP="002B061F">
      <w:pPr>
        <w:pStyle w:val="BodyText2"/>
      </w:pPr>
      <w:r w:rsidRPr="00FC0D9B">
        <w:t>Shirley F</w:t>
      </w:r>
      <w:r w:rsidR="00D5063B">
        <w:t xml:space="preserve">rench </w:t>
      </w:r>
      <w:proofErr w:type="spellStart"/>
      <w:r w:rsidR="00D5063B">
        <w:t>Reichstadt</w:t>
      </w:r>
      <w:proofErr w:type="spellEnd"/>
      <w:r w:rsidR="00D5063B">
        <w:t>, Dallas, Texas</w:t>
      </w:r>
    </w:p>
    <w:p w14:paraId="7256BC0F" w14:textId="77777777" w:rsidR="00CF5699" w:rsidRDefault="00CF5699" w:rsidP="002B061F">
      <w:pPr>
        <w:pStyle w:val="BodyText2"/>
      </w:pPr>
      <w:r>
        <w:t>Carolyn Gibson-</w:t>
      </w:r>
      <w:proofErr w:type="spellStart"/>
      <w:r>
        <w:t>Baros</w:t>
      </w:r>
      <w:proofErr w:type="spellEnd"/>
      <w:r>
        <w:t>, El Campo, Texas</w:t>
      </w:r>
    </w:p>
    <w:p w14:paraId="04798B6E" w14:textId="77777777" w:rsidR="000069B6" w:rsidRPr="00FC0D9B" w:rsidRDefault="003D7A16" w:rsidP="002B061F">
      <w:pPr>
        <w:pStyle w:val="BodyText2"/>
      </w:pPr>
      <w:r w:rsidRPr="00FC0D9B">
        <w:t xml:space="preserve">Dr. </w:t>
      </w:r>
      <w:r w:rsidR="000069B6" w:rsidRPr="00FC0D9B">
        <w:t xml:space="preserve">Charles Riggs, Denton, Texas </w:t>
      </w:r>
    </w:p>
    <w:p w14:paraId="45E6B7BA" w14:textId="77777777" w:rsidR="00B009E6" w:rsidRDefault="0059401A" w:rsidP="002B061F">
      <w:pPr>
        <w:pStyle w:val="BodyText2"/>
      </w:pPr>
      <w:r w:rsidRPr="00FC0D9B">
        <w:t>Vicky Maisel, San Antonio, Texas</w:t>
      </w:r>
    </w:p>
    <w:p w14:paraId="39ABE0C8" w14:textId="77777777" w:rsidR="00391559" w:rsidRDefault="0007720C" w:rsidP="002B061F">
      <w:pPr>
        <w:pStyle w:val="BodyText2"/>
      </w:pPr>
      <w:r>
        <w:t xml:space="preserve">Allan </w:t>
      </w:r>
      <w:proofErr w:type="spellStart"/>
      <w:r>
        <w:t>Cripe</w:t>
      </w:r>
      <w:proofErr w:type="spellEnd"/>
      <w:r>
        <w:t>, Temple, Texas</w:t>
      </w:r>
    </w:p>
    <w:p w14:paraId="1F193BBC" w14:textId="77777777" w:rsidR="00391559" w:rsidRDefault="00391559" w:rsidP="002B061F">
      <w:pPr>
        <w:pStyle w:val="BodyText2"/>
      </w:pPr>
    </w:p>
    <w:p w14:paraId="256F458F" w14:textId="548A8221" w:rsidR="008D46D5" w:rsidRDefault="006F1ADA" w:rsidP="002B061F">
      <w:pPr>
        <w:pStyle w:val="BodyText2"/>
      </w:pPr>
      <w:r>
        <w:t>January 7</w:t>
      </w:r>
      <w:r w:rsidR="00D61173">
        <w:t xml:space="preserve">, </w:t>
      </w:r>
      <w:r>
        <w:t>2022</w:t>
      </w:r>
    </w:p>
    <w:p w14:paraId="63F47610" w14:textId="77777777" w:rsidR="00143E21" w:rsidRDefault="00143E21" w:rsidP="002B061F">
      <w:pPr>
        <w:pStyle w:val="BodyText2"/>
      </w:pPr>
    </w:p>
    <w:p w14:paraId="0DAE1B18" w14:textId="313F4986" w:rsidR="000069B6" w:rsidRPr="00ED586D" w:rsidRDefault="000069B6" w:rsidP="002B061F">
      <w:pPr>
        <w:pStyle w:val="BodyText2"/>
      </w:pPr>
      <w:r w:rsidRPr="00ED586D">
        <w:lastRenderedPageBreak/>
        <w:t>Dry Cleaner Environmental Response Program</w:t>
      </w:r>
    </w:p>
    <w:p w14:paraId="6B522455" w14:textId="77777777" w:rsidR="000069B6" w:rsidRPr="00D559F8" w:rsidRDefault="000069B6" w:rsidP="002B061F">
      <w:pPr>
        <w:pStyle w:val="BodyText"/>
      </w:pPr>
      <w:r w:rsidRPr="00D559F8">
        <w:t>The Dry Cleaner Environmental Response Program (Program) protects the state’s environmental resources by using a risk-based approach for the assessment and cleanup of releases of solvents from dry cleaning facilities. The Program collects registration fees from dry cleaning facilities, dry cleaning drop stations, property owners and pre</w:t>
      </w:r>
      <w:r w:rsidR="00EB5553" w:rsidRPr="00D559F8">
        <w:t>ceding</w:t>
      </w:r>
      <w:r w:rsidRPr="00D559F8">
        <w:t xml:space="preserve"> property owners, and solvent fees from solvent distributors. These fees are deposited into the </w:t>
      </w:r>
      <w:r w:rsidRPr="000C6160">
        <w:t>Dry Cleaning Facility Release Fund</w:t>
      </w:r>
      <w:r w:rsidRPr="00D559F8">
        <w:t xml:space="preserve"> (the Fund). The Fund is used to process registrations and to conduct corrective action at dry cleaning sites.</w:t>
      </w:r>
    </w:p>
    <w:p w14:paraId="4948CF0F" w14:textId="77777777" w:rsidR="000069B6" w:rsidRPr="00D559F8" w:rsidRDefault="000069B6" w:rsidP="002B061F">
      <w:pPr>
        <w:pStyle w:val="BodyText"/>
      </w:pPr>
      <w:r w:rsidRPr="00D559F8">
        <w:t xml:space="preserve">The Program affects owners of dry cleaning facilities and drop stations, current owners and certain </w:t>
      </w:r>
      <w:r w:rsidR="009F4342" w:rsidRPr="00D559F8">
        <w:t xml:space="preserve">preceding </w:t>
      </w:r>
      <w:r w:rsidRPr="00D559F8">
        <w:t xml:space="preserve">owners of property on which a dry cleaning facility or drop station is or was </w:t>
      </w:r>
      <w:r w:rsidR="008F5D24" w:rsidRPr="00D559F8">
        <w:t>located</w:t>
      </w:r>
      <w:r w:rsidRPr="00D559F8">
        <w:t xml:space="preserve"> and solvent distributors.</w:t>
      </w:r>
    </w:p>
    <w:p w14:paraId="093C47CC" w14:textId="1066B45D" w:rsidR="000069B6" w:rsidRPr="00D559F8" w:rsidRDefault="000069B6" w:rsidP="002B061F">
      <w:pPr>
        <w:pStyle w:val="BodyText"/>
      </w:pPr>
      <w:r w:rsidRPr="00D559F8">
        <w:t xml:space="preserve">The Program is administered </w:t>
      </w:r>
      <w:r w:rsidR="000475A6" w:rsidRPr="00D559F8">
        <w:t>through</w:t>
      </w:r>
      <w:r w:rsidRPr="00D559F8">
        <w:t xml:space="preserve"> </w:t>
      </w:r>
      <w:r w:rsidR="00FF64B2" w:rsidRPr="00D559F8">
        <w:t>the</w:t>
      </w:r>
      <w:r w:rsidR="000C2E04" w:rsidRPr="00D559F8">
        <w:t xml:space="preserve"> </w:t>
      </w:r>
      <w:r w:rsidRPr="00D559F8">
        <w:t>Texas Commission on Environmental Quality (TCEQ)</w:t>
      </w:r>
      <w:r w:rsidR="00FF64B2" w:rsidRPr="00D559F8">
        <w:t xml:space="preserve"> </w:t>
      </w:r>
      <w:r w:rsidR="000C2E04" w:rsidRPr="00D559F8">
        <w:t xml:space="preserve">Office of Waste by the </w:t>
      </w:r>
      <w:r w:rsidRPr="00D559F8">
        <w:t xml:space="preserve">Dry Cleaner Remediation Program (DCRP) </w:t>
      </w:r>
      <w:r w:rsidR="000C2E04" w:rsidRPr="00D559F8">
        <w:t xml:space="preserve">of </w:t>
      </w:r>
      <w:r w:rsidR="00FF64B2" w:rsidRPr="00D559F8">
        <w:t>the Remediation Division</w:t>
      </w:r>
      <w:r w:rsidR="000C2E04" w:rsidRPr="00D559F8">
        <w:t xml:space="preserve">, </w:t>
      </w:r>
      <w:r w:rsidR="00FF64B2" w:rsidRPr="00D559F8">
        <w:t xml:space="preserve">and </w:t>
      </w:r>
      <w:r w:rsidR="000C2E04" w:rsidRPr="00D559F8">
        <w:t xml:space="preserve">by </w:t>
      </w:r>
      <w:r w:rsidR="00FF64B2" w:rsidRPr="00D559F8">
        <w:t xml:space="preserve">the </w:t>
      </w:r>
      <w:r w:rsidRPr="00D559F8">
        <w:t>Dry Cleaner Registration Team</w:t>
      </w:r>
      <w:r w:rsidR="00FF64B2" w:rsidRPr="00D559F8">
        <w:t xml:space="preserve"> in the Permitting and Registration Support Division. </w:t>
      </w:r>
      <w:r w:rsidR="000475A6" w:rsidRPr="00D559F8">
        <w:t>The DCRP accepts applications for ranking, ranks and prioritizes sites, and conducts corrective action at sites</w:t>
      </w:r>
      <w:r w:rsidR="00DA3AC0" w:rsidRPr="00D559F8">
        <w:t>. T</w:t>
      </w:r>
      <w:r w:rsidRPr="00D559F8">
        <w:t>he Dry Cleaner Registration Team processes registrations for solvent distributors, dry cleaning facilities and drop stations, as well as for property owners and preceding property owners.</w:t>
      </w:r>
    </w:p>
    <w:p w14:paraId="10FF4CE0" w14:textId="77777777" w:rsidR="00F265FF" w:rsidRDefault="000069B6" w:rsidP="002B061F">
      <w:pPr>
        <w:pStyle w:val="BodyText"/>
      </w:pPr>
      <w:r w:rsidRPr="00D559F8">
        <w:t>To be eligible for the DCRP</w:t>
      </w:r>
      <w:r w:rsidR="00001B78">
        <w:t>,</w:t>
      </w:r>
      <w:r w:rsidRPr="00D559F8">
        <w:t xml:space="preserve"> the applicant must be one of the following: 1) a current or former owner of a dry cleaning facility or drop station; 2) an owner of property on which a dry cleaning facility or drop station is or was located; or 3) a </w:t>
      </w:r>
      <w:r w:rsidR="005C386B" w:rsidRPr="00D559F8">
        <w:t>preceding</w:t>
      </w:r>
      <w:r w:rsidRPr="00D559F8">
        <w:t xml:space="preserve"> owner of property on which a dry cleaning facility or drop station is or was located, who entered into an agreement with the current property owner establishing that the previous property owner is responsible for costs associated with the cleanup of contamination.</w:t>
      </w:r>
    </w:p>
    <w:p w14:paraId="1F34438A" w14:textId="7CCC68DE" w:rsidR="000069B6" w:rsidRPr="00D559F8" w:rsidRDefault="000069B6" w:rsidP="002B061F">
      <w:pPr>
        <w:pStyle w:val="BodyText"/>
      </w:pPr>
      <w:r w:rsidRPr="00D559F8">
        <w:t xml:space="preserve">DCRP applicants must submit an application for ranking the site, which documents a release of </w:t>
      </w:r>
      <w:proofErr w:type="gramStart"/>
      <w:r w:rsidRPr="00D559F8">
        <w:t>dry cleaning</w:t>
      </w:r>
      <w:proofErr w:type="gramEnd"/>
      <w:r w:rsidRPr="00D559F8">
        <w:t xml:space="preserve"> solvent into the environment from a currently registered or former retail dry cleaning facility. The applicant must pay</w:t>
      </w:r>
      <w:r w:rsidR="00A93C17" w:rsidRPr="00D559F8">
        <w:t xml:space="preserve"> </w:t>
      </w:r>
      <w:r w:rsidRPr="00D559F8">
        <w:t xml:space="preserve">a nonrefundable deductible </w:t>
      </w:r>
      <w:r w:rsidR="00A93C17" w:rsidRPr="00D559F8">
        <w:t>of</w:t>
      </w:r>
      <w:r w:rsidRPr="00D559F8">
        <w:t xml:space="preserve"> $5,000 </w:t>
      </w:r>
      <w:r w:rsidR="00A93C17" w:rsidRPr="00D559F8">
        <w:t xml:space="preserve">for </w:t>
      </w:r>
      <w:r w:rsidRPr="00D559F8">
        <w:t xml:space="preserve">corrective action costs incurred as a result of a release from the </w:t>
      </w:r>
      <w:proofErr w:type="gramStart"/>
      <w:r w:rsidRPr="00D559F8">
        <w:t>dry cleaning</w:t>
      </w:r>
      <w:proofErr w:type="gramEnd"/>
      <w:r w:rsidRPr="00D559F8">
        <w:t xml:space="preserve"> facility or drop </w:t>
      </w:r>
      <w:r w:rsidR="00625FA2" w:rsidRPr="00D559F8">
        <w:t>station and</w:t>
      </w:r>
      <w:r w:rsidRPr="00D559F8">
        <w:t xml:space="preserve"> must sign an affidavit stating that perchloroethylene</w:t>
      </w:r>
      <w:r w:rsidR="00877F46" w:rsidRPr="00D559F8">
        <w:t xml:space="preserve"> </w:t>
      </w:r>
      <w:r w:rsidRPr="00D559F8">
        <w:t>will not be used at the site once the DCRP has begun corrective action at the site.</w:t>
      </w:r>
    </w:p>
    <w:p w14:paraId="330FBCE1" w14:textId="77777777" w:rsidR="009C086E" w:rsidRDefault="00FD3FC0" w:rsidP="002B061F">
      <w:pPr>
        <w:pStyle w:val="BodyText"/>
        <w:sectPr w:rsidR="009C086E" w:rsidSect="009C08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88" w:footer="576" w:gutter="0"/>
          <w:cols w:space="720"/>
          <w:titlePg/>
          <w:docGrid w:linePitch="360"/>
        </w:sectPr>
      </w:pPr>
      <w:r w:rsidRPr="00D559F8">
        <w:t>T</w:t>
      </w:r>
      <w:r w:rsidR="00497792" w:rsidRPr="00D559F8">
        <w:t xml:space="preserve">he </w:t>
      </w:r>
      <w:r w:rsidR="000069B6" w:rsidRPr="00D559F8">
        <w:t>DCRP cannot commence corrective action at a site until the site/application has been ranked and prioritized</w:t>
      </w:r>
      <w:r w:rsidRPr="00D559F8">
        <w:t xml:space="preserve"> except for sites that require emergency action. </w:t>
      </w:r>
      <w:r w:rsidR="000069B6" w:rsidRPr="00D559F8">
        <w:t xml:space="preserve">Site ranking is based on potential impacts to human health or the environment from the site. </w:t>
      </w:r>
      <w:hyperlink r:id="rId15" w:history="1">
        <w:r w:rsidR="000069B6" w:rsidRPr="00D559F8">
          <w:rPr>
            <w:rStyle w:val="Hyperlink"/>
            <w:color w:val="000000"/>
            <w:szCs w:val="22"/>
            <w:u w:val="none"/>
          </w:rPr>
          <w:t>Site prioritization</w:t>
        </w:r>
      </w:hyperlink>
      <w:r w:rsidR="000069B6" w:rsidRPr="00D559F8">
        <w:t xml:space="preserve"> includes site ranking, but also </w:t>
      </w:r>
      <w:proofErr w:type="gramStart"/>
      <w:r w:rsidR="000069B6" w:rsidRPr="00D559F8">
        <w:t>takes into account</w:t>
      </w:r>
      <w:proofErr w:type="gramEnd"/>
      <w:r w:rsidR="000069B6" w:rsidRPr="00D559F8">
        <w:t xml:space="preserve"> non-risk factors such as cost of implementing corrective action. The DCRP</w:t>
      </w:r>
      <w:r w:rsidR="002D127D" w:rsidRPr="00D559F8">
        <w:t xml:space="preserve"> u</w:t>
      </w:r>
      <w:r w:rsidR="000069B6" w:rsidRPr="00D559F8">
        <w:t>tilizes</w:t>
      </w:r>
      <w:r w:rsidR="00CF775C" w:rsidRPr="00D559F8">
        <w:t xml:space="preserve"> </w:t>
      </w:r>
      <w:r w:rsidR="000069B6" w:rsidRPr="00D559F8">
        <w:t>contractors to conduct corrective action at sites.</w:t>
      </w:r>
    </w:p>
    <w:p w14:paraId="168EC4FE" w14:textId="77777777" w:rsidR="00F265FF" w:rsidRDefault="00FC0D9B" w:rsidP="002B061F">
      <w:pPr>
        <w:pStyle w:val="Heading1"/>
      </w:pPr>
      <w:r w:rsidRPr="00ED586D">
        <w:lastRenderedPageBreak/>
        <w:t>Registration</w:t>
      </w:r>
    </w:p>
    <w:p w14:paraId="5E893F20" w14:textId="21535FCB" w:rsidR="00F15207" w:rsidRDefault="00F15207" w:rsidP="002B061F">
      <w:pPr>
        <w:pStyle w:val="BodyText"/>
      </w:pPr>
      <w:r w:rsidRPr="00D559F8">
        <w:t>State law requires all dry cleaning drop stations and facilities in Texas to re</w:t>
      </w:r>
      <w:r>
        <w:t xml:space="preserve">gister with the TCEQ annually. </w:t>
      </w:r>
      <w:r w:rsidRPr="00D559F8">
        <w:t>Annual Renewal Registration Forms for dry cleaning drop stations and facilities are due by August 1</w:t>
      </w:r>
      <w:r w:rsidRPr="00F17BB1">
        <w:rPr>
          <w:vertAlign w:val="superscript"/>
        </w:rPr>
        <w:t>st</w:t>
      </w:r>
      <w:r w:rsidRPr="00D559F8">
        <w:t xml:space="preserve"> of each year. Registration fees are billed on a quarterly basis.</w:t>
      </w:r>
    </w:p>
    <w:p w14:paraId="1EC67DD5" w14:textId="7894189A" w:rsidR="00F15207" w:rsidRPr="00D559F8" w:rsidRDefault="00F15207" w:rsidP="002B061F">
      <w:pPr>
        <w:pStyle w:val="Caption"/>
      </w:pPr>
      <w:r>
        <w:t>Table 1. B</w:t>
      </w:r>
      <w:r w:rsidRPr="00D559F8">
        <w:t>rea</w:t>
      </w:r>
      <w:r>
        <w:t xml:space="preserve">kdown of FY </w:t>
      </w:r>
      <w:r w:rsidR="007A5966">
        <w:t>202</w:t>
      </w:r>
      <w:r w:rsidR="00292F61">
        <w:t>1</w:t>
      </w:r>
      <w:r w:rsidR="007A5966">
        <w:t xml:space="preserve"> </w:t>
      </w:r>
      <w:r>
        <w:t>Registrations</w:t>
      </w:r>
    </w:p>
    <w:tbl>
      <w:tblPr>
        <w:tblW w:w="9180" w:type="dxa"/>
        <w:tblInd w:w="100" w:type="dxa"/>
        <w:tblLayout w:type="fixed"/>
        <w:tblCellMar>
          <w:left w:w="100" w:type="dxa"/>
          <w:right w:w="100" w:type="dxa"/>
        </w:tblCellMar>
        <w:tblLook w:val="0000" w:firstRow="0" w:lastRow="0" w:firstColumn="0" w:lastColumn="0" w:noHBand="0" w:noVBand="0"/>
        <w:tblCaption w:val="Table 1. Breakdown of FY 2018 Registrations"/>
        <w:tblDescription w:val="This table shows a breakdown of FY 2016 registrations by type and total number of registrations."/>
      </w:tblPr>
      <w:tblGrid>
        <w:gridCol w:w="5040"/>
        <w:gridCol w:w="4140"/>
      </w:tblGrid>
      <w:tr w:rsidR="00F15207" w:rsidRPr="00F15207" w14:paraId="71F1A58E" w14:textId="77777777" w:rsidTr="00C95DB3">
        <w:trPr>
          <w:cantSplit/>
          <w:tblHeader/>
        </w:trPr>
        <w:tc>
          <w:tcPr>
            <w:tcW w:w="5040" w:type="dxa"/>
            <w:tcBorders>
              <w:top w:val="single" w:sz="6" w:space="0" w:color="000000"/>
              <w:left w:val="single" w:sz="6" w:space="0" w:color="000000"/>
              <w:bottom w:val="nil"/>
              <w:right w:val="nil"/>
            </w:tcBorders>
            <w:shd w:val="clear" w:color="auto" w:fill="F2F2F2" w:themeFill="background1" w:themeFillShade="F2"/>
          </w:tcPr>
          <w:p w14:paraId="3FD626E0" w14:textId="77777777" w:rsidR="00F15207" w:rsidRPr="00F15207" w:rsidRDefault="00F15207" w:rsidP="002B061F">
            <w:pPr>
              <w:pStyle w:val="TableText"/>
              <w:rPr>
                <w:rStyle w:val="Strong"/>
              </w:rPr>
            </w:pPr>
            <w:bookmarkStart w:id="0" w:name="Table_Registrations"/>
            <w:bookmarkEnd w:id="0"/>
            <w:r w:rsidRPr="00F15207">
              <w:rPr>
                <w:rStyle w:val="Strong"/>
              </w:rPr>
              <w:t>Registration Type</w:t>
            </w:r>
          </w:p>
        </w:tc>
        <w:tc>
          <w:tcPr>
            <w:tcW w:w="41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59E38B1" w14:textId="772E979A" w:rsidR="00F15207" w:rsidRPr="00F15207" w:rsidRDefault="00F15207" w:rsidP="002B061F">
            <w:pPr>
              <w:pStyle w:val="TableText"/>
              <w:rPr>
                <w:rStyle w:val="Strong"/>
              </w:rPr>
            </w:pPr>
            <w:r w:rsidRPr="00F15207">
              <w:rPr>
                <w:rStyle w:val="Strong"/>
              </w:rPr>
              <w:t xml:space="preserve">Total FY </w:t>
            </w:r>
            <w:r w:rsidR="007A5966" w:rsidRPr="00F15207">
              <w:rPr>
                <w:rStyle w:val="Strong"/>
              </w:rPr>
              <w:t>20</w:t>
            </w:r>
            <w:r w:rsidR="007A5966">
              <w:rPr>
                <w:rStyle w:val="Strong"/>
              </w:rPr>
              <w:t>2</w:t>
            </w:r>
            <w:r w:rsidR="00292F61">
              <w:rPr>
                <w:rStyle w:val="Strong"/>
              </w:rPr>
              <w:t>1</w:t>
            </w:r>
            <w:r w:rsidR="007A5966" w:rsidRPr="00F15207">
              <w:rPr>
                <w:rStyle w:val="Strong"/>
              </w:rPr>
              <w:t xml:space="preserve"> </w:t>
            </w:r>
            <w:r w:rsidRPr="00F15207">
              <w:rPr>
                <w:rStyle w:val="Strong"/>
              </w:rPr>
              <w:t>Registrations</w:t>
            </w:r>
          </w:p>
        </w:tc>
      </w:tr>
      <w:tr w:rsidR="002B061F" w:rsidRPr="00F15207" w14:paraId="2B8601C3" w14:textId="77777777" w:rsidTr="00C95DB3">
        <w:trPr>
          <w:cantSplit/>
        </w:trPr>
        <w:tc>
          <w:tcPr>
            <w:tcW w:w="5040" w:type="dxa"/>
            <w:tcBorders>
              <w:top w:val="single" w:sz="6" w:space="0" w:color="000000"/>
              <w:left w:val="single" w:sz="6" w:space="0" w:color="000000"/>
              <w:bottom w:val="nil"/>
              <w:right w:val="nil"/>
            </w:tcBorders>
          </w:tcPr>
          <w:p w14:paraId="5E692ED2" w14:textId="77777777" w:rsidR="002B061F" w:rsidRPr="00F15207" w:rsidRDefault="002B061F" w:rsidP="002B061F">
            <w:pPr>
              <w:pStyle w:val="TableText"/>
            </w:pPr>
            <w:r w:rsidRPr="00F15207">
              <w:t>Facilities</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Pr>
          <w:p w14:paraId="04362069" w14:textId="0BFB1091" w:rsidR="002B061F" w:rsidRPr="00F15207" w:rsidRDefault="002B061F" w:rsidP="002B061F">
            <w:pPr>
              <w:pStyle w:val="TableText"/>
            </w:pPr>
            <w:r>
              <w:t>955</w:t>
            </w:r>
          </w:p>
        </w:tc>
      </w:tr>
      <w:tr w:rsidR="002B061F" w:rsidRPr="00F15207" w14:paraId="5DE6CC31" w14:textId="77777777" w:rsidTr="00C95DB3">
        <w:trPr>
          <w:cantSplit/>
        </w:trPr>
        <w:tc>
          <w:tcPr>
            <w:tcW w:w="5040" w:type="dxa"/>
            <w:tcBorders>
              <w:top w:val="single" w:sz="6" w:space="0" w:color="000000"/>
              <w:left w:val="single" w:sz="6" w:space="0" w:color="000000"/>
              <w:bottom w:val="nil"/>
              <w:right w:val="nil"/>
            </w:tcBorders>
          </w:tcPr>
          <w:p w14:paraId="4EFE505C" w14:textId="77777777" w:rsidR="002B061F" w:rsidRPr="00F15207" w:rsidRDefault="002B061F" w:rsidP="002B061F">
            <w:pPr>
              <w:pStyle w:val="TableText"/>
            </w:pPr>
            <w:r w:rsidRPr="00F15207">
              <w:t>Drop Stations</w:t>
            </w:r>
          </w:p>
        </w:tc>
        <w:tc>
          <w:tcPr>
            <w:tcW w:w="4140" w:type="dxa"/>
            <w:tcBorders>
              <w:top w:val="single" w:sz="6" w:space="0" w:color="000000"/>
              <w:left w:val="single" w:sz="6" w:space="0" w:color="000000"/>
              <w:bottom w:val="single" w:sz="6" w:space="0" w:color="000000"/>
              <w:right w:val="single" w:sz="6" w:space="0" w:color="000000"/>
            </w:tcBorders>
          </w:tcPr>
          <w:p w14:paraId="0D5DADF2" w14:textId="45D82FD7" w:rsidR="002B061F" w:rsidRPr="00F15207" w:rsidRDefault="002B061F" w:rsidP="002B061F">
            <w:pPr>
              <w:pStyle w:val="TableText"/>
            </w:pPr>
            <w:r>
              <w:t>1,083</w:t>
            </w:r>
          </w:p>
        </w:tc>
      </w:tr>
      <w:tr w:rsidR="002B061F" w:rsidRPr="00F15207" w14:paraId="3837E246" w14:textId="77777777" w:rsidTr="00C95DB3">
        <w:trPr>
          <w:cantSplit/>
        </w:trPr>
        <w:tc>
          <w:tcPr>
            <w:tcW w:w="5040" w:type="dxa"/>
            <w:tcBorders>
              <w:top w:val="single" w:sz="6" w:space="0" w:color="000000"/>
              <w:left w:val="single" w:sz="6" w:space="0" w:color="000000"/>
              <w:bottom w:val="nil"/>
              <w:right w:val="nil"/>
            </w:tcBorders>
          </w:tcPr>
          <w:p w14:paraId="7A34653D" w14:textId="77777777" w:rsidR="002B061F" w:rsidRPr="00F15207" w:rsidRDefault="002B061F" w:rsidP="002B061F">
            <w:pPr>
              <w:pStyle w:val="TableText"/>
            </w:pPr>
            <w:r w:rsidRPr="00F15207">
              <w:t>Property Owners and Preceding Property Owners</w:t>
            </w:r>
          </w:p>
        </w:tc>
        <w:tc>
          <w:tcPr>
            <w:tcW w:w="4140" w:type="dxa"/>
            <w:tcBorders>
              <w:top w:val="single" w:sz="6" w:space="0" w:color="000000"/>
              <w:left w:val="single" w:sz="6" w:space="0" w:color="000000"/>
              <w:bottom w:val="single" w:sz="6" w:space="0" w:color="000000"/>
              <w:right w:val="single" w:sz="6" w:space="0" w:color="000000"/>
            </w:tcBorders>
          </w:tcPr>
          <w:p w14:paraId="471CD583" w14:textId="2D74EA5D" w:rsidR="002B061F" w:rsidRPr="00F15207" w:rsidRDefault="002B061F" w:rsidP="002B061F">
            <w:pPr>
              <w:pStyle w:val="TableText"/>
            </w:pPr>
            <w:r>
              <w:t>206</w:t>
            </w:r>
          </w:p>
        </w:tc>
      </w:tr>
      <w:tr w:rsidR="002B061F" w:rsidRPr="00F15207" w14:paraId="6B64E990" w14:textId="77777777" w:rsidTr="00C95DB3">
        <w:trPr>
          <w:cantSplit/>
        </w:trPr>
        <w:tc>
          <w:tcPr>
            <w:tcW w:w="5040" w:type="dxa"/>
            <w:tcBorders>
              <w:top w:val="single" w:sz="6" w:space="0" w:color="000000"/>
              <w:left w:val="single" w:sz="6" w:space="0" w:color="000000"/>
              <w:bottom w:val="single" w:sz="6" w:space="0" w:color="000000"/>
              <w:right w:val="nil"/>
            </w:tcBorders>
          </w:tcPr>
          <w:p w14:paraId="52F06F8B" w14:textId="77777777" w:rsidR="002B061F" w:rsidRPr="00F15207" w:rsidRDefault="002B061F" w:rsidP="002B061F">
            <w:pPr>
              <w:pStyle w:val="TableText"/>
            </w:pPr>
            <w:r w:rsidRPr="00F15207">
              <w:t>Solvent Distributors</w:t>
            </w:r>
          </w:p>
        </w:tc>
        <w:tc>
          <w:tcPr>
            <w:tcW w:w="4140" w:type="dxa"/>
            <w:tcBorders>
              <w:top w:val="single" w:sz="6" w:space="0" w:color="000000"/>
              <w:left w:val="single" w:sz="6" w:space="0" w:color="000000"/>
              <w:bottom w:val="single" w:sz="6" w:space="0" w:color="000000"/>
              <w:right w:val="single" w:sz="6" w:space="0" w:color="000000"/>
            </w:tcBorders>
          </w:tcPr>
          <w:p w14:paraId="6CF418B6" w14:textId="0327231D" w:rsidR="002B061F" w:rsidRPr="00F15207" w:rsidRDefault="002B061F" w:rsidP="002B061F">
            <w:pPr>
              <w:pStyle w:val="TableText"/>
            </w:pPr>
            <w:r>
              <w:t>23</w:t>
            </w:r>
          </w:p>
        </w:tc>
      </w:tr>
    </w:tbl>
    <w:p w14:paraId="3EE5F15C" w14:textId="77777777" w:rsidR="00F15207" w:rsidRPr="00F15207" w:rsidRDefault="00F15207" w:rsidP="002B061F">
      <w:pPr>
        <w:pStyle w:val="BodyText"/>
      </w:pPr>
      <w:r w:rsidRPr="00F15207">
        <w:t>A facility/drop station’s participating/non-participating status defines their fees and registrations costs. The terms “participating” and “non-participating” refer to a facility/drop station’s eligibility to receive benefits from the Fund.</w:t>
      </w:r>
    </w:p>
    <w:p w14:paraId="16692EB1" w14:textId="77777777" w:rsidR="00F15207" w:rsidRPr="00F15207" w:rsidRDefault="00F15207" w:rsidP="002B061F">
      <w:pPr>
        <w:pStyle w:val="Caption"/>
      </w:pPr>
      <w:r w:rsidRPr="00F15207">
        <w:t>Table 2. Differences in the DCRP Fee Structure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shows the differences in the DCRP Fee Structure for different types of facilities, the number of locations, solvent fees collected, and gross receipts for registration fees greater than and less than $150,000."/>
      </w:tblPr>
      <w:tblGrid>
        <w:gridCol w:w="2178"/>
        <w:gridCol w:w="1327"/>
        <w:gridCol w:w="2340"/>
        <w:gridCol w:w="1710"/>
        <w:gridCol w:w="1800"/>
      </w:tblGrid>
      <w:tr w:rsidR="00F15207" w:rsidRPr="00F15207" w14:paraId="316A6B8C" w14:textId="77777777" w:rsidTr="00D37455">
        <w:trPr>
          <w:cantSplit/>
          <w:tblHeader/>
        </w:trPr>
        <w:tc>
          <w:tcPr>
            <w:tcW w:w="2178" w:type="dxa"/>
            <w:shd w:val="clear" w:color="auto" w:fill="F2F2F2" w:themeFill="background1" w:themeFillShade="F2"/>
          </w:tcPr>
          <w:p w14:paraId="5C30EEBA" w14:textId="77777777" w:rsidR="00F15207" w:rsidRPr="00F15207" w:rsidRDefault="00F15207" w:rsidP="002B061F">
            <w:pPr>
              <w:pStyle w:val="BodyText"/>
              <w:rPr>
                <w:rStyle w:val="Strong"/>
              </w:rPr>
            </w:pPr>
            <w:r w:rsidRPr="00F15207">
              <w:rPr>
                <w:rStyle w:val="Strong"/>
              </w:rPr>
              <w:t>T</w:t>
            </w:r>
            <w:bookmarkStart w:id="1" w:name="Table_DCRP_Fee_Structure"/>
            <w:bookmarkEnd w:id="1"/>
            <w:r w:rsidRPr="00F15207">
              <w:rPr>
                <w:rStyle w:val="Strong"/>
              </w:rPr>
              <w:t>ype</w:t>
            </w:r>
          </w:p>
        </w:tc>
        <w:tc>
          <w:tcPr>
            <w:tcW w:w="1327" w:type="dxa"/>
            <w:shd w:val="clear" w:color="auto" w:fill="F2F2F2" w:themeFill="background1" w:themeFillShade="F2"/>
          </w:tcPr>
          <w:p w14:paraId="5C4338C6" w14:textId="77777777" w:rsidR="00F15207" w:rsidRPr="00F15207" w:rsidRDefault="00F15207" w:rsidP="002B061F">
            <w:pPr>
              <w:pStyle w:val="BodyText"/>
              <w:rPr>
                <w:rStyle w:val="Strong"/>
              </w:rPr>
            </w:pPr>
            <w:r w:rsidRPr="00F15207">
              <w:rPr>
                <w:rStyle w:val="Strong"/>
              </w:rPr>
              <w:t>Number of Locations</w:t>
            </w:r>
          </w:p>
        </w:tc>
        <w:tc>
          <w:tcPr>
            <w:tcW w:w="2340" w:type="dxa"/>
            <w:shd w:val="clear" w:color="auto" w:fill="F2F2F2" w:themeFill="background1" w:themeFillShade="F2"/>
          </w:tcPr>
          <w:p w14:paraId="19E5F0A7" w14:textId="77777777" w:rsidR="00F15207" w:rsidRPr="00F15207" w:rsidRDefault="00F15207" w:rsidP="002B061F">
            <w:pPr>
              <w:pStyle w:val="BodyText"/>
              <w:rPr>
                <w:rStyle w:val="Strong"/>
              </w:rPr>
            </w:pPr>
            <w:r w:rsidRPr="00F15207">
              <w:rPr>
                <w:rStyle w:val="Strong"/>
              </w:rPr>
              <w:t>Solvent Fees Collected</w:t>
            </w:r>
          </w:p>
        </w:tc>
        <w:tc>
          <w:tcPr>
            <w:tcW w:w="1710" w:type="dxa"/>
            <w:shd w:val="clear" w:color="auto" w:fill="F2F2F2" w:themeFill="background1" w:themeFillShade="F2"/>
          </w:tcPr>
          <w:p w14:paraId="254DFFA6" w14:textId="6EF98218" w:rsidR="00F15207" w:rsidRPr="00F15207" w:rsidRDefault="00F15207" w:rsidP="002B061F">
            <w:pPr>
              <w:pStyle w:val="BodyText"/>
              <w:rPr>
                <w:rStyle w:val="Strong"/>
              </w:rPr>
            </w:pPr>
            <w:r w:rsidRPr="00F15207">
              <w:rPr>
                <w:rStyle w:val="Strong"/>
              </w:rPr>
              <w:t xml:space="preserve">Registration Fee </w:t>
            </w:r>
            <w:r w:rsidR="00F17BB1">
              <w:rPr>
                <w:rStyle w:val="Strong"/>
              </w:rPr>
              <w:t>–</w:t>
            </w:r>
            <w:r w:rsidRPr="00F15207">
              <w:rPr>
                <w:rStyle w:val="Strong"/>
              </w:rPr>
              <w:t xml:space="preserve"> Gross Receipts &gt;$150,000</w:t>
            </w:r>
          </w:p>
        </w:tc>
        <w:tc>
          <w:tcPr>
            <w:tcW w:w="1800" w:type="dxa"/>
            <w:shd w:val="clear" w:color="auto" w:fill="F2F2F2" w:themeFill="background1" w:themeFillShade="F2"/>
          </w:tcPr>
          <w:p w14:paraId="3C5559FF" w14:textId="3838E10E" w:rsidR="00F15207" w:rsidRPr="00F15207" w:rsidRDefault="00F15207" w:rsidP="002B061F">
            <w:pPr>
              <w:pStyle w:val="BodyText"/>
              <w:rPr>
                <w:rStyle w:val="Strong"/>
              </w:rPr>
            </w:pPr>
            <w:r w:rsidRPr="00F15207">
              <w:rPr>
                <w:rStyle w:val="Strong"/>
              </w:rPr>
              <w:t xml:space="preserve">Registration Fee </w:t>
            </w:r>
            <w:r w:rsidR="00F17BB1">
              <w:rPr>
                <w:rStyle w:val="Strong"/>
              </w:rPr>
              <w:t>–</w:t>
            </w:r>
            <w:r w:rsidRPr="00F15207">
              <w:rPr>
                <w:rStyle w:val="Strong"/>
              </w:rPr>
              <w:t xml:space="preserve"> Gross Receipts &lt;$150,000</w:t>
            </w:r>
          </w:p>
        </w:tc>
      </w:tr>
      <w:tr w:rsidR="00F15207" w:rsidRPr="00F15207" w14:paraId="539CDDAB" w14:textId="77777777" w:rsidTr="00C95DB3">
        <w:tc>
          <w:tcPr>
            <w:tcW w:w="2178" w:type="dxa"/>
          </w:tcPr>
          <w:p w14:paraId="5AACA084" w14:textId="77777777" w:rsidR="00F15207" w:rsidRPr="00F15207" w:rsidRDefault="00F15207" w:rsidP="002B061F">
            <w:pPr>
              <w:pStyle w:val="BodyText"/>
            </w:pPr>
            <w:r w:rsidRPr="00F15207">
              <w:t>Facility (aka: Participating Facility)</w:t>
            </w:r>
          </w:p>
        </w:tc>
        <w:tc>
          <w:tcPr>
            <w:tcW w:w="1327" w:type="dxa"/>
          </w:tcPr>
          <w:p w14:paraId="2B96CCCF" w14:textId="0F7ACA35" w:rsidR="00F15207" w:rsidRPr="002B061F" w:rsidRDefault="002B061F" w:rsidP="002B061F">
            <w:pPr>
              <w:pStyle w:val="BodyText"/>
            </w:pPr>
            <w:r>
              <w:t>767</w:t>
            </w:r>
          </w:p>
        </w:tc>
        <w:tc>
          <w:tcPr>
            <w:tcW w:w="2340" w:type="dxa"/>
          </w:tcPr>
          <w:p w14:paraId="533BE768" w14:textId="77777777" w:rsidR="00F15207" w:rsidRPr="00F15207" w:rsidRDefault="00F15207" w:rsidP="002B061F">
            <w:pPr>
              <w:pStyle w:val="BodyText"/>
            </w:pPr>
            <w:r w:rsidRPr="00F15207">
              <w:t>Yes (perchloroethylene: $20 per gal / other solvent: $3 per gal)</w:t>
            </w:r>
          </w:p>
        </w:tc>
        <w:tc>
          <w:tcPr>
            <w:tcW w:w="1710" w:type="dxa"/>
            <w:shd w:val="clear" w:color="auto" w:fill="auto"/>
          </w:tcPr>
          <w:p w14:paraId="3C296230" w14:textId="77777777" w:rsidR="00F15207" w:rsidRPr="00F15207" w:rsidRDefault="00F15207" w:rsidP="002B061F">
            <w:pPr>
              <w:pStyle w:val="BodyText"/>
            </w:pPr>
            <w:r w:rsidRPr="00F15207">
              <w:t>$2,500</w:t>
            </w:r>
          </w:p>
        </w:tc>
        <w:tc>
          <w:tcPr>
            <w:tcW w:w="1800" w:type="dxa"/>
            <w:shd w:val="clear" w:color="auto" w:fill="auto"/>
          </w:tcPr>
          <w:p w14:paraId="1AA8AA60" w14:textId="77777777" w:rsidR="00F15207" w:rsidRPr="00F15207" w:rsidRDefault="00F15207" w:rsidP="002B061F">
            <w:pPr>
              <w:pStyle w:val="BodyText"/>
            </w:pPr>
            <w:r w:rsidRPr="00F15207">
              <w:t>$250</w:t>
            </w:r>
          </w:p>
        </w:tc>
      </w:tr>
      <w:tr w:rsidR="00F15207" w:rsidRPr="00F15207" w14:paraId="077653D2" w14:textId="77777777" w:rsidTr="00C95DB3">
        <w:tc>
          <w:tcPr>
            <w:tcW w:w="2178" w:type="dxa"/>
          </w:tcPr>
          <w:p w14:paraId="43F0DD2F" w14:textId="1BAFB92D" w:rsidR="00F15207" w:rsidRPr="00F15207" w:rsidRDefault="00F15207" w:rsidP="002B061F">
            <w:pPr>
              <w:pStyle w:val="BodyText"/>
            </w:pPr>
            <w:r w:rsidRPr="00F15207">
              <w:t>Participating Non- Perchloroethylene Facility</w:t>
            </w:r>
            <w:r w:rsidR="005D0103">
              <w:t xml:space="preserve"> </w:t>
            </w:r>
            <w:r w:rsidRPr="00F15207">
              <w:rPr>
                <w:rStyle w:val="Emphasis"/>
              </w:rPr>
              <w:t>(type will not transfer to new owner)</w:t>
            </w:r>
          </w:p>
        </w:tc>
        <w:tc>
          <w:tcPr>
            <w:tcW w:w="1327" w:type="dxa"/>
          </w:tcPr>
          <w:p w14:paraId="0A623BC7" w14:textId="07D5ADBD" w:rsidR="00F15207" w:rsidRPr="002B061F" w:rsidRDefault="002B061F" w:rsidP="002B061F">
            <w:pPr>
              <w:pStyle w:val="BodyText"/>
            </w:pPr>
            <w:r>
              <w:t>21</w:t>
            </w:r>
          </w:p>
        </w:tc>
        <w:tc>
          <w:tcPr>
            <w:tcW w:w="2340" w:type="dxa"/>
          </w:tcPr>
          <w:p w14:paraId="759C03C0" w14:textId="77777777" w:rsidR="00F15207" w:rsidRPr="00F15207" w:rsidRDefault="00F15207" w:rsidP="002B061F">
            <w:pPr>
              <w:pStyle w:val="BodyText"/>
            </w:pPr>
            <w:r w:rsidRPr="00F15207">
              <w:t>No</w:t>
            </w:r>
            <w:r w:rsidRPr="00F15207">
              <w:br/>
              <w:t>(should not be receiving perchloroethylene)</w:t>
            </w:r>
          </w:p>
        </w:tc>
        <w:tc>
          <w:tcPr>
            <w:tcW w:w="1710" w:type="dxa"/>
            <w:shd w:val="clear" w:color="auto" w:fill="auto"/>
          </w:tcPr>
          <w:p w14:paraId="7D48E15F" w14:textId="77777777" w:rsidR="00F15207" w:rsidRPr="00F15207" w:rsidRDefault="00F15207" w:rsidP="002B061F">
            <w:pPr>
              <w:pStyle w:val="BodyText"/>
            </w:pPr>
            <w:r w:rsidRPr="00F15207">
              <w:t>$2,500</w:t>
            </w:r>
          </w:p>
        </w:tc>
        <w:tc>
          <w:tcPr>
            <w:tcW w:w="1800" w:type="dxa"/>
            <w:shd w:val="clear" w:color="auto" w:fill="auto"/>
          </w:tcPr>
          <w:p w14:paraId="6FFAE6D4" w14:textId="77777777" w:rsidR="00F15207" w:rsidRPr="00F15207" w:rsidRDefault="00F15207" w:rsidP="002B061F">
            <w:pPr>
              <w:pStyle w:val="BodyText"/>
            </w:pPr>
            <w:r w:rsidRPr="00F15207">
              <w:t>$250</w:t>
            </w:r>
          </w:p>
        </w:tc>
      </w:tr>
      <w:tr w:rsidR="00F15207" w:rsidRPr="00F15207" w14:paraId="0722ECDC" w14:textId="77777777" w:rsidTr="00C95DB3">
        <w:tc>
          <w:tcPr>
            <w:tcW w:w="2178" w:type="dxa"/>
          </w:tcPr>
          <w:p w14:paraId="617A5C0E" w14:textId="77777777" w:rsidR="00F15207" w:rsidRPr="00371BEF" w:rsidRDefault="00F15207" w:rsidP="002B061F">
            <w:pPr>
              <w:pStyle w:val="BodyText"/>
            </w:pPr>
            <w:r w:rsidRPr="00371BEF">
              <w:t>Non-Participating Non- Perchloroethylene Facility</w:t>
            </w:r>
            <w:r w:rsidRPr="00F15207">
              <w:rPr>
                <w:rStyle w:val="Emphasis"/>
              </w:rPr>
              <w:t xml:space="preserve"> (type will transfer to new owner)</w:t>
            </w:r>
          </w:p>
        </w:tc>
        <w:tc>
          <w:tcPr>
            <w:tcW w:w="1327" w:type="dxa"/>
          </w:tcPr>
          <w:p w14:paraId="2E2A6AD7" w14:textId="2B76EE6C" w:rsidR="00F15207" w:rsidRPr="002B061F" w:rsidRDefault="002B061F" w:rsidP="002B061F">
            <w:pPr>
              <w:pStyle w:val="BodyText"/>
              <w:rPr>
                <w:lang w:val="fr-FR"/>
              </w:rPr>
            </w:pPr>
            <w:r>
              <w:rPr>
                <w:lang w:val="fr-FR"/>
              </w:rPr>
              <w:t>167</w:t>
            </w:r>
          </w:p>
        </w:tc>
        <w:tc>
          <w:tcPr>
            <w:tcW w:w="2340" w:type="dxa"/>
          </w:tcPr>
          <w:p w14:paraId="2C518735" w14:textId="77777777" w:rsidR="00F15207" w:rsidRPr="00F15207" w:rsidRDefault="00F15207" w:rsidP="002B061F">
            <w:pPr>
              <w:pStyle w:val="BodyText"/>
            </w:pPr>
            <w:r w:rsidRPr="00F15207">
              <w:t>No</w:t>
            </w:r>
            <w:r w:rsidRPr="00F15207">
              <w:br/>
              <w:t>(should not be receiving perchloroethylene)</w:t>
            </w:r>
          </w:p>
        </w:tc>
        <w:tc>
          <w:tcPr>
            <w:tcW w:w="1710" w:type="dxa"/>
            <w:shd w:val="clear" w:color="auto" w:fill="auto"/>
          </w:tcPr>
          <w:p w14:paraId="4EBCD292" w14:textId="77777777" w:rsidR="00F15207" w:rsidRPr="00F15207" w:rsidRDefault="00F15207" w:rsidP="002B061F">
            <w:pPr>
              <w:pStyle w:val="BodyText"/>
            </w:pPr>
            <w:r w:rsidRPr="00F15207">
              <w:t>$250</w:t>
            </w:r>
          </w:p>
        </w:tc>
        <w:tc>
          <w:tcPr>
            <w:tcW w:w="1800" w:type="dxa"/>
            <w:shd w:val="clear" w:color="auto" w:fill="auto"/>
          </w:tcPr>
          <w:p w14:paraId="3CE70E78" w14:textId="77777777" w:rsidR="00F15207" w:rsidRPr="00F15207" w:rsidRDefault="00F15207" w:rsidP="002B061F">
            <w:pPr>
              <w:pStyle w:val="BodyText"/>
            </w:pPr>
            <w:r w:rsidRPr="00F15207">
              <w:t>$250</w:t>
            </w:r>
          </w:p>
        </w:tc>
      </w:tr>
      <w:tr w:rsidR="00F15207" w:rsidRPr="00F15207" w14:paraId="24BB7906" w14:textId="77777777" w:rsidTr="00C95DB3">
        <w:tc>
          <w:tcPr>
            <w:tcW w:w="2178" w:type="dxa"/>
          </w:tcPr>
          <w:p w14:paraId="61E5708A" w14:textId="0CA57902" w:rsidR="00F15207" w:rsidRPr="00F15207" w:rsidRDefault="00F15207" w:rsidP="002B061F">
            <w:pPr>
              <w:pStyle w:val="BodyText"/>
            </w:pPr>
            <w:r w:rsidRPr="00F15207">
              <w:lastRenderedPageBreak/>
              <w:t>Drop Station(aka: Participating Drop Station)</w:t>
            </w:r>
          </w:p>
        </w:tc>
        <w:tc>
          <w:tcPr>
            <w:tcW w:w="1327" w:type="dxa"/>
          </w:tcPr>
          <w:p w14:paraId="3A1B35F3" w14:textId="3C7BD8A6" w:rsidR="00F15207" w:rsidRPr="00F15207" w:rsidRDefault="002B061F" w:rsidP="002B061F">
            <w:pPr>
              <w:pStyle w:val="BodyText"/>
            </w:pPr>
            <w:r>
              <w:t>1,000</w:t>
            </w:r>
          </w:p>
        </w:tc>
        <w:tc>
          <w:tcPr>
            <w:tcW w:w="2340" w:type="dxa"/>
          </w:tcPr>
          <w:p w14:paraId="40F1809F" w14:textId="77777777" w:rsidR="00F15207" w:rsidRPr="00F15207" w:rsidRDefault="00F15207" w:rsidP="002B061F">
            <w:pPr>
              <w:pStyle w:val="BodyText"/>
            </w:pPr>
            <w:r w:rsidRPr="00F15207">
              <w:t>Not Applicable</w:t>
            </w:r>
            <w:r w:rsidRPr="00F15207">
              <w:br/>
              <w:t>(should not be receiving solvent)</w:t>
            </w:r>
          </w:p>
        </w:tc>
        <w:tc>
          <w:tcPr>
            <w:tcW w:w="1710" w:type="dxa"/>
            <w:shd w:val="clear" w:color="auto" w:fill="auto"/>
          </w:tcPr>
          <w:p w14:paraId="0BE02955" w14:textId="77777777" w:rsidR="00F15207" w:rsidRPr="00F15207" w:rsidRDefault="00F15207" w:rsidP="002B061F">
            <w:pPr>
              <w:pStyle w:val="BodyText"/>
            </w:pPr>
            <w:r w:rsidRPr="00F15207">
              <w:t>$750</w:t>
            </w:r>
          </w:p>
        </w:tc>
        <w:tc>
          <w:tcPr>
            <w:tcW w:w="1800" w:type="dxa"/>
            <w:shd w:val="clear" w:color="auto" w:fill="auto"/>
          </w:tcPr>
          <w:p w14:paraId="319E65FD" w14:textId="77777777" w:rsidR="00F15207" w:rsidRPr="00F15207" w:rsidRDefault="00F15207" w:rsidP="002B061F">
            <w:pPr>
              <w:pStyle w:val="BodyText"/>
            </w:pPr>
            <w:r w:rsidRPr="00F15207">
              <w:t>$250</w:t>
            </w:r>
          </w:p>
        </w:tc>
      </w:tr>
      <w:tr w:rsidR="00F15207" w:rsidRPr="00F15207" w14:paraId="0EA581A4" w14:textId="77777777" w:rsidTr="00C95DB3">
        <w:tc>
          <w:tcPr>
            <w:tcW w:w="2178" w:type="dxa"/>
          </w:tcPr>
          <w:p w14:paraId="471E940D" w14:textId="77777777" w:rsidR="00F15207" w:rsidRPr="00371BEF" w:rsidRDefault="00F15207" w:rsidP="002B061F">
            <w:pPr>
              <w:pStyle w:val="BodyText"/>
            </w:pPr>
            <w:r w:rsidRPr="00371BEF">
              <w:t>Non-Participating Non-Perchloroethylene Drop Station</w:t>
            </w:r>
            <w:r w:rsidRPr="00F15207">
              <w:rPr>
                <w:rStyle w:val="Emphasis"/>
              </w:rPr>
              <w:t xml:space="preserve"> (type will transfer to new owner)</w:t>
            </w:r>
          </w:p>
        </w:tc>
        <w:tc>
          <w:tcPr>
            <w:tcW w:w="1327" w:type="dxa"/>
          </w:tcPr>
          <w:p w14:paraId="7B228B63" w14:textId="76332E8B" w:rsidR="00F15207" w:rsidRPr="00F15207" w:rsidRDefault="002B061F" w:rsidP="002B061F">
            <w:pPr>
              <w:pStyle w:val="BodyText"/>
              <w:rPr>
                <w:lang w:val="fr-FR"/>
              </w:rPr>
            </w:pPr>
            <w:r>
              <w:rPr>
                <w:lang w:val="fr-FR"/>
              </w:rPr>
              <w:t>83</w:t>
            </w:r>
          </w:p>
        </w:tc>
        <w:tc>
          <w:tcPr>
            <w:tcW w:w="2340" w:type="dxa"/>
          </w:tcPr>
          <w:p w14:paraId="774A5EE8" w14:textId="77777777" w:rsidR="00F15207" w:rsidRPr="00F15207" w:rsidRDefault="00F15207" w:rsidP="002B061F">
            <w:pPr>
              <w:pStyle w:val="BodyText"/>
            </w:pPr>
            <w:r w:rsidRPr="00F15207">
              <w:t>Not Applicable</w:t>
            </w:r>
            <w:r w:rsidRPr="00F15207">
              <w:br/>
              <w:t>(should not be receiving solvent)</w:t>
            </w:r>
          </w:p>
        </w:tc>
        <w:tc>
          <w:tcPr>
            <w:tcW w:w="1710" w:type="dxa"/>
            <w:shd w:val="clear" w:color="auto" w:fill="auto"/>
          </w:tcPr>
          <w:p w14:paraId="7B27D38D" w14:textId="77777777" w:rsidR="00F15207" w:rsidRPr="00F15207" w:rsidRDefault="00F15207" w:rsidP="002B061F">
            <w:pPr>
              <w:pStyle w:val="BodyText"/>
            </w:pPr>
            <w:r w:rsidRPr="00F15207">
              <w:t>$125</w:t>
            </w:r>
          </w:p>
        </w:tc>
        <w:tc>
          <w:tcPr>
            <w:tcW w:w="1800" w:type="dxa"/>
            <w:shd w:val="clear" w:color="auto" w:fill="auto"/>
          </w:tcPr>
          <w:p w14:paraId="41EBD05E" w14:textId="77777777" w:rsidR="00F15207" w:rsidRPr="00F15207" w:rsidRDefault="00F15207" w:rsidP="002B061F">
            <w:pPr>
              <w:pStyle w:val="BodyText"/>
            </w:pPr>
            <w:r w:rsidRPr="00F15207">
              <w:t>$125</w:t>
            </w:r>
          </w:p>
        </w:tc>
      </w:tr>
      <w:tr w:rsidR="00F15207" w:rsidRPr="00F15207" w14:paraId="31C65598" w14:textId="77777777" w:rsidTr="00C95DB3">
        <w:tc>
          <w:tcPr>
            <w:tcW w:w="2178" w:type="dxa"/>
          </w:tcPr>
          <w:p w14:paraId="7E6B1BBC" w14:textId="77777777" w:rsidR="00F15207" w:rsidRPr="00F15207" w:rsidRDefault="00F15207" w:rsidP="002B061F">
            <w:pPr>
              <w:pStyle w:val="BodyText"/>
              <w:rPr>
                <w:rStyle w:val="Strong"/>
              </w:rPr>
            </w:pPr>
            <w:r w:rsidRPr="00F15207">
              <w:rPr>
                <w:rStyle w:val="Strong"/>
              </w:rPr>
              <w:t>Total</w:t>
            </w:r>
          </w:p>
        </w:tc>
        <w:tc>
          <w:tcPr>
            <w:tcW w:w="1327" w:type="dxa"/>
          </w:tcPr>
          <w:p w14:paraId="6E13ED1C" w14:textId="248D8D53" w:rsidR="00F15207" w:rsidRPr="00F15207" w:rsidRDefault="00F15207" w:rsidP="002B061F">
            <w:pPr>
              <w:pStyle w:val="BodyText"/>
              <w:rPr>
                <w:lang w:val="fr-FR"/>
              </w:rPr>
            </w:pPr>
            <w:r w:rsidRPr="005A6BD1">
              <w:rPr>
                <w:lang w:val="fr-FR"/>
              </w:rPr>
              <w:t>2,</w:t>
            </w:r>
            <w:r w:rsidR="002B061F">
              <w:rPr>
                <w:lang w:val="fr-FR"/>
              </w:rPr>
              <w:t>038</w:t>
            </w:r>
          </w:p>
        </w:tc>
        <w:tc>
          <w:tcPr>
            <w:tcW w:w="2340" w:type="dxa"/>
          </w:tcPr>
          <w:p w14:paraId="0D7C4815" w14:textId="77777777" w:rsidR="00F15207" w:rsidRPr="00F15207" w:rsidRDefault="00F15207" w:rsidP="002B061F">
            <w:pPr>
              <w:pStyle w:val="BodyText"/>
            </w:pPr>
            <w:r w:rsidRPr="00F15207">
              <w:t>Not Applicable</w:t>
            </w:r>
          </w:p>
        </w:tc>
        <w:tc>
          <w:tcPr>
            <w:tcW w:w="1710" w:type="dxa"/>
            <w:shd w:val="clear" w:color="auto" w:fill="auto"/>
          </w:tcPr>
          <w:p w14:paraId="73E5F94F" w14:textId="77777777" w:rsidR="00F15207" w:rsidRPr="00F15207" w:rsidRDefault="00F15207" w:rsidP="002B061F">
            <w:pPr>
              <w:pStyle w:val="BodyText"/>
            </w:pPr>
            <w:r w:rsidRPr="00F15207">
              <w:t>Not Applicable</w:t>
            </w:r>
          </w:p>
        </w:tc>
        <w:tc>
          <w:tcPr>
            <w:tcW w:w="1800" w:type="dxa"/>
            <w:shd w:val="clear" w:color="auto" w:fill="auto"/>
          </w:tcPr>
          <w:p w14:paraId="589A47EE" w14:textId="77777777" w:rsidR="00F15207" w:rsidRPr="00F15207" w:rsidRDefault="00F15207" w:rsidP="002B061F">
            <w:pPr>
              <w:pStyle w:val="BodyText"/>
            </w:pPr>
            <w:r w:rsidRPr="00F15207">
              <w:t>Not Applicable</w:t>
            </w:r>
          </w:p>
        </w:tc>
      </w:tr>
    </w:tbl>
    <w:p w14:paraId="2DA26826" w14:textId="7EBB0EB4" w:rsidR="00F15207" w:rsidRPr="00F15207" w:rsidRDefault="00F15207" w:rsidP="002B061F">
      <w:pPr>
        <w:pStyle w:val="Caption"/>
      </w:pPr>
      <w:r w:rsidRPr="00F15207">
        <w:t>Table 3. Registration of Dry Cleaning Facilities, Drop Stations, Property Owners and Preceding Property Owner (2004-</w:t>
      </w:r>
      <w:r w:rsidR="007A5966" w:rsidRPr="00F15207">
        <w:t>20</w:t>
      </w:r>
      <w:r w:rsidR="00F17BB1">
        <w:t>21</w:t>
      </w:r>
      <w:r w:rsidRPr="00F15207">
        <w:t>)</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3. Registration of Dry Cleaning Facilities, Drop Stations, Property Owners and Preceding Property Owner (2004-2018)"/>
        <w:tblDescription w:val="This table shows the registration of dry cleaning facilities, drop stations, property owners, and preceding property owners from 2004 - 2016 by FY, property owner, facilities, drop stations, and totals."/>
      </w:tblPr>
      <w:tblGrid>
        <w:gridCol w:w="2250"/>
        <w:gridCol w:w="1710"/>
        <w:gridCol w:w="1799"/>
        <w:gridCol w:w="1891"/>
        <w:gridCol w:w="1620"/>
      </w:tblGrid>
      <w:tr w:rsidR="00F15207" w:rsidRPr="00F15207" w14:paraId="755E7B29" w14:textId="77777777" w:rsidTr="001C1CDF">
        <w:trPr>
          <w:cantSplit/>
          <w:trHeight w:hRule="exact" w:val="720"/>
          <w:tblHeader/>
        </w:trPr>
        <w:tc>
          <w:tcPr>
            <w:tcW w:w="2250" w:type="dxa"/>
            <w:shd w:val="clear" w:color="auto" w:fill="F2F2F2" w:themeFill="background1" w:themeFillShade="F2"/>
          </w:tcPr>
          <w:p w14:paraId="4A824123" w14:textId="77777777" w:rsidR="00F15207" w:rsidRPr="00F15207" w:rsidRDefault="00F15207" w:rsidP="002B061F">
            <w:pPr>
              <w:pStyle w:val="TableText"/>
              <w:rPr>
                <w:rStyle w:val="Strong"/>
              </w:rPr>
            </w:pPr>
            <w:bookmarkStart w:id="2" w:name="Table_Registration_Types_by_FY"/>
            <w:bookmarkEnd w:id="2"/>
            <w:r w:rsidRPr="00F15207">
              <w:rPr>
                <w:rStyle w:val="Strong"/>
              </w:rPr>
              <w:t xml:space="preserve">Registrations by Fiscal Year </w:t>
            </w:r>
          </w:p>
        </w:tc>
        <w:tc>
          <w:tcPr>
            <w:tcW w:w="1710" w:type="dxa"/>
            <w:shd w:val="clear" w:color="auto" w:fill="F2F2F2" w:themeFill="background1" w:themeFillShade="F2"/>
          </w:tcPr>
          <w:p w14:paraId="0209B290" w14:textId="77777777" w:rsidR="00F15207" w:rsidRPr="00F15207" w:rsidRDefault="00F15207" w:rsidP="002B061F">
            <w:pPr>
              <w:pStyle w:val="TableText"/>
              <w:rPr>
                <w:rStyle w:val="Strong"/>
              </w:rPr>
            </w:pPr>
            <w:r w:rsidRPr="00F15207">
              <w:rPr>
                <w:rStyle w:val="Strong"/>
              </w:rPr>
              <w:t>Property Owner</w:t>
            </w:r>
          </w:p>
        </w:tc>
        <w:tc>
          <w:tcPr>
            <w:tcW w:w="1799" w:type="dxa"/>
            <w:shd w:val="clear" w:color="auto" w:fill="F2F2F2" w:themeFill="background1" w:themeFillShade="F2"/>
          </w:tcPr>
          <w:p w14:paraId="4913DF6E" w14:textId="77777777" w:rsidR="00F15207" w:rsidRPr="00F15207" w:rsidRDefault="00F15207" w:rsidP="002B061F">
            <w:pPr>
              <w:pStyle w:val="TableText"/>
              <w:rPr>
                <w:rStyle w:val="Strong"/>
              </w:rPr>
            </w:pPr>
            <w:r w:rsidRPr="00F15207">
              <w:rPr>
                <w:rStyle w:val="Strong"/>
              </w:rPr>
              <w:t>Facilities</w:t>
            </w:r>
          </w:p>
        </w:tc>
        <w:tc>
          <w:tcPr>
            <w:tcW w:w="1891" w:type="dxa"/>
            <w:shd w:val="clear" w:color="auto" w:fill="F2F2F2" w:themeFill="background1" w:themeFillShade="F2"/>
          </w:tcPr>
          <w:p w14:paraId="1A6F63BF" w14:textId="77777777" w:rsidR="00F15207" w:rsidRPr="00F15207" w:rsidRDefault="00F15207" w:rsidP="002B061F">
            <w:pPr>
              <w:pStyle w:val="TableText"/>
              <w:rPr>
                <w:rStyle w:val="Strong"/>
              </w:rPr>
            </w:pPr>
            <w:r w:rsidRPr="00F15207">
              <w:rPr>
                <w:rStyle w:val="Strong"/>
              </w:rPr>
              <w:t>Drop Stations</w:t>
            </w:r>
          </w:p>
        </w:tc>
        <w:tc>
          <w:tcPr>
            <w:tcW w:w="1620" w:type="dxa"/>
            <w:shd w:val="clear" w:color="auto" w:fill="F2F2F2" w:themeFill="background1" w:themeFillShade="F2"/>
          </w:tcPr>
          <w:p w14:paraId="3E524644" w14:textId="77777777" w:rsidR="00F15207" w:rsidRPr="00F15207" w:rsidRDefault="00F15207" w:rsidP="002B061F">
            <w:pPr>
              <w:pStyle w:val="TableText"/>
              <w:rPr>
                <w:rStyle w:val="Strong"/>
              </w:rPr>
            </w:pPr>
            <w:r w:rsidRPr="00F15207">
              <w:rPr>
                <w:rStyle w:val="Strong"/>
              </w:rPr>
              <w:t>Total</w:t>
            </w:r>
          </w:p>
        </w:tc>
      </w:tr>
      <w:tr w:rsidR="00F15207" w:rsidRPr="00F15207" w14:paraId="22ABDA99" w14:textId="77777777" w:rsidTr="00C95DB3">
        <w:trPr>
          <w:trHeight w:hRule="exact" w:val="475"/>
        </w:trPr>
        <w:tc>
          <w:tcPr>
            <w:tcW w:w="2250" w:type="dxa"/>
          </w:tcPr>
          <w:p w14:paraId="44A7D9A4" w14:textId="77777777" w:rsidR="00F15207" w:rsidRPr="00F15207" w:rsidRDefault="00F15207" w:rsidP="002B061F">
            <w:pPr>
              <w:pStyle w:val="TableText"/>
            </w:pPr>
            <w:r w:rsidRPr="00F15207">
              <w:t>Fiscal Year 04</w:t>
            </w:r>
          </w:p>
        </w:tc>
        <w:tc>
          <w:tcPr>
            <w:tcW w:w="1710" w:type="dxa"/>
          </w:tcPr>
          <w:p w14:paraId="76554B41" w14:textId="77777777" w:rsidR="00F15207" w:rsidRPr="00F15207" w:rsidRDefault="00F15207" w:rsidP="002B061F">
            <w:pPr>
              <w:pStyle w:val="TableText"/>
            </w:pPr>
            <w:r w:rsidRPr="00F15207">
              <w:t>n/a</w:t>
            </w:r>
          </w:p>
        </w:tc>
        <w:tc>
          <w:tcPr>
            <w:tcW w:w="1799" w:type="dxa"/>
          </w:tcPr>
          <w:p w14:paraId="41350548" w14:textId="77777777" w:rsidR="00F15207" w:rsidRPr="00F15207" w:rsidRDefault="00F15207" w:rsidP="002B061F">
            <w:pPr>
              <w:pStyle w:val="TableText"/>
            </w:pPr>
            <w:r w:rsidRPr="00F15207">
              <w:t>2,110</w:t>
            </w:r>
          </w:p>
        </w:tc>
        <w:tc>
          <w:tcPr>
            <w:tcW w:w="1891" w:type="dxa"/>
          </w:tcPr>
          <w:p w14:paraId="2A1880FC" w14:textId="77777777" w:rsidR="00F15207" w:rsidRPr="00F15207" w:rsidRDefault="00F15207" w:rsidP="002B061F">
            <w:pPr>
              <w:pStyle w:val="TableText"/>
            </w:pPr>
            <w:r w:rsidRPr="00F15207">
              <w:t>1,763</w:t>
            </w:r>
          </w:p>
        </w:tc>
        <w:tc>
          <w:tcPr>
            <w:tcW w:w="1620" w:type="dxa"/>
          </w:tcPr>
          <w:p w14:paraId="0919179F" w14:textId="77777777" w:rsidR="00F15207" w:rsidRPr="00F15207" w:rsidRDefault="00F15207" w:rsidP="002B061F">
            <w:pPr>
              <w:pStyle w:val="TableText"/>
            </w:pPr>
            <w:r w:rsidRPr="00F15207">
              <w:t>3,873</w:t>
            </w:r>
          </w:p>
        </w:tc>
      </w:tr>
      <w:tr w:rsidR="00F15207" w:rsidRPr="00F15207" w14:paraId="5391ECA9" w14:textId="77777777" w:rsidTr="00C95DB3">
        <w:trPr>
          <w:trHeight w:hRule="exact" w:val="475"/>
        </w:trPr>
        <w:tc>
          <w:tcPr>
            <w:tcW w:w="2250" w:type="dxa"/>
          </w:tcPr>
          <w:p w14:paraId="35EDDD06" w14:textId="77777777" w:rsidR="00F15207" w:rsidRPr="00F15207" w:rsidRDefault="00F15207" w:rsidP="002B061F">
            <w:pPr>
              <w:pStyle w:val="TableText"/>
            </w:pPr>
            <w:r w:rsidRPr="00F15207">
              <w:t>Fiscal Year 05</w:t>
            </w:r>
          </w:p>
        </w:tc>
        <w:tc>
          <w:tcPr>
            <w:tcW w:w="1710" w:type="dxa"/>
          </w:tcPr>
          <w:p w14:paraId="014506ED" w14:textId="77777777" w:rsidR="00F15207" w:rsidRPr="00F15207" w:rsidRDefault="00F15207" w:rsidP="002B061F">
            <w:pPr>
              <w:pStyle w:val="TableText"/>
            </w:pPr>
            <w:r w:rsidRPr="00F15207">
              <w:t>n/a</w:t>
            </w:r>
          </w:p>
        </w:tc>
        <w:tc>
          <w:tcPr>
            <w:tcW w:w="1799" w:type="dxa"/>
          </w:tcPr>
          <w:p w14:paraId="50275A1C" w14:textId="77777777" w:rsidR="00F15207" w:rsidRPr="00F15207" w:rsidRDefault="00F15207" w:rsidP="002B061F">
            <w:pPr>
              <w:pStyle w:val="TableText"/>
            </w:pPr>
            <w:r w:rsidRPr="00F15207">
              <w:t>1,999</w:t>
            </w:r>
          </w:p>
        </w:tc>
        <w:tc>
          <w:tcPr>
            <w:tcW w:w="1891" w:type="dxa"/>
          </w:tcPr>
          <w:p w14:paraId="10B8BDDE" w14:textId="77777777" w:rsidR="00F15207" w:rsidRPr="00F15207" w:rsidRDefault="00F15207" w:rsidP="002B061F">
            <w:pPr>
              <w:pStyle w:val="TableText"/>
            </w:pPr>
            <w:r w:rsidRPr="00F15207">
              <w:t>1,706</w:t>
            </w:r>
          </w:p>
        </w:tc>
        <w:tc>
          <w:tcPr>
            <w:tcW w:w="1620" w:type="dxa"/>
          </w:tcPr>
          <w:p w14:paraId="1A58967D" w14:textId="77777777" w:rsidR="00F15207" w:rsidRPr="00F15207" w:rsidRDefault="00F15207" w:rsidP="002B061F">
            <w:pPr>
              <w:pStyle w:val="TableText"/>
            </w:pPr>
            <w:r w:rsidRPr="00F15207">
              <w:t>3,705</w:t>
            </w:r>
          </w:p>
        </w:tc>
      </w:tr>
      <w:tr w:rsidR="00F15207" w:rsidRPr="00F15207" w14:paraId="6A3C59F3" w14:textId="77777777" w:rsidTr="00C95DB3">
        <w:trPr>
          <w:trHeight w:hRule="exact" w:val="475"/>
        </w:trPr>
        <w:tc>
          <w:tcPr>
            <w:tcW w:w="2250" w:type="dxa"/>
          </w:tcPr>
          <w:p w14:paraId="2030F287" w14:textId="77777777" w:rsidR="00F15207" w:rsidRPr="00F15207" w:rsidRDefault="00F15207" w:rsidP="002B061F">
            <w:pPr>
              <w:pStyle w:val="TableText"/>
            </w:pPr>
            <w:r w:rsidRPr="00F15207">
              <w:t>Fiscal Year 06</w:t>
            </w:r>
          </w:p>
        </w:tc>
        <w:tc>
          <w:tcPr>
            <w:tcW w:w="1710" w:type="dxa"/>
          </w:tcPr>
          <w:p w14:paraId="10D4E46F" w14:textId="77777777" w:rsidR="00F15207" w:rsidRPr="00F15207" w:rsidRDefault="00F15207" w:rsidP="002B061F">
            <w:pPr>
              <w:pStyle w:val="TableText"/>
            </w:pPr>
            <w:r w:rsidRPr="00F15207">
              <w:t>n/a</w:t>
            </w:r>
          </w:p>
        </w:tc>
        <w:tc>
          <w:tcPr>
            <w:tcW w:w="1799" w:type="dxa"/>
          </w:tcPr>
          <w:p w14:paraId="524C436D" w14:textId="77777777" w:rsidR="00F15207" w:rsidRPr="00F15207" w:rsidRDefault="00F15207" w:rsidP="002B061F">
            <w:pPr>
              <w:pStyle w:val="TableText"/>
            </w:pPr>
            <w:r w:rsidRPr="00F15207">
              <w:t>1,946</w:t>
            </w:r>
          </w:p>
        </w:tc>
        <w:tc>
          <w:tcPr>
            <w:tcW w:w="1891" w:type="dxa"/>
          </w:tcPr>
          <w:p w14:paraId="52C382EA" w14:textId="77777777" w:rsidR="00F15207" w:rsidRPr="00F15207" w:rsidRDefault="00F15207" w:rsidP="002B061F">
            <w:pPr>
              <w:pStyle w:val="TableText"/>
            </w:pPr>
            <w:r w:rsidRPr="00F15207">
              <w:t>1,933</w:t>
            </w:r>
          </w:p>
        </w:tc>
        <w:tc>
          <w:tcPr>
            <w:tcW w:w="1620" w:type="dxa"/>
          </w:tcPr>
          <w:p w14:paraId="31822E70" w14:textId="77777777" w:rsidR="00F15207" w:rsidRPr="00F15207" w:rsidRDefault="00F15207" w:rsidP="002B061F">
            <w:pPr>
              <w:pStyle w:val="TableText"/>
            </w:pPr>
            <w:r w:rsidRPr="00F15207">
              <w:t>3,879</w:t>
            </w:r>
          </w:p>
        </w:tc>
      </w:tr>
      <w:tr w:rsidR="00F15207" w:rsidRPr="00F15207" w14:paraId="4852A05D" w14:textId="77777777" w:rsidTr="00C95DB3">
        <w:trPr>
          <w:trHeight w:hRule="exact" w:val="475"/>
        </w:trPr>
        <w:tc>
          <w:tcPr>
            <w:tcW w:w="2250" w:type="dxa"/>
          </w:tcPr>
          <w:p w14:paraId="2853A242" w14:textId="77777777" w:rsidR="00F15207" w:rsidRPr="00F15207" w:rsidRDefault="00F15207" w:rsidP="002B061F">
            <w:pPr>
              <w:pStyle w:val="TableText"/>
            </w:pPr>
            <w:r w:rsidRPr="00F15207">
              <w:t>Fiscal Year 07</w:t>
            </w:r>
          </w:p>
        </w:tc>
        <w:tc>
          <w:tcPr>
            <w:tcW w:w="1710" w:type="dxa"/>
          </w:tcPr>
          <w:p w14:paraId="2B8495CB" w14:textId="77777777" w:rsidR="00F15207" w:rsidRPr="00F15207" w:rsidRDefault="00F15207" w:rsidP="002B061F">
            <w:pPr>
              <w:pStyle w:val="TableText"/>
            </w:pPr>
            <w:r w:rsidRPr="00F15207">
              <w:t>n/a</w:t>
            </w:r>
          </w:p>
        </w:tc>
        <w:tc>
          <w:tcPr>
            <w:tcW w:w="1799" w:type="dxa"/>
          </w:tcPr>
          <w:p w14:paraId="18736218" w14:textId="77777777" w:rsidR="00F15207" w:rsidRPr="00F15207" w:rsidRDefault="00F15207" w:rsidP="002B061F">
            <w:pPr>
              <w:pStyle w:val="TableText"/>
            </w:pPr>
            <w:r w:rsidRPr="00F15207">
              <w:t>1,814</w:t>
            </w:r>
          </w:p>
        </w:tc>
        <w:tc>
          <w:tcPr>
            <w:tcW w:w="1891" w:type="dxa"/>
          </w:tcPr>
          <w:p w14:paraId="1D86E1ED" w14:textId="77777777" w:rsidR="00F15207" w:rsidRPr="00F15207" w:rsidRDefault="00F15207" w:rsidP="002B061F">
            <w:pPr>
              <w:pStyle w:val="TableText"/>
            </w:pPr>
            <w:r w:rsidRPr="00F15207">
              <w:t>1,777</w:t>
            </w:r>
          </w:p>
        </w:tc>
        <w:tc>
          <w:tcPr>
            <w:tcW w:w="1620" w:type="dxa"/>
          </w:tcPr>
          <w:p w14:paraId="5A960535" w14:textId="77777777" w:rsidR="00F15207" w:rsidRPr="00F15207" w:rsidRDefault="00F15207" w:rsidP="002B061F">
            <w:pPr>
              <w:pStyle w:val="TableText"/>
            </w:pPr>
            <w:r w:rsidRPr="00F15207">
              <w:t>3,591</w:t>
            </w:r>
          </w:p>
        </w:tc>
      </w:tr>
      <w:tr w:rsidR="00F15207" w:rsidRPr="00F15207" w14:paraId="7ACE8F64" w14:textId="77777777" w:rsidTr="00C95DB3">
        <w:trPr>
          <w:trHeight w:hRule="exact" w:val="475"/>
        </w:trPr>
        <w:tc>
          <w:tcPr>
            <w:tcW w:w="2250" w:type="dxa"/>
          </w:tcPr>
          <w:p w14:paraId="24DEEF05" w14:textId="77777777" w:rsidR="00F15207" w:rsidRPr="00F15207" w:rsidRDefault="00F15207" w:rsidP="002B061F">
            <w:pPr>
              <w:pStyle w:val="TableText"/>
            </w:pPr>
            <w:r w:rsidRPr="00F15207">
              <w:t>Fiscal Year 08</w:t>
            </w:r>
          </w:p>
        </w:tc>
        <w:tc>
          <w:tcPr>
            <w:tcW w:w="1710" w:type="dxa"/>
          </w:tcPr>
          <w:p w14:paraId="1784677D" w14:textId="77777777" w:rsidR="00F15207" w:rsidRPr="00F15207" w:rsidRDefault="00F15207" w:rsidP="002B061F">
            <w:pPr>
              <w:pStyle w:val="TableText"/>
            </w:pPr>
            <w:r w:rsidRPr="00F15207">
              <w:t>192</w:t>
            </w:r>
          </w:p>
        </w:tc>
        <w:tc>
          <w:tcPr>
            <w:tcW w:w="1799" w:type="dxa"/>
          </w:tcPr>
          <w:p w14:paraId="4D82E3A0" w14:textId="77777777" w:rsidR="00F15207" w:rsidRPr="00F15207" w:rsidRDefault="00F15207" w:rsidP="002B061F">
            <w:pPr>
              <w:pStyle w:val="TableText"/>
            </w:pPr>
            <w:r w:rsidRPr="00F15207">
              <w:t>1,668</w:t>
            </w:r>
          </w:p>
        </w:tc>
        <w:tc>
          <w:tcPr>
            <w:tcW w:w="1891" w:type="dxa"/>
          </w:tcPr>
          <w:p w14:paraId="31635A53" w14:textId="77777777" w:rsidR="00F15207" w:rsidRPr="00F15207" w:rsidRDefault="00F15207" w:rsidP="002B061F">
            <w:pPr>
              <w:pStyle w:val="TableText"/>
            </w:pPr>
            <w:r w:rsidRPr="00F15207">
              <w:t>1,635</w:t>
            </w:r>
          </w:p>
        </w:tc>
        <w:tc>
          <w:tcPr>
            <w:tcW w:w="1620" w:type="dxa"/>
          </w:tcPr>
          <w:p w14:paraId="4B8CFCE4" w14:textId="77777777" w:rsidR="00F15207" w:rsidRPr="00F15207" w:rsidRDefault="00F15207" w:rsidP="002B061F">
            <w:pPr>
              <w:pStyle w:val="TableText"/>
            </w:pPr>
            <w:r w:rsidRPr="00F15207">
              <w:t>3,303</w:t>
            </w:r>
          </w:p>
        </w:tc>
      </w:tr>
      <w:tr w:rsidR="00F15207" w:rsidRPr="00F15207" w14:paraId="46A12DD6" w14:textId="77777777" w:rsidTr="00C95DB3">
        <w:trPr>
          <w:trHeight w:hRule="exact" w:val="475"/>
        </w:trPr>
        <w:tc>
          <w:tcPr>
            <w:tcW w:w="2250" w:type="dxa"/>
          </w:tcPr>
          <w:p w14:paraId="615FE3FD" w14:textId="77777777" w:rsidR="00F15207" w:rsidRPr="00F15207" w:rsidRDefault="00F15207" w:rsidP="002B061F">
            <w:pPr>
              <w:pStyle w:val="TableText"/>
            </w:pPr>
            <w:r w:rsidRPr="00F15207">
              <w:t>Fiscal Year 09</w:t>
            </w:r>
          </w:p>
        </w:tc>
        <w:tc>
          <w:tcPr>
            <w:tcW w:w="1710" w:type="dxa"/>
          </w:tcPr>
          <w:p w14:paraId="36BA5A12" w14:textId="77777777" w:rsidR="00F15207" w:rsidRPr="00F15207" w:rsidRDefault="00F15207" w:rsidP="002B061F">
            <w:pPr>
              <w:pStyle w:val="TableText"/>
            </w:pPr>
            <w:r w:rsidRPr="00F15207">
              <w:t>192</w:t>
            </w:r>
          </w:p>
        </w:tc>
        <w:tc>
          <w:tcPr>
            <w:tcW w:w="1799" w:type="dxa"/>
          </w:tcPr>
          <w:p w14:paraId="261E335E" w14:textId="77777777" w:rsidR="00F15207" w:rsidRPr="00F15207" w:rsidRDefault="00F15207" w:rsidP="002B061F">
            <w:pPr>
              <w:pStyle w:val="TableText"/>
            </w:pPr>
            <w:r w:rsidRPr="00F15207">
              <w:t>1,542</w:t>
            </w:r>
          </w:p>
        </w:tc>
        <w:tc>
          <w:tcPr>
            <w:tcW w:w="1891" w:type="dxa"/>
          </w:tcPr>
          <w:p w14:paraId="6FA553EB" w14:textId="77777777" w:rsidR="00F15207" w:rsidRPr="00F15207" w:rsidRDefault="00F15207" w:rsidP="002B061F">
            <w:pPr>
              <w:pStyle w:val="TableText"/>
            </w:pPr>
            <w:r w:rsidRPr="00F15207">
              <w:t>1,529</w:t>
            </w:r>
          </w:p>
        </w:tc>
        <w:tc>
          <w:tcPr>
            <w:tcW w:w="1620" w:type="dxa"/>
          </w:tcPr>
          <w:p w14:paraId="3491561C" w14:textId="77777777" w:rsidR="00F15207" w:rsidRPr="00F15207" w:rsidRDefault="00F15207" w:rsidP="002B061F">
            <w:pPr>
              <w:pStyle w:val="TableText"/>
            </w:pPr>
            <w:r w:rsidRPr="00F15207">
              <w:t>3,071</w:t>
            </w:r>
          </w:p>
        </w:tc>
      </w:tr>
      <w:tr w:rsidR="00F15207" w:rsidRPr="00F15207" w14:paraId="2ECA789D" w14:textId="77777777" w:rsidTr="00C95DB3">
        <w:trPr>
          <w:trHeight w:hRule="exact" w:val="475"/>
        </w:trPr>
        <w:tc>
          <w:tcPr>
            <w:tcW w:w="2250" w:type="dxa"/>
          </w:tcPr>
          <w:p w14:paraId="30685764" w14:textId="77777777" w:rsidR="00F15207" w:rsidRPr="00F15207" w:rsidRDefault="00F15207" w:rsidP="002B061F">
            <w:pPr>
              <w:pStyle w:val="TableText"/>
            </w:pPr>
            <w:r w:rsidRPr="00F15207">
              <w:t>Fiscal Year 10</w:t>
            </w:r>
          </w:p>
        </w:tc>
        <w:tc>
          <w:tcPr>
            <w:tcW w:w="1710" w:type="dxa"/>
          </w:tcPr>
          <w:p w14:paraId="2DED5957" w14:textId="77777777" w:rsidR="00F15207" w:rsidRPr="00F15207" w:rsidRDefault="00F15207" w:rsidP="002B061F">
            <w:pPr>
              <w:pStyle w:val="TableText"/>
            </w:pPr>
            <w:r w:rsidRPr="00F15207">
              <w:t>192</w:t>
            </w:r>
          </w:p>
        </w:tc>
        <w:tc>
          <w:tcPr>
            <w:tcW w:w="1799" w:type="dxa"/>
          </w:tcPr>
          <w:p w14:paraId="0589396C" w14:textId="77777777" w:rsidR="00F15207" w:rsidRPr="00F15207" w:rsidRDefault="00F15207" w:rsidP="002B061F">
            <w:pPr>
              <w:pStyle w:val="TableText"/>
            </w:pPr>
            <w:r w:rsidRPr="00F15207">
              <w:t>1,470</w:t>
            </w:r>
          </w:p>
        </w:tc>
        <w:tc>
          <w:tcPr>
            <w:tcW w:w="1891" w:type="dxa"/>
          </w:tcPr>
          <w:p w14:paraId="7C6C9D67" w14:textId="77777777" w:rsidR="00F15207" w:rsidRPr="00F15207" w:rsidRDefault="00F15207" w:rsidP="002B061F">
            <w:pPr>
              <w:pStyle w:val="TableText"/>
            </w:pPr>
            <w:r w:rsidRPr="00F15207">
              <w:t>1,418</w:t>
            </w:r>
          </w:p>
        </w:tc>
        <w:tc>
          <w:tcPr>
            <w:tcW w:w="1620" w:type="dxa"/>
          </w:tcPr>
          <w:p w14:paraId="6DDF68F5" w14:textId="77777777" w:rsidR="00F15207" w:rsidRPr="00F15207" w:rsidRDefault="00F15207" w:rsidP="002B061F">
            <w:pPr>
              <w:pStyle w:val="TableText"/>
            </w:pPr>
            <w:r w:rsidRPr="00F15207">
              <w:t>2,888</w:t>
            </w:r>
          </w:p>
        </w:tc>
      </w:tr>
      <w:tr w:rsidR="00F15207" w:rsidRPr="00F15207" w14:paraId="10C1B9BE" w14:textId="77777777" w:rsidTr="00C95DB3">
        <w:trPr>
          <w:trHeight w:hRule="exact" w:val="475"/>
        </w:trPr>
        <w:tc>
          <w:tcPr>
            <w:tcW w:w="2250" w:type="dxa"/>
          </w:tcPr>
          <w:p w14:paraId="2881F162" w14:textId="77777777" w:rsidR="00F15207" w:rsidRPr="00F15207" w:rsidRDefault="00F15207" w:rsidP="002B061F">
            <w:pPr>
              <w:pStyle w:val="TableText"/>
            </w:pPr>
            <w:r w:rsidRPr="00F15207">
              <w:t>Fiscal Year 11</w:t>
            </w:r>
          </w:p>
        </w:tc>
        <w:tc>
          <w:tcPr>
            <w:tcW w:w="1710" w:type="dxa"/>
          </w:tcPr>
          <w:p w14:paraId="1C1607FB" w14:textId="77777777" w:rsidR="00F15207" w:rsidRPr="00F15207" w:rsidRDefault="00F15207" w:rsidP="002B061F">
            <w:pPr>
              <w:pStyle w:val="TableText"/>
            </w:pPr>
            <w:r w:rsidRPr="00F15207">
              <w:t>183</w:t>
            </w:r>
          </w:p>
        </w:tc>
        <w:tc>
          <w:tcPr>
            <w:tcW w:w="1799" w:type="dxa"/>
          </w:tcPr>
          <w:p w14:paraId="143CF7AF" w14:textId="77777777" w:rsidR="00F15207" w:rsidRPr="00F15207" w:rsidRDefault="00F15207" w:rsidP="002B061F">
            <w:pPr>
              <w:pStyle w:val="TableText"/>
            </w:pPr>
            <w:r w:rsidRPr="00F15207">
              <w:t>1,419</w:t>
            </w:r>
          </w:p>
        </w:tc>
        <w:tc>
          <w:tcPr>
            <w:tcW w:w="1891" w:type="dxa"/>
          </w:tcPr>
          <w:p w14:paraId="01F6C3B4" w14:textId="77777777" w:rsidR="00F15207" w:rsidRPr="00F15207" w:rsidRDefault="00F15207" w:rsidP="002B061F">
            <w:pPr>
              <w:pStyle w:val="TableText"/>
            </w:pPr>
            <w:r w:rsidRPr="00F15207">
              <w:t>1,384</w:t>
            </w:r>
          </w:p>
        </w:tc>
        <w:tc>
          <w:tcPr>
            <w:tcW w:w="1620" w:type="dxa"/>
          </w:tcPr>
          <w:p w14:paraId="72BE7CAC" w14:textId="77777777" w:rsidR="00F15207" w:rsidRPr="00F15207" w:rsidRDefault="00F15207" w:rsidP="002B061F">
            <w:pPr>
              <w:pStyle w:val="TableText"/>
            </w:pPr>
            <w:r w:rsidRPr="00F15207">
              <w:t>2,803</w:t>
            </w:r>
          </w:p>
        </w:tc>
      </w:tr>
      <w:tr w:rsidR="00F15207" w:rsidRPr="00F15207" w14:paraId="006A2730" w14:textId="77777777" w:rsidTr="00C95DB3">
        <w:trPr>
          <w:trHeight w:hRule="exact" w:val="475"/>
        </w:trPr>
        <w:tc>
          <w:tcPr>
            <w:tcW w:w="2250" w:type="dxa"/>
          </w:tcPr>
          <w:p w14:paraId="72FF5DC0" w14:textId="77777777" w:rsidR="00F15207" w:rsidRPr="00F15207" w:rsidRDefault="00F15207" w:rsidP="002B061F">
            <w:pPr>
              <w:pStyle w:val="TableText"/>
            </w:pPr>
            <w:r w:rsidRPr="00F15207">
              <w:t>Fiscal Year 12</w:t>
            </w:r>
          </w:p>
        </w:tc>
        <w:tc>
          <w:tcPr>
            <w:tcW w:w="1710" w:type="dxa"/>
          </w:tcPr>
          <w:p w14:paraId="49BC83A3" w14:textId="77777777" w:rsidR="00F15207" w:rsidRPr="00F15207" w:rsidRDefault="00F15207" w:rsidP="002B061F">
            <w:pPr>
              <w:pStyle w:val="TableText"/>
            </w:pPr>
            <w:r w:rsidRPr="00F15207">
              <w:t>193</w:t>
            </w:r>
          </w:p>
        </w:tc>
        <w:tc>
          <w:tcPr>
            <w:tcW w:w="1799" w:type="dxa"/>
          </w:tcPr>
          <w:p w14:paraId="6012EBD7" w14:textId="77777777" w:rsidR="00F15207" w:rsidRPr="00F15207" w:rsidRDefault="00F15207" w:rsidP="002B061F">
            <w:pPr>
              <w:pStyle w:val="TableText"/>
            </w:pPr>
            <w:r w:rsidRPr="00F15207">
              <w:t>1,509</w:t>
            </w:r>
          </w:p>
        </w:tc>
        <w:tc>
          <w:tcPr>
            <w:tcW w:w="1891" w:type="dxa"/>
          </w:tcPr>
          <w:p w14:paraId="50EE78F6" w14:textId="77777777" w:rsidR="00F15207" w:rsidRPr="00F15207" w:rsidRDefault="00F15207" w:rsidP="002B061F">
            <w:pPr>
              <w:pStyle w:val="TableText"/>
            </w:pPr>
            <w:r w:rsidRPr="00F15207">
              <w:t>1,766</w:t>
            </w:r>
          </w:p>
        </w:tc>
        <w:tc>
          <w:tcPr>
            <w:tcW w:w="1620" w:type="dxa"/>
          </w:tcPr>
          <w:p w14:paraId="67A357BF" w14:textId="77777777" w:rsidR="00F15207" w:rsidRPr="00F15207" w:rsidRDefault="00F15207" w:rsidP="002B061F">
            <w:pPr>
              <w:pStyle w:val="TableText"/>
            </w:pPr>
            <w:r w:rsidRPr="00F15207">
              <w:t>3,275</w:t>
            </w:r>
          </w:p>
        </w:tc>
      </w:tr>
      <w:tr w:rsidR="00F15207" w:rsidRPr="00F15207" w14:paraId="01A0B750" w14:textId="77777777" w:rsidTr="00C95DB3">
        <w:trPr>
          <w:trHeight w:hRule="exact" w:val="475"/>
        </w:trPr>
        <w:tc>
          <w:tcPr>
            <w:tcW w:w="2250" w:type="dxa"/>
          </w:tcPr>
          <w:p w14:paraId="036E0607" w14:textId="77777777" w:rsidR="00F15207" w:rsidRPr="00F15207" w:rsidRDefault="00F15207" w:rsidP="002B061F">
            <w:pPr>
              <w:pStyle w:val="TableText"/>
            </w:pPr>
            <w:r w:rsidRPr="00F15207">
              <w:t>Fiscal Year 13</w:t>
            </w:r>
          </w:p>
        </w:tc>
        <w:tc>
          <w:tcPr>
            <w:tcW w:w="1710" w:type="dxa"/>
          </w:tcPr>
          <w:p w14:paraId="2EE9E6C1" w14:textId="77777777" w:rsidR="00F15207" w:rsidRPr="00F15207" w:rsidRDefault="00F15207" w:rsidP="002B061F">
            <w:pPr>
              <w:pStyle w:val="TableText"/>
            </w:pPr>
            <w:r w:rsidRPr="00F15207">
              <w:t>195</w:t>
            </w:r>
          </w:p>
        </w:tc>
        <w:tc>
          <w:tcPr>
            <w:tcW w:w="1799" w:type="dxa"/>
          </w:tcPr>
          <w:p w14:paraId="5E463F87" w14:textId="77777777" w:rsidR="00F15207" w:rsidRPr="00F15207" w:rsidRDefault="00F15207" w:rsidP="002B061F">
            <w:pPr>
              <w:pStyle w:val="TableText"/>
            </w:pPr>
            <w:r w:rsidRPr="00F15207">
              <w:t>1,468</w:t>
            </w:r>
          </w:p>
        </w:tc>
        <w:tc>
          <w:tcPr>
            <w:tcW w:w="1891" w:type="dxa"/>
          </w:tcPr>
          <w:p w14:paraId="48000E8C" w14:textId="77777777" w:rsidR="00F15207" w:rsidRPr="00F15207" w:rsidRDefault="00F15207" w:rsidP="002B061F">
            <w:pPr>
              <w:pStyle w:val="TableText"/>
            </w:pPr>
            <w:r w:rsidRPr="00F15207">
              <w:t>1,703</w:t>
            </w:r>
          </w:p>
        </w:tc>
        <w:tc>
          <w:tcPr>
            <w:tcW w:w="1620" w:type="dxa"/>
          </w:tcPr>
          <w:p w14:paraId="453AF39D" w14:textId="77777777" w:rsidR="00F15207" w:rsidRPr="00F15207" w:rsidRDefault="00F15207" w:rsidP="002B061F">
            <w:pPr>
              <w:pStyle w:val="TableText"/>
            </w:pPr>
            <w:r w:rsidRPr="00F15207">
              <w:t>3,171</w:t>
            </w:r>
          </w:p>
        </w:tc>
      </w:tr>
      <w:tr w:rsidR="00F15207" w:rsidRPr="00F15207" w14:paraId="593F93FF" w14:textId="77777777" w:rsidTr="00C95DB3">
        <w:trPr>
          <w:trHeight w:hRule="exact" w:val="475"/>
        </w:trPr>
        <w:tc>
          <w:tcPr>
            <w:tcW w:w="2250" w:type="dxa"/>
          </w:tcPr>
          <w:p w14:paraId="0DA53369" w14:textId="77777777" w:rsidR="00F15207" w:rsidRPr="00F15207" w:rsidRDefault="00F15207" w:rsidP="002B061F">
            <w:pPr>
              <w:pStyle w:val="TableText"/>
            </w:pPr>
            <w:r w:rsidRPr="00F15207">
              <w:t>Fiscal Year 14</w:t>
            </w:r>
          </w:p>
        </w:tc>
        <w:tc>
          <w:tcPr>
            <w:tcW w:w="1710" w:type="dxa"/>
          </w:tcPr>
          <w:p w14:paraId="15B1F13B" w14:textId="77777777" w:rsidR="00F15207" w:rsidRPr="00F15207" w:rsidRDefault="00F15207" w:rsidP="002B061F">
            <w:pPr>
              <w:pStyle w:val="TableText"/>
            </w:pPr>
            <w:r w:rsidRPr="00F15207">
              <w:t>204</w:t>
            </w:r>
          </w:p>
        </w:tc>
        <w:tc>
          <w:tcPr>
            <w:tcW w:w="1799" w:type="dxa"/>
          </w:tcPr>
          <w:p w14:paraId="6680183F" w14:textId="77777777" w:rsidR="00F15207" w:rsidRPr="00F15207" w:rsidRDefault="00F15207" w:rsidP="002B061F">
            <w:pPr>
              <w:pStyle w:val="TableText"/>
            </w:pPr>
            <w:r w:rsidRPr="00F15207">
              <w:t>1,461</w:t>
            </w:r>
          </w:p>
        </w:tc>
        <w:tc>
          <w:tcPr>
            <w:tcW w:w="1891" w:type="dxa"/>
          </w:tcPr>
          <w:p w14:paraId="5B2F06BC" w14:textId="77777777" w:rsidR="00F15207" w:rsidRPr="00F15207" w:rsidRDefault="00F15207" w:rsidP="002B061F">
            <w:pPr>
              <w:pStyle w:val="TableText"/>
            </w:pPr>
            <w:r w:rsidRPr="00F15207">
              <w:t>1,700</w:t>
            </w:r>
          </w:p>
        </w:tc>
        <w:tc>
          <w:tcPr>
            <w:tcW w:w="1620" w:type="dxa"/>
          </w:tcPr>
          <w:p w14:paraId="3622345D" w14:textId="77777777" w:rsidR="00F15207" w:rsidRPr="00F15207" w:rsidRDefault="00F15207" w:rsidP="002B061F">
            <w:pPr>
              <w:pStyle w:val="TableText"/>
            </w:pPr>
            <w:r w:rsidRPr="00F15207">
              <w:t>3,161</w:t>
            </w:r>
          </w:p>
        </w:tc>
      </w:tr>
      <w:tr w:rsidR="00F15207" w:rsidRPr="00F15207" w14:paraId="69D0983F" w14:textId="77777777" w:rsidTr="00C95DB3">
        <w:trPr>
          <w:trHeight w:hRule="exact" w:val="475"/>
        </w:trPr>
        <w:tc>
          <w:tcPr>
            <w:tcW w:w="2250" w:type="dxa"/>
          </w:tcPr>
          <w:p w14:paraId="771D9106" w14:textId="77777777" w:rsidR="00F15207" w:rsidRPr="00F15207" w:rsidRDefault="00F15207" w:rsidP="002B061F">
            <w:pPr>
              <w:pStyle w:val="TableText"/>
            </w:pPr>
            <w:r w:rsidRPr="00F15207">
              <w:t>Fiscal Year 15</w:t>
            </w:r>
          </w:p>
        </w:tc>
        <w:tc>
          <w:tcPr>
            <w:tcW w:w="1710" w:type="dxa"/>
          </w:tcPr>
          <w:p w14:paraId="445188E4" w14:textId="77777777" w:rsidR="00F15207" w:rsidRPr="00F15207" w:rsidRDefault="00F15207" w:rsidP="002B061F">
            <w:pPr>
              <w:pStyle w:val="TableText"/>
            </w:pPr>
            <w:r w:rsidRPr="00F15207">
              <w:t>201</w:t>
            </w:r>
          </w:p>
        </w:tc>
        <w:tc>
          <w:tcPr>
            <w:tcW w:w="1799" w:type="dxa"/>
          </w:tcPr>
          <w:p w14:paraId="06FD7A75" w14:textId="77777777" w:rsidR="00F15207" w:rsidRPr="00F15207" w:rsidRDefault="00F15207" w:rsidP="002B061F">
            <w:pPr>
              <w:pStyle w:val="TableText"/>
            </w:pPr>
            <w:r w:rsidRPr="00F15207">
              <w:t>1,390</w:t>
            </w:r>
          </w:p>
        </w:tc>
        <w:tc>
          <w:tcPr>
            <w:tcW w:w="1891" w:type="dxa"/>
          </w:tcPr>
          <w:p w14:paraId="454F95FF" w14:textId="77777777" w:rsidR="00F15207" w:rsidRPr="00F15207" w:rsidRDefault="00F15207" w:rsidP="002B061F">
            <w:pPr>
              <w:pStyle w:val="TableText"/>
            </w:pPr>
            <w:r w:rsidRPr="00F15207">
              <w:t>1,703</w:t>
            </w:r>
          </w:p>
        </w:tc>
        <w:tc>
          <w:tcPr>
            <w:tcW w:w="1620" w:type="dxa"/>
          </w:tcPr>
          <w:p w14:paraId="193A3A05" w14:textId="77777777" w:rsidR="00F15207" w:rsidRPr="00F15207" w:rsidRDefault="00F15207" w:rsidP="002B061F">
            <w:pPr>
              <w:pStyle w:val="TableText"/>
            </w:pPr>
            <w:r w:rsidRPr="00F15207">
              <w:t>3,093</w:t>
            </w:r>
          </w:p>
        </w:tc>
      </w:tr>
      <w:tr w:rsidR="00F15207" w:rsidRPr="00F15207" w14:paraId="5369BFF3" w14:textId="77777777" w:rsidTr="00C95DB3">
        <w:trPr>
          <w:trHeight w:hRule="exact" w:val="475"/>
        </w:trPr>
        <w:tc>
          <w:tcPr>
            <w:tcW w:w="2250" w:type="dxa"/>
          </w:tcPr>
          <w:p w14:paraId="026D9F34" w14:textId="77777777" w:rsidR="00F15207" w:rsidRPr="00F15207" w:rsidRDefault="00F15207" w:rsidP="002B061F">
            <w:pPr>
              <w:pStyle w:val="TableText"/>
            </w:pPr>
            <w:r w:rsidRPr="00F15207">
              <w:t>Fiscal Year 16</w:t>
            </w:r>
          </w:p>
        </w:tc>
        <w:tc>
          <w:tcPr>
            <w:tcW w:w="1710" w:type="dxa"/>
          </w:tcPr>
          <w:p w14:paraId="42813A19" w14:textId="77777777" w:rsidR="00F15207" w:rsidRPr="00F15207" w:rsidRDefault="00F15207" w:rsidP="002B061F">
            <w:pPr>
              <w:pStyle w:val="TableText"/>
            </w:pPr>
            <w:r w:rsidRPr="00F15207">
              <w:t>203</w:t>
            </w:r>
          </w:p>
        </w:tc>
        <w:tc>
          <w:tcPr>
            <w:tcW w:w="1799" w:type="dxa"/>
          </w:tcPr>
          <w:p w14:paraId="729EB15D" w14:textId="77777777" w:rsidR="00F15207" w:rsidRPr="00F15207" w:rsidRDefault="00F15207" w:rsidP="002B061F">
            <w:pPr>
              <w:pStyle w:val="TableText"/>
            </w:pPr>
            <w:r w:rsidRPr="00F15207">
              <w:t>1,333</w:t>
            </w:r>
          </w:p>
        </w:tc>
        <w:tc>
          <w:tcPr>
            <w:tcW w:w="1891" w:type="dxa"/>
          </w:tcPr>
          <w:p w14:paraId="4D073D49" w14:textId="77777777" w:rsidR="00F15207" w:rsidRPr="00F15207" w:rsidRDefault="00F15207" w:rsidP="002B061F">
            <w:pPr>
              <w:pStyle w:val="TableText"/>
            </w:pPr>
            <w:r w:rsidRPr="00F15207">
              <w:t>1,639</w:t>
            </w:r>
          </w:p>
        </w:tc>
        <w:tc>
          <w:tcPr>
            <w:tcW w:w="1620" w:type="dxa"/>
          </w:tcPr>
          <w:p w14:paraId="29C70724" w14:textId="77777777" w:rsidR="00F15207" w:rsidRPr="00F15207" w:rsidRDefault="00F15207" w:rsidP="002B061F">
            <w:pPr>
              <w:pStyle w:val="TableText"/>
            </w:pPr>
            <w:r w:rsidRPr="00F15207">
              <w:t>2,972</w:t>
            </w:r>
          </w:p>
        </w:tc>
      </w:tr>
      <w:tr w:rsidR="00F15207" w:rsidRPr="00F15207" w14:paraId="70486BE8" w14:textId="77777777" w:rsidTr="00C95DB3">
        <w:trPr>
          <w:trHeight w:hRule="exact" w:val="475"/>
        </w:trPr>
        <w:tc>
          <w:tcPr>
            <w:tcW w:w="2250" w:type="dxa"/>
          </w:tcPr>
          <w:p w14:paraId="1AF5BF3F" w14:textId="77777777" w:rsidR="00F15207" w:rsidRPr="00F15207" w:rsidRDefault="00F15207" w:rsidP="002B061F">
            <w:pPr>
              <w:pStyle w:val="TableText"/>
            </w:pPr>
            <w:r w:rsidRPr="00F15207">
              <w:t>Fiscal Year 17</w:t>
            </w:r>
          </w:p>
        </w:tc>
        <w:tc>
          <w:tcPr>
            <w:tcW w:w="1710" w:type="dxa"/>
          </w:tcPr>
          <w:p w14:paraId="60B691ED" w14:textId="77777777" w:rsidR="00F15207" w:rsidRPr="00F15207" w:rsidRDefault="00F15207" w:rsidP="002B061F">
            <w:pPr>
              <w:pStyle w:val="TableText"/>
            </w:pPr>
            <w:r w:rsidRPr="00F15207">
              <w:t>221</w:t>
            </w:r>
          </w:p>
        </w:tc>
        <w:tc>
          <w:tcPr>
            <w:tcW w:w="1799" w:type="dxa"/>
          </w:tcPr>
          <w:p w14:paraId="57091A39" w14:textId="77777777" w:rsidR="00F15207" w:rsidRPr="00F15207" w:rsidRDefault="00F15207" w:rsidP="002B061F">
            <w:pPr>
              <w:pStyle w:val="TableText"/>
            </w:pPr>
            <w:r w:rsidRPr="00F15207">
              <w:t>1,335</w:t>
            </w:r>
          </w:p>
        </w:tc>
        <w:tc>
          <w:tcPr>
            <w:tcW w:w="1891" w:type="dxa"/>
          </w:tcPr>
          <w:p w14:paraId="133FD07B" w14:textId="77777777" w:rsidR="00F15207" w:rsidRPr="00F15207" w:rsidRDefault="00F15207" w:rsidP="002B061F">
            <w:pPr>
              <w:pStyle w:val="TableText"/>
            </w:pPr>
            <w:r w:rsidRPr="00F15207">
              <w:t>1,675</w:t>
            </w:r>
          </w:p>
        </w:tc>
        <w:tc>
          <w:tcPr>
            <w:tcW w:w="1620" w:type="dxa"/>
          </w:tcPr>
          <w:p w14:paraId="122DB502" w14:textId="77777777" w:rsidR="00F15207" w:rsidRPr="00F15207" w:rsidRDefault="00F15207" w:rsidP="002B061F">
            <w:pPr>
              <w:pStyle w:val="TableText"/>
            </w:pPr>
            <w:r w:rsidRPr="00F15207">
              <w:t>3,010</w:t>
            </w:r>
          </w:p>
          <w:p w14:paraId="7E85DBA6" w14:textId="77777777" w:rsidR="00F15207" w:rsidRPr="00F15207" w:rsidRDefault="00F15207" w:rsidP="002B061F">
            <w:pPr>
              <w:pStyle w:val="TableText"/>
            </w:pPr>
          </w:p>
        </w:tc>
      </w:tr>
      <w:tr w:rsidR="00F15207" w:rsidRPr="00F15207" w14:paraId="3F2F7EAC" w14:textId="77777777" w:rsidTr="00C95DB3">
        <w:trPr>
          <w:trHeight w:hRule="exact" w:val="475"/>
        </w:trPr>
        <w:tc>
          <w:tcPr>
            <w:tcW w:w="2250" w:type="dxa"/>
          </w:tcPr>
          <w:p w14:paraId="2560A62F" w14:textId="77777777" w:rsidR="00F15207" w:rsidRPr="00F15207" w:rsidRDefault="00F15207" w:rsidP="002B061F">
            <w:pPr>
              <w:pStyle w:val="TableText"/>
            </w:pPr>
            <w:r w:rsidRPr="00F15207">
              <w:lastRenderedPageBreak/>
              <w:t>Fiscal Year 18</w:t>
            </w:r>
          </w:p>
        </w:tc>
        <w:tc>
          <w:tcPr>
            <w:tcW w:w="1710" w:type="dxa"/>
          </w:tcPr>
          <w:p w14:paraId="07D41924" w14:textId="77777777" w:rsidR="00F15207" w:rsidRPr="00F15207" w:rsidRDefault="00F15207" w:rsidP="002B061F">
            <w:pPr>
              <w:pStyle w:val="TableText"/>
            </w:pPr>
            <w:r w:rsidRPr="00F15207">
              <w:t>211</w:t>
            </w:r>
          </w:p>
        </w:tc>
        <w:tc>
          <w:tcPr>
            <w:tcW w:w="1799" w:type="dxa"/>
          </w:tcPr>
          <w:p w14:paraId="6ED5392A" w14:textId="77777777" w:rsidR="00F15207" w:rsidRPr="00F15207" w:rsidRDefault="00F15207" w:rsidP="002B061F">
            <w:pPr>
              <w:pStyle w:val="TableText"/>
            </w:pPr>
            <w:r w:rsidRPr="00F15207">
              <w:t>1,241</w:t>
            </w:r>
          </w:p>
        </w:tc>
        <w:tc>
          <w:tcPr>
            <w:tcW w:w="1891" w:type="dxa"/>
          </w:tcPr>
          <w:p w14:paraId="04FEFE37" w14:textId="77777777" w:rsidR="00F15207" w:rsidRPr="00F15207" w:rsidRDefault="00F15207" w:rsidP="002B061F">
            <w:pPr>
              <w:pStyle w:val="TableText"/>
            </w:pPr>
            <w:r w:rsidRPr="00F15207">
              <w:t>1,485</w:t>
            </w:r>
          </w:p>
        </w:tc>
        <w:tc>
          <w:tcPr>
            <w:tcW w:w="1620" w:type="dxa"/>
          </w:tcPr>
          <w:p w14:paraId="456B447E" w14:textId="77777777" w:rsidR="00F15207" w:rsidRPr="00F15207" w:rsidRDefault="00F15207" w:rsidP="002B061F">
            <w:pPr>
              <w:pStyle w:val="TableText"/>
            </w:pPr>
            <w:r w:rsidRPr="00F15207">
              <w:t>2,726</w:t>
            </w:r>
          </w:p>
        </w:tc>
      </w:tr>
      <w:tr w:rsidR="005C36AC" w:rsidRPr="00F15207" w14:paraId="516451FA" w14:textId="77777777" w:rsidTr="00C95DB3">
        <w:trPr>
          <w:trHeight w:hRule="exact" w:val="475"/>
        </w:trPr>
        <w:tc>
          <w:tcPr>
            <w:tcW w:w="2250" w:type="dxa"/>
          </w:tcPr>
          <w:p w14:paraId="60ABDAA2" w14:textId="355995D6" w:rsidR="005C36AC" w:rsidRPr="00F15207" w:rsidRDefault="005C36AC" w:rsidP="002B061F">
            <w:pPr>
              <w:pStyle w:val="TableText"/>
            </w:pPr>
            <w:r>
              <w:t>Fiscal Year 19</w:t>
            </w:r>
          </w:p>
        </w:tc>
        <w:tc>
          <w:tcPr>
            <w:tcW w:w="1710" w:type="dxa"/>
          </w:tcPr>
          <w:p w14:paraId="3BEF5ED4" w14:textId="2245C879" w:rsidR="005C36AC" w:rsidRPr="00F15207" w:rsidRDefault="005C36AC" w:rsidP="002B061F">
            <w:pPr>
              <w:pStyle w:val="TableText"/>
            </w:pPr>
            <w:r>
              <w:t>207</w:t>
            </w:r>
          </w:p>
        </w:tc>
        <w:tc>
          <w:tcPr>
            <w:tcW w:w="1799" w:type="dxa"/>
          </w:tcPr>
          <w:p w14:paraId="6915CD05" w14:textId="5BDBE62A" w:rsidR="005C36AC" w:rsidRPr="00F15207" w:rsidRDefault="005C36AC" w:rsidP="002B061F">
            <w:pPr>
              <w:pStyle w:val="TableText"/>
            </w:pPr>
            <w:r>
              <w:t>1,189</w:t>
            </w:r>
          </w:p>
        </w:tc>
        <w:tc>
          <w:tcPr>
            <w:tcW w:w="1891" w:type="dxa"/>
          </w:tcPr>
          <w:p w14:paraId="04672923" w14:textId="213BD728" w:rsidR="005C36AC" w:rsidRPr="00F15207" w:rsidRDefault="005C36AC" w:rsidP="002B061F">
            <w:pPr>
              <w:pStyle w:val="TableText"/>
            </w:pPr>
            <w:r>
              <w:t>1,409</w:t>
            </w:r>
          </w:p>
        </w:tc>
        <w:tc>
          <w:tcPr>
            <w:tcW w:w="1620" w:type="dxa"/>
          </w:tcPr>
          <w:p w14:paraId="04A1E1E9" w14:textId="0FA3B112" w:rsidR="005C36AC" w:rsidRPr="00F15207" w:rsidRDefault="005C36AC" w:rsidP="002B061F">
            <w:pPr>
              <w:pStyle w:val="TableText"/>
            </w:pPr>
            <w:r>
              <w:t>2,598</w:t>
            </w:r>
          </w:p>
        </w:tc>
      </w:tr>
      <w:tr w:rsidR="00A34A8D" w:rsidRPr="00F15207" w14:paraId="2B248C6E" w14:textId="77777777" w:rsidTr="00C95DB3">
        <w:trPr>
          <w:trHeight w:hRule="exact" w:val="475"/>
        </w:trPr>
        <w:tc>
          <w:tcPr>
            <w:tcW w:w="2250" w:type="dxa"/>
          </w:tcPr>
          <w:p w14:paraId="1F844A19" w14:textId="3CDA85BA" w:rsidR="00A34A8D" w:rsidRDefault="00A34A8D" w:rsidP="002B061F">
            <w:pPr>
              <w:pStyle w:val="TableText"/>
            </w:pPr>
            <w:r>
              <w:t>Fiscal Year 20</w:t>
            </w:r>
          </w:p>
        </w:tc>
        <w:tc>
          <w:tcPr>
            <w:tcW w:w="1710" w:type="dxa"/>
          </w:tcPr>
          <w:p w14:paraId="311B6DBC" w14:textId="728FF2C1" w:rsidR="00A34A8D" w:rsidRDefault="00A34A8D" w:rsidP="002B061F">
            <w:pPr>
              <w:pStyle w:val="TableText"/>
            </w:pPr>
            <w:r>
              <w:t>209</w:t>
            </w:r>
          </w:p>
        </w:tc>
        <w:tc>
          <w:tcPr>
            <w:tcW w:w="1799" w:type="dxa"/>
          </w:tcPr>
          <w:p w14:paraId="044D982C" w14:textId="34A6F872" w:rsidR="00A34A8D" w:rsidRDefault="00A34A8D" w:rsidP="002B061F">
            <w:pPr>
              <w:pStyle w:val="TableText"/>
            </w:pPr>
            <w:r>
              <w:t>1,119</w:t>
            </w:r>
          </w:p>
        </w:tc>
        <w:tc>
          <w:tcPr>
            <w:tcW w:w="1891" w:type="dxa"/>
          </w:tcPr>
          <w:p w14:paraId="2FD37F6A" w14:textId="7EAE03CB" w:rsidR="00A34A8D" w:rsidRDefault="00A34A8D" w:rsidP="002B061F">
            <w:pPr>
              <w:pStyle w:val="TableText"/>
            </w:pPr>
            <w:r>
              <w:t>1,340</w:t>
            </w:r>
          </w:p>
        </w:tc>
        <w:tc>
          <w:tcPr>
            <w:tcW w:w="1620" w:type="dxa"/>
          </w:tcPr>
          <w:p w14:paraId="5FCBDE85" w14:textId="7BCF3312" w:rsidR="00A34A8D" w:rsidRDefault="00A34A8D" w:rsidP="002B061F">
            <w:pPr>
              <w:pStyle w:val="TableText"/>
            </w:pPr>
            <w:r>
              <w:t>2,459</w:t>
            </w:r>
          </w:p>
        </w:tc>
      </w:tr>
      <w:tr w:rsidR="002B061F" w:rsidRPr="00F15207" w14:paraId="09CECBD2" w14:textId="77777777" w:rsidTr="00C95DB3">
        <w:trPr>
          <w:trHeight w:hRule="exact" w:val="475"/>
        </w:trPr>
        <w:tc>
          <w:tcPr>
            <w:tcW w:w="2250" w:type="dxa"/>
          </w:tcPr>
          <w:p w14:paraId="355DD3F2" w14:textId="6F70DA24" w:rsidR="002B061F" w:rsidRDefault="002B061F" w:rsidP="002B061F">
            <w:pPr>
              <w:pStyle w:val="TableText"/>
            </w:pPr>
            <w:r>
              <w:t>Fiscal Year 21</w:t>
            </w:r>
          </w:p>
        </w:tc>
        <w:tc>
          <w:tcPr>
            <w:tcW w:w="1710" w:type="dxa"/>
          </w:tcPr>
          <w:p w14:paraId="6B98BAEF" w14:textId="576D9661" w:rsidR="002B061F" w:rsidRPr="005A6BD1" w:rsidRDefault="002B061F" w:rsidP="002B061F">
            <w:pPr>
              <w:pStyle w:val="TableText"/>
            </w:pPr>
            <w:r w:rsidRPr="005A6BD1">
              <w:t>206</w:t>
            </w:r>
          </w:p>
        </w:tc>
        <w:tc>
          <w:tcPr>
            <w:tcW w:w="1799" w:type="dxa"/>
          </w:tcPr>
          <w:p w14:paraId="5D4862BA" w14:textId="222EF875" w:rsidR="002B061F" w:rsidRPr="005A6BD1" w:rsidRDefault="002B061F" w:rsidP="002B061F">
            <w:pPr>
              <w:pStyle w:val="TableText"/>
            </w:pPr>
            <w:r w:rsidRPr="005A6BD1">
              <w:t>955</w:t>
            </w:r>
          </w:p>
        </w:tc>
        <w:tc>
          <w:tcPr>
            <w:tcW w:w="1891" w:type="dxa"/>
          </w:tcPr>
          <w:p w14:paraId="3D0055CF" w14:textId="7EFE6596" w:rsidR="002B061F" w:rsidRPr="005A6BD1" w:rsidRDefault="002B061F" w:rsidP="002B061F">
            <w:pPr>
              <w:pStyle w:val="TableText"/>
            </w:pPr>
            <w:r w:rsidRPr="005A6BD1">
              <w:t>1,083</w:t>
            </w:r>
          </w:p>
        </w:tc>
        <w:tc>
          <w:tcPr>
            <w:tcW w:w="1620" w:type="dxa"/>
          </w:tcPr>
          <w:p w14:paraId="50E8B0AD" w14:textId="008C1778" w:rsidR="002B061F" w:rsidRPr="005A6BD1" w:rsidRDefault="002B061F" w:rsidP="002B061F">
            <w:pPr>
              <w:pStyle w:val="TableText"/>
            </w:pPr>
            <w:r w:rsidRPr="005A6BD1">
              <w:t>2,038</w:t>
            </w:r>
          </w:p>
        </w:tc>
      </w:tr>
    </w:tbl>
    <w:p w14:paraId="63E63C2A" w14:textId="77777777" w:rsidR="00F15207" w:rsidRPr="00F15207" w:rsidRDefault="00F15207" w:rsidP="002B061F">
      <w:pPr>
        <w:pStyle w:val="Heading1"/>
      </w:pPr>
      <w:r w:rsidRPr="00F15207">
        <w:t>Dry Cleaning Registration Initiative</w:t>
      </w:r>
    </w:p>
    <w:p w14:paraId="64D95A1E" w14:textId="69C15C44" w:rsidR="00EA1E37" w:rsidRPr="00625FA2" w:rsidRDefault="00EA1E37" w:rsidP="002B061F">
      <w:pPr>
        <w:pStyle w:val="BodyText"/>
      </w:pPr>
      <w:r w:rsidRPr="00625FA2">
        <w:t xml:space="preserve">The </w:t>
      </w:r>
      <w:r w:rsidR="002B061F">
        <w:t xml:space="preserve">Occupational Licensing and Registration </w:t>
      </w:r>
      <w:r w:rsidRPr="00625FA2">
        <w:t>Division’s Dry Cleaner Registration Initiative was developed in 2012 to address unregistered dry cleaners evading fees owed to the TCEQ.  In FY 2019 an enforcement component was added to the initiative</w:t>
      </w:r>
      <w:r w:rsidR="002B061F">
        <w:t xml:space="preserve"> and Dry Cleaner Registration staff assisted in that project during that fiscal year</w:t>
      </w:r>
      <w:r w:rsidRPr="00625FA2">
        <w:t>.</w:t>
      </w:r>
      <w:r w:rsidR="003E75BB">
        <w:t xml:space="preserve"> </w:t>
      </w:r>
    </w:p>
    <w:p w14:paraId="32628CF4" w14:textId="77777777" w:rsidR="003E75BB" w:rsidRDefault="00EA1E37" w:rsidP="002B061F">
      <w:pPr>
        <w:pStyle w:val="BodyText"/>
      </w:pPr>
      <w:r w:rsidRPr="00625FA2">
        <w:t xml:space="preserve">The Dry Cleaner Registration Team conducted outreach reminding owners/operators of the registration renewal requirements via letters and emails.  Once outreach efforts were completed, entities that failed to renew their registration were sent a notification of pending enforcement and provided 30 days to respond.  Entities that failed to respond were sent a Notice of Violation (NOV) and given 30 days to resolve their violation or be referred </w:t>
      </w:r>
      <w:r w:rsidR="005D0103">
        <w:t xml:space="preserve">to </w:t>
      </w:r>
      <w:r w:rsidRPr="00625FA2">
        <w:t xml:space="preserve">TCEQ’s Office of Compliance and Enforcement for further enforcement. </w:t>
      </w:r>
    </w:p>
    <w:p w14:paraId="01632BB6" w14:textId="5227A52F" w:rsidR="00EA1E37" w:rsidRPr="00625FA2" w:rsidRDefault="003E75BB" w:rsidP="002B061F">
      <w:pPr>
        <w:pStyle w:val="BodyText"/>
      </w:pPr>
      <w:r>
        <w:t xml:space="preserve">However, because this initiative was </w:t>
      </w:r>
      <w:r w:rsidR="00D5503B">
        <w:t>temporarily</w:t>
      </w:r>
      <w:r>
        <w:t xml:space="preserve"> put on hold at the onset of the pandemic, no dry cleaner initiat</w:t>
      </w:r>
      <w:r w:rsidR="00DE24EC">
        <w:t>ive</w:t>
      </w:r>
      <w:r>
        <w:t xml:space="preserve"> results have been reported.</w:t>
      </w:r>
    </w:p>
    <w:p w14:paraId="02C685CA" w14:textId="0926A8F5" w:rsidR="00687369" w:rsidRDefault="00687369" w:rsidP="002B061F">
      <w:pPr>
        <w:pStyle w:val="BodyText"/>
      </w:pPr>
      <w:r w:rsidRPr="00945E7C">
        <w:t xml:space="preserve">During the time period between </w:t>
      </w:r>
      <w:r w:rsidR="00F17BB1">
        <w:t>Sept</w:t>
      </w:r>
      <w:r w:rsidRPr="00945E7C">
        <w:t xml:space="preserve"> 2020 through Aug 202</w:t>
      </w:r>
      <w:r w:rsidR="00F17BB1">
        <w:t>1</w:t>
      </w:r>
      <w:r w:rsidRPr="00945E7C">
        <w:t xml:space="preserve"> there were additional </w:t>
      </w:r>
      <w:r w:rsidR="003E75BB">
        <w:t xml:space="preserve">facility </w:t>
      </w:r>
      <w:r w:rsidR="00E40C56">
        <w:t xml:space="preserve">and drop station </w:t>
      </w:r>
      <w:r w:rsidRPr="00945E7C">
        <w:t xml:space="preserve">closures. It is likely these sites closed as a result of the COVID-19 pandemic. The industry saw a significant impact to their business with some dry cleaners reporting decreases in monthly </w:t>
      </w:r>
      <w:r w:rsidR="003E75BB" w:rsidRPr="00945E7C">
        <w:t>revenue.</w:t>
      </w:r>
      <w:r w:rsidR="008544BE">
        <w:t xml:space="preserve"> </w:t>
      </w:r>
      <w:r w:rsidRPr="00945E7C">
        <w:t xml:space="preserve">During this time, </w:t>
      </w:r>
      <w:r w:rsidR="002E4294">
        <w:t xml:space="preserve">23 </w:t>
      </w:r>
      <w:r w:rsidRPr="00945E7C">
        <w:t xml:space="preserve">facilities and </w:t>
      </w:r>
      <w:r w:rsidR="007C4A3B">
        <w:t>81</w:t>
      </w:r>
      <w:r w:rsidR="007C4A3B" w:rsidRPr="00945E7C">
        <w:t xml:space="preserve"> </w:t>
      </w:r>
      <w:r w:rsidRPr="00945E7C">
        <w:t>drop stations closed.</w:t>
      </w:r>
    </w:p>
    <w:p w14:paraId="2F87637B" w14:textId="184C9C5D" w:rsidR="008B414C" w:rsidRPr="00ED586D" w:rsidRDefault="008B414C" w:rsidP="002B061F">
      <w:pPr>
        <w:pStyle w:val="Heading1"/>
      </w:pPr>
      <w:r w:rsidRPr="00ED586D">
        <w:t>Dry Cleaning Facility Release Fund (Fund 5093)</w:t>
      </w:r>
    </w:p>
    <w:p w14:paraId="78003AB9" w14:textId="77777777" w:rsidR="00E97654" w:rsidRDefault="008B414C" w:rsidP="002B061F">
      <w:pPr>
        <w:pStyle w:val="BodyText"/>
      </w:pPr>
      <w:r w:rsidRPr="00ED586D">
        <w:t>The Dry Cleaning Facility Release Fund (Fund) includes revenues from registration fees, solvent fees, deduct</w:t>
      </w:r>
      <w:r w:rsidR="00AA427F">
        <w:t>ibles, penalties, and interest.</w:t>
      </w:r>
    </w:p>
    <w:p w14:paraId="3BD9D1A1" w14:textId="168EB073" w:rsidR="008B414C" w:rsidRPr="00ED586D" w:rsidRDefault="00AA427F" w:rsidP="002B061F">
      <w:pPr>
        <w:pStyle w:val="Caption"/>
      </w:pPr>
      <w:r>
        <w:t xml:space="preserve">Table 5. </w:t>
      </w:r>
      <w:r w:rsidR="008B414C" w:rsidRPr="00ED586D">
        <w:t xml:space="preserve">FY </w:t>
      </w:r>
      <w:r w:rsidR="0066490D" w:rsidRPr="00ED586D">
        <w:t>20</w:t>
      </w:r>
      <w:r w:rsidR="0066490D">
        <w:t>21</w:t>
      </w:r>
      <w:r w:rsidR="0066490D" w:rsidRPr="00ED586D">
        <w:t xml:space="preserve"> </w:t>
      </w:r>
      <w:r>
        <w:t>Fee Collection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5. FY 2018 Fee Collection Report"/>
        <w:tblDescription w:val="This table shows the FY 2016 fee collection amounts based on revenue type."/>
      </w:tblPr>
      <w:tblGrid>
        <w:gridCol w:w="4752"/>
        <w:gridCol w:w="4752"/>
      </w:tblGrid>
      <w:tr w:rsidR="008B414C" w:rsidRPr="00AA427F" w14:paraId="2A2E1143" w14:textId="77777777" w:rsidTr="00306576">
        <w:trPr>
          <w:cantSplit/>
          <w:trHeight w:hRule="exact" w:val="432"/>
          <w:tblHeader/>
        </w:trPr>
        <w:tc>
          <w:tcPr>
            <w:tcW w:w="4752" w:type="dxa"/>
            <w:shd w:val="clear" w:color="auto" w:fill="F2F2F2" w:themeFill="background1" w:themeFillShade="F2"/>
            <w:vAlign w:val="center"/>
          </w:tcPr>
          <w:p w14:paraId="2E4BE23C" w14:textId="77777777" w:rsidR="008B414C" w:rsidRPr="00E97654" w:rsidRDefault="00AA427F" w:rsidP="002B061F">
            <w:pPr>
              <w:pStyle w:val="TableText"/>
              <w:rPr>
                <w:rStyle w:val="Strong"/>
              </w:rPr>
            </w:pPr>
            <w:bookmarkStart w:id="3" w:name="Table_Fee_Collection_Report"/>
            <w:bookmarkEnd w:id="3"/>
            <w:r w:rsidRPr="00E97654">
              <w:rPr>
                <w:rStyle w:val="Strong"/>
              </w:rPr>
              <w:t>Revenue Type</w:t>
            </w:r>
          </w:p>
        </w:tc>
        <w:tc>
          <w:tcPr>
            <w:tcW w:w="4752" w:type="dxa"/>
            <w:shd w:val="clear" w:color="auto" w:fill="F2F2F2" w:themeFill="background1" w:themeFillShade="F2"/>
            <w:vAlign w:val="center"/>
          </w:tcPr>
          <w:p w14:paraId="3032DBFC" w14:textId="77777777" w:rsidR="008B414C" w:rsidRPr="00E97654" w:rsidRDefault="00AA427F" w:rsidP="002B061F">
            <w:pPr>
              <w:pStyle w:val="TableText"/>
              <w:rPr>
                <w:rStyle w:val="Strong"/>
              </w:rPr>
            </w:pPr>
            <w:r w:rsidRPr="00E97654">
              <w:rPr>
                <w:rStyle w:val="Strong"/>
              </w:rPr>
              <w:t>Amount</w:t>
            </w:r>
          </w:p>
        </w:tc>
      </w:tr>
      <w:tr w:rsidR="008B414C" w:rsidRPr="00AA427F" w14:paraId="4B710822" w14:textId="77777777" w:rsidTr="00306576">
        <w:trPr>
          <w:cantSplit/>
          <w:trHeight w:hRule="exact" w:val="432"/>
          <w:tblHeader/>
        </w:trPr>
        <w:tc>
          <w:tcPr>
            <w:tcW w:w="4752" w:type="dxa"/>
            <w:vAlign w:val="center"/>
          </w:tcPr>
          <w:p w14:paraId="44591274" w14:textId="77777777" w:rsidR="008B414C" w:rsidRPr="00AA427F" w:rsidRDefault="008B414C" w:rsidP="002B061F">
            <w:pPr>
              <w:pStyle w:val="TableText"/>
            </w:pPr>
            <w:r w:rsidRPr="00AA427F">
              <w:t>Registration Fees</w:t>
            </w:r>
          </w:p>
        </w:tc>
        <w:tc>
          <w:tcPr>
            <w:tcW w:w="4752" w:type="dxa"/>
            <w:vAlign w:val="center"/>
          </w:tcPr>
          <w:p w14:paraId="2825C130" w14:textId="7B13DD27" w:rsidR="008B414C" w:rsidRPr="0066490D" w:rsidRDefault="00AA427F" w:rsidP="002B061F">
            <w:pPr>
              <w:pStyle w:val="TableText"/>
            </w:pPr>
            <w:r w:rsidRPr="0066490D">
              <w:t>$</w:t>
            </w:r>
            <w:r w:rsidR="00DE507A">
              <w:t>2,</w:t>
            </w:r>
            <w:r w:rsidR="00E7678D">
              <w:t>370,203</w:t>
            </w:r>
          </w:p>
        </w:tc>
      </w:tr>
      <w:tr w:rsidR="008B414C" w:rsidRPr="00AA427F" w14:paraId="367D1600" w14:textId="77777777" w:rsidTr="00306576">
        <w:trPr>
          <w:cantSplit/>
          <w:trHeight w:hRule="exact" w:val="432"/>
          <w:tblHeader/>
        </w:trPr>
        <w:tc>
          <w:tcPr>
            <w:tcW w:w="4752" w:type="dxa"/>
            <w:vAlign w:val="center"/>
          </w:tcPr>
          <w:p w14:paraId="4A51D4F2" w14:textId="77777777" w:rsidR="008B414C" w:rsidRPr="00AA427F" w:rsidRDefault="008B414C" w:rsidP="002B061F">
            <w:pPr>
              <w:pStyle w:val="TableText"/>
            </w:pPr>
            <w:r w:rsidRPr="00AA427F">
              <w:t>Solvent Fees</w:t>
            </w:r>
          </w:p>
        </w:tc>
        <w:tc>
          <w:tcPr>
            <w:tcW w:w="4752" w:type="dxa"/>
            <w:vAlign w:val="center"/>
          </w:tcPr>
          <w:p w14:paraId="40632487" w14:textId="441815E8" w:rsidR="008B414C" w:rsidRPr="0066490D" w:rsidRDefault="00AA427F" w:rsidP="002B061F">
            <w:pPr>
              <w:pStyle w:val="TableText"/>
            </w:pPr>
            <w:r w:rsidRPr="0066490D">
              <w:t>$</w:t>
            </w:r>
            <w:r w:rsidR="00E7678D">
              <w:t>339,548</w:t>
            </w:r>
          </w:p>
        </w:tc>
      </w:tr>
      <w:tr w:rsidR="008B414C" w:rsidRPr="00AA427F" w14:paraId="39B6A4FE" w14:textId="77777777" w:rsidTr="00306576">
        <w:trPr>
          <w:cantSplit/>
          <w:trHeight w:hRule="exact" w:val="432"/>
          <w:tblHeader/>
        </w:trPr>
        <w:tc>
          <w:tcPr>
            <w:tcW w:w="4752" w:type="dxa"/>
            <w:vAlign w:val="center"/>
          </w:tcPr>
          <w:p w14:paraId="77C1D85C" w14:textId="77777777" w:rsidR="008B414C" w:rsidRPr="00AA427F" w:rsidRDefault="008B414C" w:rsidP="002B061F">
            <w:pPr>
              <w:pStyle w:val="TableText"/>
            </w:pPr>
            <w:r w:rsidRPr="00AA427F">
              <w:t>Deduc</w:t>
            </w:r>
            <w:r w:rsidR="00AA427F" w:rsidRPr="00AA427F">
              <w:t>tibles, Penalties, and Interest</w:t>
            </w:r>
          </w:p>
        </w:tc>
        <w:tc>
          <w:tcPr>
            <w:tcW w:w="4752" w:type="dxa"/>
            <w:vAlign w:val="center"/>
          </w:tcPr>
          <w:p w14:paraId="629643DF" w14:textId="6B0D3F1E" w:rsidR="008B414C" w:rsidRPr="0066490D" w:rsidRDefault="00AA427F" w:rsidP="002B061F">
            <w:pPr>
              <w:pStyle w:val="TableText"/>
            </w:pPr>
            <w:r w:rsidRPr="0066490D">
              <w:t>$</w:t>
            </w:r>
            <w:r w:rsidR="00CB3422">
              <w:t>4,152</w:t>
            </w:r>
          </w:p>
        </w:tc>
      </w:tr>
      <w:tr w:rsidR="008B414C" w:rsidRPr="00AA427F" w14:paraId="5F8CCF98" w14:textId="77777777" w:rsidTr="00306576">
        <w:trPr>
          <w:cantSplit/>
          <w:trHeight w:hRule="exact" w:val="432"/>
          <w:tblHeader/>
        </w:trPr>
        <w:tc>
          <w:tcPr>
            <w:tcW w:w="4752" w:type="dxa"/>
            <w:vAlign w:val="center"/>
          </w:tcPr>
          <w:p w14:paraId="2EE47C17" w14:textId="77777777" w:rsidR="008B414C" w:rsidRPr="00E97654" w:rsidRDefault="008B414C" w:rsidP="002B061F">
            <w:pPr>
              <w:pStyle w:val="TableText"/>
              <w:rPr>
                <w:rStyle w:val="Strong"/>
              </w:rPr>
            </w:pPr>
            <w:r w:rsidRPr="00E97654">
              <w:rPr>
                <w:rStyle w:val="Strong"/>
              </w:rPr>
              <w:t>TOTAL COLLECTIONS</w:t>
            </w:r>
          </w:p>
        </w:tc>
        <w:tc>
          <w:tcPr>
            <w:tcW w:w="4752" w:type="dxa"/>
            <w:vAlign w:val="center"/>
          </w:tcPr>
          <w:p w14:paraId="0E7953B4" w14:textId="5DF5FF5D" w:rsidR="008B414C" w:rsidRPr="0066490D" w:rsidRDefault="00AA427F" w:rsidP="002B061F">
            <w:pPr>
              <w:pStyle w:val="TableText"/>
              <w:rPr>
                <w:rStyle w:val="Strong"/>
              </w:rPr>
            </w:pPr>
            <w:r w:rsidRPr="0066490D">
              <w:rPr>
                <w:rStyle w:val="Strong"/>
              </w:rPr>
              <w:t>$</w:t>
            </w:r>
            <w:r w:rsidR="00E7678D">
              <w:rPr>
                <w:rStyle w:val="Strong"/>
              </w:rPr>
              <w:t>2,713,903</w:t>
            </w:r>
          </w:p>
        </w:tc>
      </w:tr>
    </w:tbl>
    <w:p w14:paraId="2EC63869" w14:textId="6DEB32FF" w:rsidR="00AF70D2" w:rsidRPr="00987716" w:rsidRDefault="005F46D9" w:rsidP="002B061F">
      <w:pPr>
        <w:pStyle w:val="BodyText"/>
      </w:pPr>
      <w:r w:rsidRPr="00987716">
        <w:lastRenderedPageBreak/>
        <w:t>I</w:t>
      </w:r>
      <w:r w:rsidR="005769FB" w:rsidRPr="00987716">
        <w:t xml:space="preserve">n accordance with Texas Health and Safety Code, Section 374.055, money in the Fund </w:t>
      </w:r>
      <w:r w:rsidR="005769FB" w:rsidRPr="00DE507A">
        <w:t>must be used to address contamination resulting from releases from dry cleaning</w:t>
      </w:r>
      <w:r w:rsidR="005769FB" w:rsidRPr="00987716">
        <w:t xml:space="preserve"> facilities. The amount expended in a fiscal year is dependent upon the amount appropriated by the Texas Legislature. </w:t>
      </w:r>
      <w:r w:rsidR="005769FB" w:rsidRPr="00945E7C">
        <w:t xml:space="preserve">In FY </w:t>
      </w:r>
      <w:r w:rsidR="0049473D" w:rsidRPr="00945E7C">
        <w:t>202</w:t>
      </w:r>
      <w:r w:rsidR="0049473D">
        <w:t>1</w:t>
      </w:r>
      <w:r w:rsidR="005769FB" w:rsidRPr="00945E7C">
        <w:t xml:space="preserve">, the TCEQ DCRP budget was </w:t>
      </w:r>
      <w:r w:rsidR="005769FB" w:rsidRPr="00DE507A">
        <w:t>$3,</w:t>
      </w:r>
      <w:r w:rsidR="00DE507A">
        <w:t>725,201</w:t>
      </w:r>
      <w:r w:rsidR="002C5DDB">
        <w:t xml:space="preserve"> </w:t>
      </w:r>
      <w:r w:rsidR="005769FB" w:rsidRPr="00987716">
        <w:t>to address contaminated dry clean</w:t>
      </w:r>
      <w:r w:rsidR="00353754">
        <w:t>ing f</w:t>
      </w:r>
      <w:r w:rsidR="005769FB" w:rsidRPr="00987716">
        <w:t>acilities.</w:t>
      </w:r>
    </w:p>
    <w:p w14:paraId="056EF362" w14:textId="3E74F108" w:rsidR="005769FB" w:rsidRPr="00987716" w:rsidRDefault="005769FB" w:rsidP="002B061F">
      <w:pPr>
        <w:pStyle w:val="BodyText"/>
      </w:pPr>
      <w:r w:rsidRPr="00987716">
        <w:t xml:space="preserve">The TCEQ may spend money from the </w:t>
      </w:r>
      <w:r w:rsidR="00B96F41" w:rsidRPr="00987716">
        <w:t>F</w:t>
      </w:r>
      <w:r w:rsidRPr="00987716">
        <w:t>und on administrative expenses not to exceed 15</w:t>
      </w:r>
      <w:r w:rsidR="00910B33" w:rsidRPr="00987716">
        <w:t xml:space="preserve">% </w:t>
      </w:r>
      <w:r w:rsidRPr="00987716">
        <w:t xml:space="preserve">of the amount of money credited to the Fund in the same fiscal year as the expenditures. The total collections in the Fund in FY </w:t>
      </w:r>
      <w:r w:rsidR="0049473D" w:rsidRPr="00987716">
        <w:t>20</w:t>
      </w:r>
      <w:r w:rsidR="0049473D">
        <w:t>21</w:t>
      </w:r>
      <w:r w:rsidR="0049473D" w:rsidRPr="00987716">
        <w:t xml:space="preserve"> </w:t>
      </w:r>
      <w:r w:rsidR="00C124E6" w:rsidRPr="00987716">
        <w:t xml:space="preserve">were </w:t>
      </w:r>
      <w:r w:rsidRPr="00987716">
        <w:t>$</w:t>
      </w:r>
      <w:r w:rsidR="00E7678D">
        <w:t>2,713,903</w:t>
      </w:r>
      <w:r w:rsidR="00A164AB">
        <w:t>.</w:t>
      </w:r>
      <w:r w:rsidRPr="00987716">
        <w:t xml:space="preserve"> In FY </w:t>
      </w:r>
      <w:r w:rsidR="0049473D" w:rsidRPr="00987716">
        <w:t>20</w:t>
      </w:r>
      <w:r w:rsidR="0049473D">
        <w:t>21</w:t>
      </w:r>
      <w:r w:rsidRPr="00987716">
        <w:t>, the DCRP expended</w:t>
      </w:r>
      <w:r w:rsidR="00F13A49" w:rsidRPr="00987716">
        <w:t xml:space="preserve"> less than the </w:t>
      </w:r>
      <w:r w:rsidRPr="00987716">
        <w:t>allowable 15</w:t>
      </w:r>
      <w:r w:rsidR="00910B33" w:rsidRPr="00987716">
        <w:t>%</w:t>
      </w:r>
      <w:r w:rsidR="00F13A49" w:rsidRPr="00987716">
        <w:t xml:space="preserve"> to administer the program</w:t>
      </w:r>
      <w:r w:rsidR="00F13A49" w:rsidRPr="00945E7C">
        <w:t>.</w:t>
      </w:r>
    </w:p>
    <w:p w14:paraId="65D3C574" w14:textId="222586F8" w:rsidR="002B5150" w:rsidRPr="002B5150" w:rsidRDefault="00C86547" w:rsidP="002B5150">
      <w:pPr>
        <w:autoSpaceDE/>
        <w:autoSpaceDN/>
        <w:adjustRightInd/>
        <w:rPr>
          <w:rFonts w:ascii="Times New Roman" w:hAnsi="Times New Roman"/>
          <w:sz w:val="24"/>
          <w:lang w:eastAsia="zh-CN"/>
        </w:rPr>
      </w:pPr>
      <w:r w:rsidRPr="00945E7C">
        <w:t xml:space="preserve">The Fund balance as of August 31, </w:t>
      </w:r>
      <w:r w:rsidR="0049473D" w:rsidRPr="00945E7C">
        <w:t>202</w:t>
      </w:r>
      <w:r w:rsidR="0049473D">
        <w:t>1</w:t>
      </w:r>
      <w:r w:rsidR="0049473D" w:rsidRPr="00945E7C">
        <w:t xml:space="preserve"> </w:t>
      </w:r>
      <w:r w:rsidRPr="00945E7C">
        <w:t xml:space="preserve">was </w:t>
      </w:r>
      <w:r w:rsidRPr="002B5150">
        <w:t xml:space="preserve">approximately </w:t>
      </w:r>
      <w:r w:rsidR="002B5150" w:rsidRPr="002B5150">
        <w:rPr>
          <w:rFonts w:cs="Calibri"/>
          <w:color w:val="000000"/>
          <w:szCs w:val="22"/>
          <w:lang w:eastAsia="zh-CN"/>
        </w:rPr>
        <w:t>$</w:t>
      </w:r>
      <w:r w:rsidR="00CB3422">
        <w:rPr>
          <w:rFonts w:cs="Calibri"/>
          <w:color w:val="000000"/>
          <w:szCs w:val="22"/>
          <w:lang w:eastAsia="zh-CN"/>
        </w:rPr>
        <w:t>19,629,328</w:t>
      </w:r>
      <w:r w:rsidR="002B5150">
        <w:rPr>
          <w:rFonts w:cs="Calibri"/>
          <w:color w:val="000000"/>
          <w:szCs w:val="22"/>
          <w:lang w:eastAsia="zh-CN"/>
        </w:rPr>
        <w:t>.</w:t>
      </w:r>
    </w:p>
    <w:p w14:paraId="0C7BA4E9" w14:textId="073F7635" w:rsidR="0047743D" w:rsidRDefault="008B414C" w:rsidP="002B061F">
      <w:pPr>
        <w:pStyle w:val="BodyText"/>
      </w:pPr>
      <w:r w:rsidRPr="00987716">
        <w:t xml:space="preserve">As of August 31, </w:t>
      </w:r>
      <w:r w:rsidR="0049473D" w:rsidRPr="00987716">
        <w:t>20</w:t>
      </w:r>
      <w:r w:rsidR="0049473D">
        <w:t>21</w:t>
      </w:r>
      <w:r w:rsidRPr="00987716">
        <w:t xml:space="preserve">, the total </w:t>
      </w:r>
      <w:r w:rsidR="00470FD2" w:rsidRPr="00987716">
        <w:t xml:space="preserve">revenue </w:t>
      </w:r>
      <w:r w:rsidR="007F66C9" w:rsidRPr="00987716">
        <w:t xml:space="preserve">collected </w:t>
      </w:r>
      <w:r w:rsidR="00C86547" w:rsidRPr="00987716">
        <w:t xml:space="preserve">was </w:t>
      </w:r>
      <w:r w:rsidR="00647333" w:rsidRPr="00987716">
        <w:t>approximately</w:t>
      </w:r>
      <w:r w:rsidRPr="00987716">
        <w:t xml:space="preserve"> $</w:t>
      </w:r>
      <w:r w:rsidR="0099700B">
        <w:t>87,968,203</w:t>
      </w:r>
      <w:r w:rsidR="007A6BFC">
        <w:t>.</w:t>
      </w:r>
    </w:p>
    <w:p w14:paraId="7E723BDC" w14:textId="77777777" w:rsidR="00622156" w:rsidRPr="00ED586D" w:rsidRDefault="00622156" w:rsidP="002B061F">
      <w:pPr>
        <w:pStyle w:val="Heading1"/>
      </w:pPr>
      <w:bookmarkStart w:id="4" w:name="_Hlk526839212"/>
      <w:r w:rsidRPr="00ED586D">
        <w:t>Compliance and Enforcement Actions</w:t>
      </w:r>
    </w:p>
    <w:p w14:paraId="7F6F501E" w14:textId="606E2B74" w:rsidR="00D03039" w:rsidRPr="00CF425B" w:rsidRDefault="00D03039" w:rsidP="00D03039">
      <w:pPr>
        <w:rPr>
          <w:szCs w:val="22"/>
        </w:rPr>
      </w:pPr>
      <w:r w:rsidRPr="00CF425B">
        <w:rPr>
          <w:szCs w:val="22"/>
        </w:rPr>
        <w:t xml:space="preserve">The TCEQ conducted </w:t>
      </w:r>
      <w:r w:rsidR="00D943EA">
        <w:rPr>
          <w:szCs w:val="22"/>
        </w:rPr>
        <w:t>14</w:t>
      </w:r>
      <w:r w:rsidR="00D943EA" w:rsidRPr="00CF425B">
        <w:rPr>
          <w:szCs w:val="22"/>
        </w:rPr>
        <w:t xml:space="preserve"> </w:t>
      </w:r>
      <w:r w:rsidRPr="00CF425B">
        <w:rPr>
          <w:szCs w:val="22"/>
        </w:rPr>
        <w:t xml:space="preserve">on-site investigations for dry cleaning facilities in FY </w:t>
      </w:r>
      <w:r w:rsidR="00D943EA" w:rsidRPr="00CF425B">
        <w:rPr>
          <w:szCs w:val="22"/>
        </w:rPr>
        <w:t>20</w:t>
      </w:r>
      <w:r w:rsidR="00D943EA" w:rsidRPr="00945E7C">
        <w:rPr>
          <w:szCs w:val="22"/>
        </w:rPr>
        <w:t>2</w:t>
      </w:r>
      <w:r w:rsidR="00D943EA">
        <w:rPr>
          <w:szCs w:val="22"/>
        </w:rPr>
        <w:t>1</w:t>
      </w:r>
      <w:r w:rsidRPr="00CF425B">
        <w:rPr>
          <w:szCs w:val="22"/>
        </w:rPr>
        <w:t xml:space="preserve">.  </w:t>
      </w:r>
      <w:r w:rsidR="00D943EA">
        <w:rPr>
          <w:szCs w:val="22"/>
        </w:rPr>
        <w:t>Thirteen</w:t>
      </w:r>
      <w:r w:rsidR="00D943EA" w:rsidRPr="00CF425B">
        <w:rPr>
          <w:szCs w:val="22"/>
        </w:rPr>
        <w:t xml:space="preserve"> </w:t>
      </w:r>
      <w:r w:rsidRPr="00CF425B">
        <w:rPr>
          <w:szCs w:val="22"/>
        </w:rPr>
        <w:t xml:space="preserve">of the investigations </w:t>
      </w:r>
      <w:r w:rsidR="002B3C63" w:rsidRPr="00CF425B">
        <w:rPr>
          <w:szCs w:val="22"/>
        </w:rPr>
        <w:t>were at</w:t>
      </w:r>
      <w:r w:rsidR="000E07D6" w:rsidRPr="00CF425B">
        <w:rPr>
          <w:szCs w:val="22"/>
        </w:rPr>
        <w:t xml:space="preserve"> </w:t>
      </w:r>
      <w:r w:rsidRPr="00CF425B">
        <w:rPr>
          <w:szCs w:val="22"/>
        </w:rPr>
        <w:t>dry cleaning drop station</w:t>
      </w:r>
      <w:r w:rsidR="000E07D6" w:rsidRPr="00CF425B">
        <w:rPr>
          <w:szCs w:val="22"/>
        </w:rPr>
        <w:t>s</w:t>
      </w:r>
      <w:r w:rsidR="00D943EA">
        <w:rPr>
          <w:szCs w:val="22"/>
        </w:rPr>
        <w:t>, however due to COVID-19 restrictions only one</w:t>
      </w:r>
      <w:r w:rsidR="00D943EA" w:rsidRPr="00CF425B">
        <w:rPr>
          <w:szCs w:val="22"/>
        </w:rPr>
        <w:t xml:space="preserve"> w</w:t>
      </w:r>
      <w:r w:rsidR="00D943EA">
        <w:rPr>
          <w:szCs w:val="22"/>
        </w:rPr>
        <w:t>as</w:t>
      </w:r>
      <w:r w:rsidR="00D943EA" w:rsidRPr="00CF425B">
        <w:rPr>
          <w:szCs w:val="22"/>
        </w:rPr>
        <w:t xml:space="preserve"> </w:t>
      </w:r>
      <w:r w:rsidRPr="00CF425B">
        <w:rPr>
          <w:szCs w:val="22"/>
        </w:rPr>
        <w:t xml:space="preserve">at </w:t>
      </w:r>
      <w:r w:rsidR="00F53F7D">
        <w:rPr>
          <w:szCs w:val="22"/>
        </w:rPr>
        <w:t xml:space="preserve">a </w:t>
      </w:r>
      <w:r w:rsidRPr="00CF425B">
        <w:rPr>
          <w:szCs w:val="22"/>
        </w:rPr>
        <w:t>dry cleaning facilit</w:t>
      </w:r>
      <w:r w:rsidR="00D943EA">
        <w:rPr>
          <w:szCs w:val="22"/>
        </w:rPr>
        <w:t>y</w:t>
      </w:r>
      <w:r w:rsidRPr="00CF425B">
        <w:rPr>
          <w:szCs w:val="22"/>
        </w:rPr>
        <w:t xml:space="preserve"> that generate</w:t>
      </w:r>
      <w:r w:rsidR="00D943EA">
        <w:rPr>
          <w:szCs w:val="22"/>
        </w:rPr>
        <w:t>s</w:t>
      </w:r>
      <w:r w:rsidRPr="00CF425B">
        <w:rPr>
          <w:szCs w:val="22"/>
        </w:rPr>
        <w:t xml:space="preserve"> hazardous waste. A total of </w:t>
      </w:r>
      <w:r w:rsidR="00D943EA">
        <w:rPr>
          <w:szCs w:val="22"/>
        </w:rPr>
        <w:t>five</w:t>
      </w:r>
      <w:r w:rsidR="00D943EA" w:rsidRPr="00CF425B">
        <w:rPr>
          <w:szCs w:val="22"/>
        </w:rPr>
        <w:t xml:space="preserve"> </w:t>
      </w:r>
      <w:r w:rsidR="00AD4296" w:rsidRPr="00CF425B">
        <w:rPr>
          <w:szCs w:val="22"/>
        </w:rPr>
        <w:t xml:space="preserve">dry cleaner </w:t>
      </w:r>
      <w:r w:rsidRPr="00CF425B">
        <w:rPr>
          <w:szCs w:val="22"/>
        </w:rPr>
        <w:t xml:space="preserve">violations were found as a result of investigations at dry cleaning facilities. </w:t>
      </w:r>
    </w:p>
    <w:p w14:paraId="770EC439" w14:textId="0E3BC8D3" w:rsidR="008D46D5" w:rsidRDefault="00D03039" w:rsidP="002B061F">
      <w:pPr>
        <w:pStyle w:val="BodyText"/>
      </w:pPr>
      <w:bookmarkStart w:id="5" w:name="_Hlk526837802"/>
      <w:r w:rsidRPr="00EB3786">
        <w:t xml:space="preserve">In FY </w:t>
      </w:r>
      <w:bookmarkEnd w:id="5"/>
      <w:r w:rsidR="00C06609" w:rsidRPr="00EB3786">
        <w:t>20</w:t>
      </w:r>
      <w:r w:rsidR="00C06609" w:rsidRPr="00945E7C">
        <w:t>2</w:t>
      </w:r>
      <w:r w:rsidR="00C06609">
        <w:t>1</w:t>
      </w:r>
      <w:r w:rsidRPr="00EB3786">
        <w:t xml:space="preserve">, the TCEQ </w:t>
      </w:r>
      <w:r w:rsidR="00C06609">
        <w:t xml:space="preserve">did not issue any </w:t>
      </w:r>
      <w:r w:rsidRPr="007B3043">
        <w:t>administrative order</w:t>
      </w:r>
      <w:r w:rsidR="00C06609">
        <w:t>s</w:t>
      </w:r>
      <w:r w:rsidRPr="00EB3786">
        <w:t xml:space="preserve"> against dry cleaning facilit</w:t>
      </w:r>
      <w:r w:rsidR="00C06609">
        <w:t>ies</w:t>
      </w:r>
      <w:r w:rsidRPr="00EB3786">
        <w:t xml:space="preserve">. </w:t>
      </w:r>
    </w:p>
    <w:bookmarkEnd w:id="4"/>
    <w:p w14:paraId="66C9F0EB" w14:textId="77777777" w:rsidR="00795057" w:rsidRPr="00ED586D" w:rsidRDefault="00795057" w:rsidP="002B061F">
      <w:pPr>
        <w:pStyle w:val="Heading1"/>
      </w:pPr>
      <w:r w:rsidRPr="00ED586D">
        <w:t>New Dry Cleaner Legislation</w:t>
      </w:r>
    </w:p>
    <w:p w14:paraId="6C2C6360" w14:textId="36206072" w:rsidR="00795057" w:rsidRDefault="0033234C" w:rsidP="002B061F">
      <w:pPr>
        <w:pStyle w:val="BodyText"/>
      </w:pPr>
      <w:r>
        <w:t>SB 872</w:t>
      </w:r>
      <w:r w:rsidR="00E40C56">
        <w:t xml:space="preserve"> of the 87</w:t>
      </w:r>
      <w:r w:rsidR="00E40C56" w:rsidRPr="008544BE">
        <w:rPr>
          <w:vertAlign w:val="superscript"/>
        </w:rPr>
        <w:t>th</w:t>
      </w:r>
      <w:r w:rsidR="00E40C56">
        <w:t xml:space="preserve"> legislative session, was passed to extend the Dry Cleaner Response Program until September 1, 2041.</w:t>
      </w:r>
    </w:p>
    <w:p w14:paraId="136F3C91" w14:textId="307A488F" w:rsidR="00A726CC" w:rsidRDefault="00A726CC" w:rsidP="002B061F">
      <w:pPr>
        <w:pStyle w:val="Heading1"/>
      </w:pPr>
      <w:r w:rsidRPr="00733AAC">
        <w:t>Corrective Actions</w:t>
      </w:r>
    </w:p>
    <w:p w14:paraId="2D734DEF" w14:textId="093B893B" w:rsidR="00BA586B" w:rsidRPr="00ED586D" w:rsidRDefault="00A726CC" w:rsidP="002B061F">
      <w:pPr>
        <w:pStyle w:val="BodyText"/>
      </w:pPr>
      <w:r w:rsidRPr="00ED586D">
        <w:t xml:space="preserve">In FY </w:t>
      </w:r>
      <w:r w:rsidR="00214382" w:rsidRPr="00ED586D">
        <w:t>20</w:t>
      </w:r>
      <w:r w:rsidR="00214382">
        <w:t>21</w:t>
      </w:r>
      <w:r w:rsidR="00214382" w:rsidRPr="00ED586D">
        <w:t xml:space="preserve"> </w:t>
      </w:r>
      <w:r w:rsidRPr="00ED586D">
        <w:t xml:space="preserve">the TCEQ received </w:t>
      </w:r>
      <w:r w:rsidR="005D0607">
        <w:t>7</w:t>
      </w:r>
      <w:r w:rsidR="005D0607" w:rsidRPr="00ED586D">
        <w:t xml:space="preserve"> </w:t>
      </w:r>
      <w:r w:rsidRPr="00ED586D">
        <w:t>applications for rankin</w:t>
      </w:r>
      <w:r w:rsidR="007A6BFC">
        <w:t xml:space="preserve">g. </w:t>
      </w:r>
      <w:r w:rsidR="008B16F2" w:rsidRPr="00ED586D">
        <w:t xml:space="preserve">As of August 31, </w:t>
      </w:r>
      <w:r w:rsidR="00214382" w:rsidRPr="00ED586D">
        <w:t>20</w:t>
      </w:r>
      <w:r w:rsidR="00214382">
        <w:t>21</w:t>
      </w:r>
      <w:r w:rsidR="008B16F2" w:rsidRPr="00ED586D">
        <w:t xml:space="preserve">, there were </w:t>
      </w:r>
      <w:r w:rsidR="00214382">
        <w:t xml:space="preserve">233 </w:t>
      </w:r>
      <w:r w:rsidR="00570AF9" w:rsidRPr="00ED586D">
        <w:t>site</w:t>
      </w:r>
      <w:r w:rsidR="00C05110" w:rsidRPr="00ED586D">
        <w:t>s</w:t>
      </w:r>
      <w:r w:rsidR="007A6BFC">
        <w:t xml:space="preserve"> in the DCRP.</w:t>
      </w:r>
    </w:p>
    <w:p w14:paraId="3B8199B3" w14:textId="6B8E4283" w:rsidR="00570AF9" w:rsidRPr="000C6160" w:rsidRDefault="009354A7" w:rsidP="002B061F">
      <w:pPr>
        <w:pStyle w:val="BodyText"/>
      </w:pPr>
      <w:r w:rsidRPr="00ED586D">
        <w:t>The TCEQ may postpone or indefinitely suspend corrective action at a site in order to make money available for corrective action at</w:t>
      </w:r>
      <w:r w:rsidR="007A6BFC">
        <w:t xml:space="preserve"> a site with a higher priority.</w:t>
      </w:r>
      <w:r w:rsidR="00570AF9" w:rsidRPr="000C6160">
        <w:t xml:space="preserve"> As of </w:t>
      </w:r>
      <w:r w:rsidR="007A2396" w:rsidRPr="000C6160">
        <w:t xml:space="preserve">August 31, </w:t>
      </w:r>
      <w:r w:rsidR="00E50F72" w:rsidRPr="000C6160">
        <w:t>20</w:t>
      </w:r>
      <w:r w:rsidR="00E50F72">
        <w:t>21</w:t>
      </w:r>
      <w:r w:rsidR="004A1739" w:rsidRPr="000C6160">
        <w:t>,</w:t>
      </w:r>
      <w:r w:rsidR="007A2396" w:rsidRPr="000C6160">
        <w:t xml:space="preserve"> </w:t>
      </w:r>
      <w:r w:rsidR="00570AF9" w:rsidRPr="000C6160">
        <w:t xml:space="preserve">there were </w:t>
      </w:r>
      <w:r w:rsidR="00E50F72">
        <w:t>135</w:t>
      </w:r>
      <w:r w:rsidR="00E50F72" w:rsidRPr="000C6160">
        <w:t xml:space="preserve"> </w:t>
      </w:r>
      <w:r w:rsidR="00570AF9" w:rsidRPr="000C6160">
        <w:t xml:space="preserve">active sites and </w:t>
      </w:r>
      <w:r w:rsidR="00E50F72">
        <w:t xml:space="preserve">98 </w:t>
      </w:r>
      <w:r w:rsidR="00032202" w:rsidRPr="000C6160">
        <w:t>postponed sites</w:t>
      </w:r>
      <w:r w:rsidR="00D5503B">
        <w:t>. The September 1, 2021 DCRP Priori</w:t>
      </w:r>
      <w:r w:rsidR="008D51DF">
        <w:t>ti</w:t>
      </w:r>
      <w:r w:rsidR="00D5503B">
        <w:t xml:space="preserve">zation List is included as </w:t>
      </w:r>
      <w:r w:rsidR="00032202" w:rsidRPr="000C6160">
        <w:t xml:space="preserve">Attachment </w:t>
      </w:r>
      <w:r w:rsidR="00F73979" w:rsidRPr="000C6160">
        <w:t>1</w:t>
      </w:r>
      <w:r w:rsidR="00032202" w:rsidRPr="000C6160">
        <w:t>.</w:t>
      </w:r>
    </w:p>
    <w:p w14:paraId="75F233A1" w14:textId="468F6500" w:rsidR="00F44879" w:rsidRPr="007A6BFC" w:rsidRDefault="00570AF9" w:rsidP="002B061F">
      <w:pPr>
        <w:pStyle w:val="BodyText"/>
      </w:pPr>
      <w:r w:rsidRPr="00ED586D">
        <w:t xml:space="preserve">The DCRP completed corrective action at </w:t>
      </w:r>
      <w:r w:rsidR="00E50F72">
        <w:t xml:space="preserve">eight </w:t>
      </w:r>
      <w:r w:rsidRPr="00ED586D">
        <w:t xml:space="preserve">sites in FY </w:t>
      </w:r>
      <w:r w:rsidR="00E50F72" w:rsidRPr="00ED586D">
        <w:t>20</w:t>
      </w:r>
      <w:r w:rsidR="00E50F72">
        <w:t>21</w:t>
      </w:r>
      <w:r w:rsidRPr="00ED586D">
        <w:t xml:space="preserve">; to date, the TCEQ has completed corrective action at </w:t>
      </w:r>
      <w:r w:rsidR="00E50F72">
        <w:t xml:space="preserve">97 </w:t>
      </w:r>
      <w:r w:rsidR="007A6BFC">
        <w:t xml:space="preserve">sites. </w:t>
      </w:r>
      <w:r w:rsidRPr="00ED586D">
        <w:t xml:space="preserve">The </w:t>
      </w:r>
      <w:r w:rsidR="00364463">
        <w:t xml:space="preserve">September 1, 2021 DCRP Closed Sites </w:t>
      </w:r>
      <w:r w:rsidR="00E54F94">
        <w:t xml:space="preserve">list </w:t>
      </w:r>
      <w:r w:rsidRPr="00ED586D">
        <w:t xml:space="preserve">is included </w:t>
      </w:r>
      <w:r w:rsidR="00364463">
        <w:t>as</w:t>
      </w:r>
      <w:r w:rsidR="00364463" w:rsidRPr="00ED586D">
        <w:t xml:space="preserve"> </w:t>
      </w:r>
      <w:r w:rsidRPr="00ED586D">
        <w:t xml:space="preserve">Attachment </w:t>
      </w:r>
      <w:r w:rsidR="00F73979" w:rsidRPr="00ED586D">
        <w:t>2</w:t>
      </w:r>
      <w:r w:rsidRPr="00ED586D">
        <w:t>.</w:t>
      </w:r>
    </w:p>
    <w:sectPr w:rsidR="00F44879" w:rsidRPr="007A6BFC" w:rsidSect="00AF3241">
      <w:pgSz w:w="12240" w:h="15840" w:code="1"/>
      <w:pgMar w:top="1440" w:right="1440" w:bottom="135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8669" w14:textId="77777777" w:rsidR="00ED39D5" w:rsidRDefault="00ED39D5">
      <w:r>
        <w:separator/>
      </w:r>
    </w:p>
  </w:endnote>
  <w:endnote w:type="continuationSeparator" w:id="0">
    <w:p w14:paraId="2B624C8D" w14:textId="77777777" w:rsidR="00ED39D5" w:rsidRDefault="00ED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2108" w14:textId="77777777" w:rsidR="0027171C" w:rsidRDefault="0027171C" w:rsidP="002B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79405"/>
      <w:docPartObj>
        <w:docPartGallery w:val="Page Numbers (Bottom of Page)"/>
        <w:docPartUnique/>
      </w:docPartObj>
    </w:sdtPr>
    <w:sdtEndPr/>
    <w:sdtContent>
      <w:sdt>
        <w:sdtPr>
          <w:id w:val="-338468537"/>
          <w:docPartObj>
            <w:docPartGallery w:val="Page Numbers (Top of Page)"/>
            <w:docPartUnique/>
          </w:docPartObj>
        </w:sdtPr>
        <w:sdtEndPr/>
        <w:sdtContent>
          <w:p w14:paraId="1B2D506B" w14:textId="77777777" w:rsidR="00745AA0" w:rsidRDefault="00745AA0" w:rsidP="002B061F">
            <w:pPr>
              <w:pStyle w:val="Footer"/>
            </w:pPr>
            <w:r>
              <w:t xml:space="preserve">Page </w:t>
            </w:r>
            <w:r>
              <w:rPr>
                <w:sz w:val="24"/>
              </w:rPr>
              <w:fldChar w:fldCharType="begin"/>
            </w:r>
            <w:r>
              <w:instrText xml:space="preserve"> PAGE </w:instrText>
            </w:r>
            <w:r>
              <w:rPr>
                <w:sz w:val="24"/>
              </w:rPr>
              <w:fldChar w:fldCharType="separate"/>
            </w:r>
            <w:r w:rsidR="00DB3DCC">
              <w:rPr>
                <w:noProof/>
              </w:rPr>
              <w:t>7</w:t>
            </w:r>
            <w:r>
              <w:rPr>
                <w:sz w:val="24"/>
              </w:rPr>
              <w:fldChar w:fldCharType="end"/>
            </w:r>
            <w:r>
              <w:t xml:space="preserve"> of </w:t>
            </w:r>
            <w:r w:rsidR="00D7520E">
              <w:fldChar w:fldCharType="begin"/>
            </w:r>
            <w:r w:rsidR="00D7520E">
              <w:instrText xml:space="preserve"> NUMPAGES  </w:instrText>
            </w:r>
            <w:r w:rsidR="00D7520E">
              <w:fldChar w:fldCharType="separate"/>
            </w:r>
            <w:r w:rsidR="00DB3DCC">
              <w:rPr>
                <w:noProof/>
              </w:rPr>
              <w:t>7</w:t>
            </w:r>
            <w:r w:rsidR="00D7520E">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19234"/>
      <w:docPartObj>
        <w:docPartGallery w:val="Page Numbers (Bottom of Page)"/>
        <w:docPartUnique/>
      </w:docPartObj>
    </w:sdtPr>
    <w:sdtEndPr/>
    <w:sdtContent>
      <w:sdt>
        <w:sdtPr>
          <w:id w:val="-601415462"/>
          <w:docPartObj>
            <w:docPartGallery w:val="Page Numbers (Top of Page)"/>
            <w:docPartUnique/>
          </w:docPartObj>
        </w:sdtPr>
        <w:sdtEndPr/>
        <w:sdtContent>
          <w:p w14:paraId="3327833B" w14:textId="77777777" w:rsidR="0025329C" w:rsidRDefault="0025329C" w:rsidP="002B061F">
            <w:pPr>
              <w:pStyle w:val="Footer"/>
            </w:pPr>
            <w:r>
              <w:t xml:space="preserve">Page </w:t>
            </w:r>
            <w:r>
              <w:rPr>
                <w:sz w:val="24"/>
              </w:rPr>
              <w:fldChar w:fldCharType="begin"/>
            </w:r>
            <w:r>
              <w:instrText xml:space="preserve"> PAGE </w:instrText>
            </w:r>
            <w:r>
              <w:rPr>
                <w:sz w:val="24"/>
              </w:rPr>
              <w:fldChar w:fldCharType="separate"/>
            </w:r>
            <w:r w:rsidR="00DB3DCC">
              <w:rPr>
                <w:noProof/>
              </w:rPr>
              <w:t>3</w:t>
            </w:r>
            <w:r>
              <w:rPr>
                <w:sz w:val="24"/>
              </w:rPr>
              <w:fldChar w:fldCharType="end"/>
            </w:r>
            <w:r>
              <w:t xml:space="preserve"> of </w:t>
            </w:r>
            <w:r w:rsidR="00D7520E">
              <w:fldChar w:fldCharType="begin"/>
            </w:r>
            <w:r w:rsidR="00D7520E">
              <w:instrText xml:space="preserve"> NUMPAGES  </w:instrText>
            </w:r>
            <w:r w:rsidR="00D7520E">
              <w:fldChar w:fldCharType="separate"/>
            </w:r>
            <w:r w:rsidR="00DB3DCC">
              <w:rPr>
                <w:noProof/>
              </w:rPr>
              <w:t>7</w:t>
            </w:r>
            <w:r w:rsidR="00D7520E">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D25E" w14:textId="77777777" w:rsidR="00ED39D5" w:rsidRDefault="00ED39D5">
      <w:r>
        <w:separator/>
      </w:r>
    </w:p>
  </w:footnote>
  <w:footnote w:type="continuationSeparator" w:id="0">
    <w:p w14:paraId="46DF316A" w14:textId="77777777" w:rsidR="00ED39D5" w:rsidRDefault="00ED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4D3C" w14:textId="77777777" w:rsidR="0027171C" w:rsidRDefault="00271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A69F" w14:textId="75FE09B3" w:rsidR="0027171C" w:rsidRDefault="00271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6225" w14:textId="7EB22BC4" w:rsidR="0027171C" w:rsidRDefault="00271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0A27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8207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E23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5250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24D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DE8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FACA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D41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94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CA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987B69"/>
    <w:multiLevelType w:val="hybridMultilevel"/>
    <w:tmpl w:val="8702E202"/>
    <w:lvl w:ilvl="0" w:tplc="20828EC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EA3B49"/>
    <w:multiLevelType w:val="hybridMultilevel"/>
    <w:tmpl w:val="B512EDE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E073B"/>
    <w:multiLevelType w:val="hybridMultilevel"/>
    <w:tmpl w:val="2EDE608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6C12E9"/>
    <w:multiLevelType w:val="hybridMultilevel"/>
    <w:tmpl w:val="E320001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FA1EC5"/>
    <w:multiLevelType w:val="hybridMultilevel"/>
    <w:tmpl w:val="36FE1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992600"/>
    <w:multiLevelType w:val="hybridMultilevel"/>
    <w:tmpl w:val="1FCC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35089"/>
    <w:multiLevelType w:val="hybridMultilevel"/>
    <w:tmpl w:val="B53E85A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A4124"/>
    <w:multiLevelType w:val="hybridMultilevel"/>
    <w:tmpl w:val="C2C0B85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B84D35"/>
    <w:multiLevelType w:val="hybridMultilevel"/>
    <w:tmpl w:val="0472C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0"/>
  </w:num>
  <w:num w:numId="4">
    <w:abstractNumId w:val="10"/>
  </w:num>
  <w:num w:numId="5">
    <w:abstractNumId w:val="11"/>
  </w:num>
  <w:num w:numId="6">
    <w:abstractNumId w:val="17"/>
  </w:num>
  <w:num w:numId="7">
    <w:abstractNumId w:val="16"/>
  </w:num>
  <w:num w:numId="8">
    <w:abstractNumId w:val="12"/>
  </w:num>
  <w:num w:numId="9">
    <w:abstractNumId w:val="13"/>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58"/>
    <w:rsid w:val="0000000C"/>
    <w:rsid w:val="00001B78"/>
    <w:rsid w:val="000042DD"/>
    <w:rsid w:val="000069B6"/>
    <w:rsid w:val="00016AB3"/>
    <w:rsid w:val="00022C26"/>
    <w:rsid w:val="00024B43"/>
    <w:rsid w:val="00027764"/>
    <w:rsid w:val="0003087D"/>
    <w:rsid w:val="00031D60"/>
    <w:rsid w:val="00032202"/>
    <w:rsid w:val="00032407"/>
    <w:rsid w:val="00032992"/>
    <w:rsid w:val="00035FC4"/>
    <w:rsid w:val="00037AD4"/>
    <w:rsid w:val="0004379D"/>
    <w:rsid w:val="000475A6"/>
    <w:rsid w:val="000479AB"/>
    <w:rsid w:val="00050600"/>
    <w:rsid w:val="000522B1"/>
    <w:rsid w:val="000617BB"/>
    <w:rsid w:val="00061C3F"/>
    <w:rsid w:val="0006258A"/>
    <w:rsid w:val="00064864"/>
    <w:rsid w:val="0006538B"/>
    <w:rsid w:val="00066456"/>
    <w:rsid w:val="000665E0"/>
    <w:rsid w:val="000673CA"/>
    <w:rsid w:val="000701D0"/>
    <w:rsid w:val="0007306C"/>
    <w:rsid w:val="0007720C"/>
    <w:rsid w:val="00080BFB"/>
    <w:rsid w:val="00080BFC"/>
    <w:rsid w:val="0008430F"/>
    <w:rsid w:val="0008597D"/>
    <w:rsid w:val="00086FA8"/>
    <w:rsid w:val="000908F4"/>
    <w:rsid w:val="000913EA"/>
    <w:rsid w:val="00092083"/>
    <w:rsid w:val="00094E29"/>
    <w:rsid w:val="00095331"/>
    <w:rsid w:val="000A0384"/>
    <w:rsid w:val="000A2128"/>
    <w:rsid w:val="000A239E"/>
    <w:rsid w:val="000A3CCA"/>
    <w:rsid w:val="000A5223"/>
    <w:rsid w:val="000A7A38"/>
    <w:rsid w:val="000B47CC"/>
    <w:rsid w:val="000C2E04"/>
    <w:rsid w:val="000C386F"/>
    <w:rsid w:val="000C43F4"/>
    <w:rsid w:val="000C45D4"/>
    <w:rsid w:val="000C4EE4"/>
    <w:rsid w:val="000C6160"/>
    <w:rsid w:val="000C7576"/>
    <w:rsid w:val="000D0A87"/>
    <w:rsid w:val="000D1C14"/>
    <w:rsid w:val="000D25FC"/>
    <w:rsid w:val="000D3CFE"/>
    <w:rsid w:val="000D3F03"/>
    <w:rsid w:val="000D6700"/>
    <w:rsid w:val="000E07D6"/>
    <w:rsid w:val="000E2854"/>
    <w:rsid w:val="000E3116"/>
    <w:rsid w:val="000E5EC0"/>
    <w:rsid w:val="000E6FF4"/>
    <w:rsid w:val="000E7B6B"/>
    <w:rsid w:val="000F469F"/>
    <w:rsid w:val="000F7C4D"/>
    <w:rsid w:val="00100FBA"/>
    <w:rsid w:val="00100FF1"/>
    <w:rsid w:val="00101B38"/>
    <w:rsid w:val="00104F63"/>
    <w:rsid w:val="00110503"/>
    <w:rsid w:val="00112058"/>
    <w:rsid w:val="00113AE2"/>
    <w:rsid w:val="00113DAF"/>
    <w:rsid w:val="00115E8F"/>
    <w:rsid w:val="00116CD4"/>
    <w:rsid w:val="001218EB"/>
    <w:rsid w:val="00123B4B"/>
    <w:rsid w:val="00125606"/>
    <w:rsid w:val="0012622E"/>
    <w:rsid w:val="001273C7"/>
    <w:rsid w:val="0012757E"/>
    <w:rsid w:val="00131A57"/>
    <w:rsid w:val="0013299D"/>
    <w:rsid w:val="001330EC"/>
    <w:rsid w:val="001333CA"/>
    <w:rsid w:val="00133CFE"/>
    <w:rsid w:val="0013714F"/>
    <w:rsid w:val="00137172"/>
    <w:rsid w:val="0013735D"/>
    <w:rsid w:val="00142E6B"/>
    <w:rsid w:val="001432CE"/>
    <w:rsid w:val="001436B0"/>
    <w:rsid w:val="00143E21"/>
    <w:rsid w:val="001460C8"/>
    <w:rsid w:val="001466E2"/>
    <w:rsid w:val="00146916"/>
    <w:rsid w:val="00151677"/>
    <w:rsid w:val="00155383"/>
    <w:rsid w:val="00157CF0"/>
    <w:rsid w:val="00160516"/>
    <w:rsid w:val="00160DE3"/>
    <w:rsid w:val="00166239"/>
    <w:rsid w:val="00166B89"/>
    <w:rsid w:val="00166DAA"/>
    <w:rsid w:val="00170436"/>
    <w:rsid w:val="00170554"/>
    <w:rsid w:val="001706F2"/>
    <w:rsid w:val="001746A1"/>
    <w:rsid w:val="001767D3"/>
    <w:rsid w:val="00177D5D"/>
    <w:rsid w:val="001803B3"/>
    <w:rsid w:val="00182589"/>
    <w:rsid w:val="00182E7F"/>
    <w:rsid w:val="001841C6"/>
    <w:rsid w:val="00184E49"/>
    <w:rsid w:val="00186AF3"/>
    <w:rsid w:val="00187B32"/>
    <w:rsid w:val="0019195F"/>
    <w:rsid w:val="001945A8"/>
    <w:rsid w:val="001A0C1E"/>
    <w:rsid w:val="001A232B"/>
    <w:rsid w:val="001A53AB"/>
    <w:rsid w:val="001B29AC"/>
    <w:rsid w:val="001B2D00"/>
    <w:rsid w:val="001B3A98"/>
    <w:rsid w:val="001C1CDF"/>
    <w:rsid w:val="001C4351"/>
    <w:rsid w:val="001C4EF7"/>
    <w:rsid w:val="001D11FE"/>
    <w:rsid w:val="001D519A"/>
    <w:rsid w:val="001D536C"/>
    <w:rsid w:val="001E27F6"/>
    <w:rsid w:val="001E3C37"/>
    <w:rsid w:val="001E5AD9"/>
    <w:rsid w:val="001F55AB"/>
    <w:rsid w:val="001F6EE5"/>
    <w:rsid w:val="00203A45"/>
    <w:rsid w:val="002057A8"/>
    <w:rsid w:val="00214382"/>
    <w:rsid w:val="0021621C"/>
    <w:rsid w:val="002179B2"/>
    <w:rsid w:val="00221309"/>
    <w:rsid w:val="00222C77"/>
    <w:rsid w:val="0022428A"/>
    <w:rsid w:val="0022494F"/>
    <w:rsid w:val="00225654"/>
    <w:rsid w:val="002273A9"/>
    <w:rsid w:val="002319F6"/>
    <w:rsid w:val="00236F63"/>
    <w:rsid w:val="00237169"/>
    <w:rsid w:val="00241AB8"/>
    <w:rsid w:val="0024210E"/>
    <w:rsid w:val="0024360C"/>
    <w:rsid w:val="002451F0"/>
    <w:rsid w:val="00245C7A"/>
    <w:rsid w:val="00250D96"/>
    <w:rsid w:val="0025101D"/>
    <w:rsid w:val="0025329C"/>
    <w:rsid w:val="00255843"/>
    <w:rsid w:val="00260E57"/>
    <w:rsid w:val="00264037"/>
    <w:rsid w:val="002703CE"/>
    <w:rsid w:val="0027171C"/>
    <w:rsid w:val="00274EA8"/>
    <w:rsid w:val="00274F50"/>
    <w:rsid w:val="00276535"/>
    <w:rsid w:val="0028171C"/>
    <w:rsid w:val="00285982"/>
    <w:rsid w:val="00292F61"/>
    <w:rsid w:val="002A1B26"/>
    <w:rsid w:val="002A1C2C"/>
    <w:rsid w:val="002A2040"/>
    <w:rsid w:val="002A28D3"/>
    <w:rsid w:val="002A3DFD"/>
    <w:rsid w:val="002A6398"/>
    <w:rsid w:val="002B02A6"/>
    <w:rsid w:val="002B061F"/>
    <w:rsid w:val="002B26DD"/>
    <w:rsid w:val="002B3C63"/>
    <w:rsid w:val="002B5150"/>
    <w:rsid w:val="002C0B3E"/>
    <w:rsid w:val="002C2C3B"/>
    <w:rsid w:val="002C3A7D"/>
    <w:rsid w:val="002C5DDB"/>
    <w:rsid w:val="002C64E1"/>
    <w:rsid w:val="002D0152"/>
    <w:rsid w:val="002D127D"/>
    <w:rsid w:val="002D1803"/>
    <w:rsid w:val="002D5E41"/>
    <w:rsid w:val="002D5E63"/>
    <w:rsid w:val="002D78BE"/>
    <w:rsid w:val="002E1EB4"/>
    <w:rsid w:val="002E4294"/>
    <w:rsid w:val="002E482B"/>
    <w:rsid w:val="002F1D4A"/>
    <w:rsid w:val="002F2A22"/>
    <w:rsid w:val="002F608D"/>
    <w:rsid w:val="002F6DBA"/>
    <w:rsid w:val="00306576"/>
    <w:rsid w:val="0031022C"/>
    <w:rsid w:val="003124C6"/>
    <w:rsid w:val="003158F2"/>
    <w:rsid w:val="00316C2B"/>
    <w:rsid w:val="0033234C"/>
    <w:rsid w:val="00332841"/>
    <w:rsid w:val="00332FFF"/>
    <w:rsid w:val="003352F7"/>
    <w:rsid w:val="003354FF"/>
    <w:rsid w:val="00343C4E"/>
    <w:rsid w:val="00345E8A"/>
    <w:rsid w:val="00352840"/>
    <w:rsid w:val="00353754"/>
    <w:rsid w:val="0035692F"/>
    <w:rsid w:val="003578F3"/>
    <w:rsid w:val="0035799C"/>
    <w:rsid w:val="00360768"/>
    <w:rsid w:val="00361C0D"/>
    <w:rsid w:val="00362FA1"/>
    <w:rsid w:val="003641E5"/>
    <w:rsid w:val="00364463"/>
    <w:rsid w:val="00364C9B"/>
    <w:rsid w:val="00365682"/>
    <w:rsid w:val="00365D29"/>
    <w:rsid w:val="003665F3"/>
    <w:rsid w:val="00367F81"/>
    <w:rsid w:val="003708C8"/>
    <w:rsid w:val="00371752"/>
    <w:rsid w:val="00371BEF"/>
    <w:rsid w:val="00373AE0"/>
    <w:rsid w:val="0037436E"/>
    <w:rsid w:val="003813CF"/>
    <w:rsid w:val="00383CE9"/>
    <w:rsid w:val="00385B44"/>
    <w:rsid w:val="0038628E"/>
    <w:rsid w:val="00386D30"/>
    <w:rsid w:val="0038764A"/>
    <w:rsid w:val="00391559"/>
    <w:rsid w:val="003932F7"/>
    <w:rsid w:val="0039389D"/>
    <w:rsid w:val="00396FCE"/>
    <w:rsid w:val="003A19FE"/>
    <w:rsid w:val="003A2489"/>
    <w:rsid w:val="003A3205"/>
    <w:rsid w:val="003B2704"/>
    <w:rsid w:val="003B2A5F"/>
    <w:rsid w:val="003B3F6A"/>
    <w:rsid w:val="003B7B60"/>
    <w:rsid w:val="003C08B3"/>
    <w:rsid w:val="003C4DDE"/>
    <w:rsid w:val="003C50FA"/>
    <w:rsid w:val="003C5A65"/>
    <w:rsid w:val="003C5AC1"/>
    <w:rsid w:val="003D01BD"/>
    <w:rsid w:val="003D300A"/>
    <w:rsid w:val="003D7A16"/>
    <w:rsid w:val="003D7D26"/>
    <w:rsid w:val="003E250F"/>
    <w:rsid w:val="003E302E"/>
    <w:rsid w:val="003E4DAB"/>
    <w:rsid w:val="003E5F12"/>
    <w:rsid w:val="003E75BB"/>
    <w:rsid w:val="003E7CC6"/>
    <w:rsid w:val="003F2396"/>
    <w:rsid w:val="00400547"/>
    <w:rsid w:val="00400782"/>
    <w:rsid w:val="004033D5"/>
    <w:rsid w:val="00404AE2"/>
    <w:rsid w:val="00410635"/>
    <w:rsid w:val="00413EB0"/>
    <w:rsid w:val="00415969"/>
    <w:rsid w:val="0041643A"/>
    <w:rsid w:val="00417627"/>
    <w:rsid w:val="00421FAC"/>
    <w:rsid w:val="00430FD8"/>
    <w:rsid w:val="004331FE"/>
    <w:rsid w:val="00433681"/>
    <w:rsid w:val="004355C5"/>
    <w:rsid w:val="0043575C"/>
    <w:rsid w:val="00436323"/>
    <w:rsid w:val="004428A5"/>
    <w:rsid w:val="004433B3"/>
    <w:rsid w:val="00445E78"/>
    <w:rsid w:val="004461C5"/>
    <w:rsid w:val="00451ABB"/>
    <w:rsid w:val="00457EDD"/>
    <w:rsid w:val="004602F2"/>
    <w:rsid w:val="0046452F"/>
    <w:rsid w:val="00464CC6"/>
    <w:rsid w:val="0046637D"/>
    <w:rsid w:val="00466B11"/>
    <w:rsid w:val="004707D4"/>
    <w:rsid w:val="00470FD2"/>
    <w:rsid w:val="00472A57"/>
    <w:rsid w:val="00473D63"/>
    <w:rsid w:val="00474DCA"/>
    <w:rsid w:val="0047541E"/>
    <w:rsid w:val="00475DA4"/>
    <w:rsid w:val="0047743D"/>
    <w:rsid w:val="004808BF"/>
    <w:rsid w:val="00480BFC"/>
    <w:rsid w:val="00480F75"/>
    <w:rsid w:val="0048140C"/>
    <w:rsid w:val="004817F8"/>
    <w:rsid w:val="0048432B"/>
    <w:rsid w:val="00490D95"/>
    <w:rsid w:val="00493C26"/>
    <w:rsid w:val="00493EE5"/>
    <w:rsid w:val="0049473D"/>
    <w:rsid w:val="00495850"/>
    <w:rsid w:val="00497792"/>
    <w:rsid w:val="004A1739"/>
    <w:rsid w:val="004A1742"/>
    <w:rsid w:val="004A59FC"/>
    <w:rsid w:val="004A6702"/>
    <w:rsid w:val="004B2B4E"/>
    <w:rsid w:val="004B592C"/>
    <w:rsid w:val="004B739D"/>
    <w:rsid w:val="004B7656"/>
    <w:rsid w:val="004C699E"/>
    <w:rsid w:val="004C6C7B"/>
    <w:rsid w:val="004C7ADE"/>
    <w:rsid w:val="004C7C73"/>
    <w:rsid w:val="004D0437"/>
    <w:rsid w:val="004D07E3"/>
    <w:rsid w:val="004D1D9B"/>
    <w:rsid w:val="004D4182"/>
    <w:rsid w:val="004D4503"/>
    <w:rsid w:val="004D4DC2"/>
    <w:rsid w:val="004D62B9"/>
    <w:rsid w:val="004D774A"/>
    <w:rsid w:val="004D79CC"/>
    <w:rsid w:val="004E157B"/>
    <w:rsid w:val="004E1B08"/>
    <w:rsid w:val="004E3DBD"/>
    <w:rsid w:val="004E5179"/>
    <w:rsid w:val="004E79CB"/>
    <w:rsid w:val="004F00B8"/>
    <w:rsid w:val="004F287F"/>
    <w:rsid w:val="004F3FD0"/>
    <w:rsid w:val="004F5298"/>
    <w:rsid w:val="005012A4"/>
    <w:rsid w:val="00502009"/>
    <w:rsid w:val="00502935"/>
    <w:rsid w:val="005103F3"/>
    <w:rsid w:val="005117DA"/>
    <w:rsid w:val="00511D87"/>
    <w:rsid w:val="005138E8"/>
    <w:rsid w:val="005152C8"/>
    <w:rsid w:val="00515F60"/>
    <w:rsid w:val="00515F8A"/>
    <w:rsid w:val="00521A3A"/>
    <w:rsid w:val="00522DC7"/>
    <w:rsid w:val="00523142"/>
    <w:rsid w:val="00525150"/>
    <w:rsid w:val="00525D67"/>
    <w:rsid w:val="005360DC"/>
    <w:rsid w:val="005408DB"/>
    <w:rsid w:val="00541276"/>
    <w:rsid w:val="0054765B"/>
    <w:rsid w:val="005514FD"/>
    <w:rsid w:val="0055210A"/>
    <w:rsid w:val="00554CF8"/>
    <w:rsid w:val="005565A1"/>
    <w:rsid w:val="005610DF"/>
    <w:rsid w:val="00561553"/>
    <w:rsid w:val="00565AA9"/>
    <w:rsid w:val="00570AF9"/>
    <w:rsid w:val="00572484"/>
    <w:rsid w:val="005769FB"/>
    <w:rsid w:val="00577F96"/>
    <w:rsid w:val="00585E9E"/>
    <w:rsid w:val="00591E02"/>
    <w:rsid w:val="00593DFC"/>
    <w:rsid w:val="0059401A"/>
    <w:rsid w:val="005972A7"/>
    <w:rsid w:val="005A41F2"/>
    <w:rsid w:val="005A6BD1"/>
    <w:rsid w:val="005B129F"/>
    <w:rsid w:val="005B2DB6"/>
    <w:rsid w:val="005B745F"/>
    <w:rsid w:val="005C12BE"/>
    <w:rsid w:val="005C1F15"/>
    <w:rsid w:val="005C36AC"/>
    <w:rsid w:val="005C386B"/>
    <w:rsid w:val="005C3BE4"/>
    <w:rsid w:val="005C6B12"/>
    <w:rsid w:val="005D00D5"/>
    <w:rsid w:val="005D0103"/>
    <w:rsid w:val="005D0607"/>
    <w:rsid w:val="005D40DA"/>
    <w:rsid w:val="005D436A"/>
    <w:rsid w:val="005D45DB"/>
    <w:rsid w:val="005D7796"/>
    <w:rsid w:val="005E05C0"/>
    <w:rsid w:val="005E19F5"/>
    <w:rsid w:val="005E2717"/>
    <w:rsid w:val="005E350E"/>
    <w:rsid w:val="005E6C28"/>
    <w:rsid w:val="005E6CEC"/>
    <w:rsid w:val="005E7975"/>
    <w:rsid w:val="005F188F"/>
    <w:rsid w:val="005F261D"/>
    <w:rsid w:val="005F2BFE"/>
    <w:rsid w:val="005F32E0"/>
    <w:rsid w:val="005F46D9"/>
    <w:rsid w:val="005F550C"/>
    <w:rsid w:val="005F684D"/>
    <w:rsid w:val="005F714E"/>
    <w:rsid w:val="005F71DF"/>
    <w:rsid w:val="005F7724"/>
    <w:rsid w:val="006010E7"/>
    <w:rsid w:val="00601277"/>
    <w:rsid w:val="00603F57"/>
    <w:rsid w:val="0060711B"/>
    <w:rsid w:val="00607DA0"/>
    <w:rsid w:val="00611854"/>
    <w:rsid w:val="0061622D"/>
    <w:rsid w:val="00620FC3"/>
    <w:rsid w:val="00621910"/>
    <w:rsid w:val="00621C55"/>
    <w:rsid w:val="00622156"/>
    <w:rsid w:val="0062246D"/>
    <w:rsid w:val="00622895"/>
    <w:rsid w:val="00623ECF"/>
    <w:rsid w:val="00625966"/>
    <w:rsid w:val="00625EE0"/>
    <w:rsid w:val="00625FA2"/>
    <w:rsid w:val="00631CDE"/>
    <w:rsid w:val="006329FB"/>
    <w:rsid w:val="0063412F"/>
    <w:rsid w:val="00637883"/>
    <w:rsid w:val="00641172"/>
    <w:rsid w:val="00643201"/>
    <w:rsid w:val="00643EDB"/>
    <w:rsid w:val="0064459E"/>
    <w:rsid w:val="00644EE7"/>
    <w:rsid w:val="00647333"/>
    <w:rsid w:val="00652BF2"/>
    <w:rsid w:val="0066490D"/>
    <w:rsid w:val="00665E5B"/>
    <w:rsid w:val="006761E9"/>
    <w:rsid w:val="00680D47"/>
    <w:rsid w:val="00683395"/>
    <w:rsid w:val="0068339C"/>
    <w:rsid w:val="00683562"/>
    <w:rsid w:val="00683727"/>
    <w:rsid w:val="00683CEF"/>
    <w:rsid w:val="0068581E"/>
    <w:rsid w:val="00687369"/>
    <w:rsid w:val="006A11D2"/>
    <w:rsid w:val="006A4746"/>
    <w:rsid w:val="006B1C95"/>
    <w:rsid w:val="006B407C"/>
    <w:rsid w:val="006B50A5"/>
    <w:rsid w:val="006B6149"/>
    <w:rsid w:val="006B7103"/>
    <w:rsid w:val="006B7FE2"/>
    <w:rsid w:val="006C06F3"/>
    <w:rsid w:val="006C0848"/>
    <w:rsid w:val="006C57BA"/>
    <w:rsid w:val="006C7C1B"/>
    <w:rsid w:val="006D18AE"/>
    <w:rsid w:val="006D356D"/>
    <w:rsid w:val="006E0A39"/>
    <w:rsid w:val="006E508F"/>
    <w:rsid w:val="006E597C"/>
    <w:rsid w:val="006E6912"/>
    <w:rsid w:val="006E7579"/>
    <w:rsid w:val="006F1ADA"/>
    <w:rsid w:val="006F4135"/>
    <w:rsid w:val="006F5D9F"/>
    <w:rsid w:val="00700B3D"/>
    <w:rsid w:val="00702117"/>
    <w:rsid w:val="00703A19"/>
    <w:rsid w:val="00704483"/>
    <w:rsid w:val="007051C0"/>
    <w:rsid w:val="007055E1"/>
    <w:rsid w:val="007159A1"/>
    <w:rsid w:val="00717B31"/>
    <w:rsid w:val="0072167A"/>
    <w:rsid w:val="007229F8"/>
    <w:rsid w:val="00722F81"/>
    <w:rsid w:val="00725526"/>
    <w:rsid w:val="00733AAC"/>
    <w:rsid w:val="00734132"/>
    <w:rsid w:val="00734F5B"/>
    <w:rsid w:val="00740F76"/>
    <w:rsid w:val="007442AB"/>
    <w:rsid w:val="00745AA0"/>
    <w:rsid w:val="007507BC"/>
    <w:rsid w:val="007551F3"/>
    <w:rsid w:val="0075713A"/>
    <w:rsid w:val="007578C3"/>
    <w:rsid w:val="0076212A"/>
    <w:rsid w:val="007632B5"/>
    <w:rsid w:val="007634D7"/>
    <w:rsid w:val="00763614"/>
    <w:rsid w:val="00766E93"/>
    <w:rsid w:val="00770A31"/>
    <w:rsid w:val="00775003"/>
    <w:rsid w:val="00775BCE"/>
    <w:rsid w:val="007831FC"/>
    <w:rsid w:val="007919B7"/>
    <w:rsid w:val="0079319E"/>
    <w:rsid w:val="00793552"/>
    <w:rsid w:val="007942EA"/>
    <w:rsid w:val="00795057"/>
    <w:rsid w:val="007958C1"/>
    <w:rsid w:val="007959F7"/>
    <w:rsid w:val="007A1486"/>
    <w:rsid w:val="007A2396"/>
    <w:rsid w:val="007A2436"/>
    <w:rsid w:val="007A30FC"/>
    <w:rsid w:val="007A5966"/>
    <w:rsid w:val="007A5DF5"/>
    <w:rsid w:val="007A61F8"/>
    <w:rsid w:val="007A6828"/>
    <w:rsid w:val="007A6BFC"/>
    <w:rsid w:val="007B2383"/>
    <w:rsid w:val="007B2FF1"/>
    <w:rsid w:val="007B3043"/>
    <w:rsid w:val="007B6FEE"/>
    <w:rsid w:val="007C076B"/>
    <w:rsid w:val="007C1CF9"/>
    <w:rsid w:val="007C4A3B"/>
    <w:rsid w:val="007C4F25"/>
    <w:rsid w:val="007D328A"/>
    <w:rsid w:val="007D740C"/>
    <w:rsid w:val="007D7619"/>
    <w:rsid w:val="007E3CE0"/>
    <w:rsid w:val="007F2641"/>
    <w:rsid w:val="007F354E"/>
    <w:rsid w:val="007F4C94"/>
    <w:rsid w:val="007F5DF5"/>
    <w:rsid w:val="007F66C9"/>
    <w:rsid w:val="007F7258"/>
    <w:rsid w:val="008002F5"/>
    <w:rsid w:val="00802EE6"/>
    <w:rsid w:val="00807664"/>
    <w:rsid w:val="0080789E"/>
    <w:rsid w:val="00812150"/>
    <w:rsid w:val="00813BB7"/>
    <w:rsid w:val="008159B3"/>
    <w:rsid w:val="00817EB5"/>
    <w:rsid w:val="00821050"/>
    <w:rsid w:val="00821D3A"/>
    <w:rsid w:val="008239CF"/>
    <w:rsid w:val="00827BCA"/>
    <w:rsid w:val="00831DB0"/>
    <w:rsid w:val="0083488C"/>
    <w:rsid w:val="00836C89"/>
    <w:rsid w:val="00840674"/>
    <w:rsid w:val="008427AB"/>
    <w:rsid w:val="008456FA"/>
    <w:rsid w:val="00850EBF"/>
    <w:rsid w:val="00851E16"/>
    <w:rsid w:val="0085337F"/>
    <w:rsid w:val="008544BE"/>
    <w:rsid w:val="00854A3B"/>
    <w:rsid w:val="00857B26"/>
    <w:rsid w:val="00857FE5"/>
    <w:rsid w:val="0086081C"/>
    <w:rsid w:val="008621B9"/>
    <w:rsid w:val="00864AEA"/>
    <w:rsid w:val="00870759"/>
    <w:rsid w:val="00871641"/>
    <w:rsid w:val="0087241D"/>
    <w:rsid w:val="00875271"/>
    <w:rsid w:val="008761A9"/>
    <w:rsid w:val="00876768"/>
    <w:rsid w:val="008776A0"/>
    <w:rsid w:val="00877B5F"/>
    <w:rsid w:val="00877F46"/>
    <w:rsid w:val="00881584"/>
    <w:rsid w:val="00881690"/>
    <w:rsid w:val="00881A67"/>
    <w:rsid w:val="00882C8A"/>
    <w:rsid w:val="00882C9C"/>
    <w:rsid w:val="00883A95"/>
    <w:rsid w:val="00886B5A"/>
    <w:rsid w:val="00887894"/>
    <w:rsid w:val="00890CBD"/>
    <w:rsid w:val="008946B9"/>
    <w:rsid w:val="00896214"/>
    <w:rsid w:val="008A1AE4"/>
    <w:rsid w:val="008A55F6"/>
    <w:rsid w:val="008A5E3F"/>
    <w:rsid w:val="008A6E1C"/>
    <w:rsid w:val="008B16F2"/>
    <w:rsid w:val="008B3460"/>
    <w:rsid w:val="008B37C7"/>
    <w:rsid w:val="008B414C"/>
    <w:rsid w:val="008B41A5"/>
    <w:rsid w:val="008B6C2E"/>
    <w:rsid w:val="008C2870"/>
    <w:rsid w:val="008C6BDE"/>
    <w:rsid w:val="008C6BED"/>
    <w:rsid w:val="008C7095"/>
    <w:rsid w:val="008D18B3"/>
    <w:rsid w:val="008D3578"/>
    <w:rsid w:val="008D46D5"/>
    <w:rsid w:val="008D4E14"/>
    <w:rsid w:val="008D51DF"/>
    <w:rsid w:val="008D6EEE"/>
    <w:rsid w:val="008D7249"/>
    <w:rsid w:val="008E2C65"/>
    <w:rsid w:val="008E3EC7"/>
    <w:rsid w:val="008E427A"/>
    <w:rsid w:val="008E4A8E"/>
    <w:rsid w:val="008F3D0A"/>
    <w:rsid w:val="008F5D24"/>
    <w:rsid w:val="008F7D5B"/>
    <w:rsid w:val="00903AFC"/>
    <w:rsid w:val="00903E91"/>
    <w:rsid w:val="00906869"/>
    <w:rsid w:val="00910B33"/>
    <w:rsid w:val="00912059"/>
    <w:rsid w:val="00913EA6"/>
    <w:rsid w:val="00916778"/>
    <w:rsid w:val="00916C36"/>
    <w:rsid w:val="009200D4"/>
    <w:rsid w:val="00927592"/>
    <w:rsid w:val="0093139A"/>
    <w:rsid w:val="009315E3"/>
    <w:rsid w:val="0093475F"/>
    <w:rsid w:val="009354A7"/>
    <w:rsid w:val="00935ABC"/>
    <w:rsid w:val="00940253"/>
    <w:rsid w:val="0094385A"/>
    <w:rsid w:val="009439F4"/>
    <w:rsid w:val="00943AEC"/>
    <w:rsid w:val="00945E7C"/>
    <w:rsid w:val="009461DF"/>
    <w:rsid w:val="009516BC"/>
    <w:rsid w:val="0095256B"/>
    <w:rsid w:val="00956F56"/>
    <w:rsid w:val="00961580"/>
    <w:rsid w:val="00970558"/>
    <w:rsid w:val="0097281C"/>
    <w:rsid w:val="00975090"/>
    <w:rsid w:val="00975639"/>
    <w:rsid w:val="00975831"/>
    <w:rsid w:val="00982C89"/>
    <w:rsid w:val="009835B4"/>
    <w:rsid w:val="00983F94"/>
    <w:rsid w:val="00984EF5"/>
    <w:rsid w:val="00987716"/>
    <w:rsid w:val="00991817"/>
    <w:rsid w:val="0099216A"/>
    <w:rsid w:val="00994697"/>
    <w:rsid w:val="0099590C"/>
    <w:rsid w:val="0099629F"/>
    <w:rsid w:val="0099700B"/>
    <w:rsid w:val="00997231"/>
    <w:rsid w:val="00997996"/>
    <w:rsid w:val="009A045C"/>
    <w:rsid w:val="009A058A"/>
    <w:rsid w:val="009A2256"/>
    <w:rsid w:val="009A3994"/>
    <w:rsid w:val="009A4A00"/>
    <w:rsid w:val="009A55D7"/>
    <w:rsid w:val="009A61DA"/>
    <w:rsid w:val="009A7C71"/>
    <w:rsid w:val="009B0668"/>
    <w:rsid w:val="009B39F2"/>
    <w:rsid w:val="009B4924"/>
    <w:rsid w:val="009B5D77"/>
    <w:rsid w:val="009C086E"/>
    <w:rsid w:val="009C29F0"/>
    <w:rsid w:val="009D2B9B"/>
    <w:rsid w:val="009D46AF"/>
    <w:rsid w:val="009D4C03"/>
    <w:rsid w:val="009E15BC"/>
    <w:rsid w:val="009E48EA"/>
    <w:rsid w:val="009F2364"/>
    <w:rsid w:val="009F4342"/>
    <w:rsid w:val="009F4D88"/>
    <w:rsid w:val="009F7C57"/>
    <w:rsid w:val="00A00105"/>
    <w:rsid w:val="00A02920"/>
    <w:rsid w:val="00A044BB"/>
    <w:rsid w:val="00A051F2"/>
    <w:rsid w:val="00A05DA3"/>
    <w:rsid w:val="00A06A73"/>
    <w:rsid w:val="00A11149"/>
    <w:rsid w:val="00A11803"/>
    <w:rsid w:val="00A12B2E"/>
    <w:rsid w:val="00A15AEC"/>
    <w:rsid w:val="00A164AB"/>
    <w:rsid w:val="00A1795A"/>
    <w:rsid w:val="00A17D7E"/>
    <w:rsid w:val="00A20366"/>
    <w:rsid w:val="00A221E4"/>
    <w:rsid w:val="00A278FC"/>
    <w:rsid w:val="00A30586"/>
    <w:rsid w:val="00A34A8D"/>
    <w:rsid w:val="00A36B46"/>
    <w:rsid w:val="00A428BD"/>
    <w:rsid w:val="00A42DF8"/>
    <w:rsid w:val="00A430B3"/>
    <w:rsid w:val="00A43414"/>
    <w:rsid w:val="00A456F8"/>
    <w:rsid w:val="00A46A2F"/>
    <w:rsid w:val="00A51F37"/>
    <w:rsid w:val="00A538B9"/>
    <w:rsid w:val="00A568CB"/>
    <w:rsid w:val="00A64AEA"/>
    <w:rsid w:val="00A64B33"/>
    <w:rsid w:val="00A65477"/>
    <w:rsid w:val="00A65854"/>
    <w:rsid w:val="00A71353"/>
    <w:rsid w:val="00A71465"/>
    <w:rsid w:val="00A726CC"/>
    <w:rsid w:val="00A7439A"/>
    <w:rsid w:val="00A74853"/>
    <w:rsid w:val="00A74B7A"/>
    <w:rsid w:val="00A75D4A"/>
    <w:rsid w:val="00A778B4"/>
    <w:rsid w:val="00A879A3"/>
    <w:rsid w:val="00A93C17"/>
    <w:rsid w:val="00A942F5"/>
    <w:rsid w:val="00A947B4"/>
    <w:rsid w:val="00AA0AE6"/>
    <w:rsid w:val="00AA15CB"/>
    <w:rsid w:val="00AA1E5A"/>
    <w:rsid w:val="00AA427F"/>
    <w:rsid w:val="00AB1B0E"/>
    <w:rsid w:val="00AB20AD"/>
    <w:rsid w:val="00AB6578"/>
    <w:rsid w:val="00AC2F98"/>
    <w:rsid w:val="00AC5F4E"/>
    <w:rsid w:val="00AD406B"/>
    <w:rsid w:val="00AD4296"/>
    <w:rsid w:val="00AD67A5"/>
    <w:rsid w:val="00AE120E"/>
    <w:rsid w:val="00AE5C03"/>
    <w:rsid w:val="00AE7F3A"/>
    <w:rsid w:val="00AF2269"/>
    <w:rsid w:val="00AF3241"/>
    <w:rsid w:val="00AF3580"/>
    <w:rsid w:val="00AF70D2"/>
    <w:rsid w:val="00AF73E6"/>
    <w:rsid w:val="00B009E6"/>
    <w:rsid w:val="00B01290"/>
    <w:rsid w:val="00B01D60"/>
    <w:rsid w:val="00B04984"/>
    <w:rsid w:val="00B05CDD"/>
    <w:rsid w:val="00B10E62"/>
    <w:rsid w:val="00B1214E"/>
    <w:rsid w:val="00B139D3"/>
    <w:rsid w:val="00B21186"/>
    <w:rsid w:val="00B21D32"/>
    <w:rsid w:val="00B27504"/>
    <w:rsid w:val="00B27569"/>
    <w:rsid w:val="00B332CD"/>
    <w:rsid w:val="00B34672"/>
    <w:rsid w:val="00B353E0"/>
    <w:rsid w:val="00B412F1"/>
    <w:rsid w:val="00B435E8"/>
    <w:rsid w:val="00B452D5"/>
    <w:rsid w:val="00B46B02"/>
    <w:rsid w:val="00B524C2"/>
    <w:rsid w:val="00B52572"/>
    <w:rsid w:val="00B53158"/>
    <w:rsid w:val="00B54617"/>
    <w:rsid w:val="00B564A3"/>
    <w:rsid w:val="00B56996"/>
    <w:rsid w:val="00B639FD"/>
    <w:rsid w:val="00B64F1C"/>
    <w:rsid w:val="00B657A7"/>
    <w:rsid w:val="00B66EA4"/>
    <w:rsid w:val="00B702CD"/>
    <w:rsid w:val="00B710F6"/>
    <w:rsid w:val="00B75052"/>
    <w:rsid w:val="00B7667C"/>
    <w:rsid w:val="00B82657"/>
    <w:rsid w:val="00B83DEC"/>
    <w:rsid w:val="00B872C6"/>
    <w:rsid w:val="00B9166F"/>
    <w:rsid w:val="00B91DBE"/>
    <w:rsid w:val="00B91FC4"/>
    <w:rsid w:val="00B9307A"/>
    <w:rsid w:val="00B942C0"/>
    <w:rsid w:val="00B95F0F"/>
    <w:rsid w:val="00B96F41"/>
    <w:rsid w:val="00BA3CA2"/>
    <w:rsid w:val="00BA586B"/>
    <w:rsid w:val="00BA5BFC"/>
    <w:rsid w:val="00BA73A8"/>
    <w:rsid w:val="00BB630C"/>
    <w:rsid w:val="00BC37BB"/>
    <w:rsid w:val="00BC3B85"/>
    <w:rsid w:val="00BC52C8"/>
    <w:rsid w:val="00BD0B18"/>
    <w:rsid w:val="00BD1E5F"/>
    <w:rsid w:val="00BD23E6"/>
    <w:rsid w:val="00BD2AC3"/>
    <w:rsid w:val="00BD4A44"/>
    <w:rsid w:val="00BE0128"/>
    <w:rsid w:val="00BE1A39"/>
    <w:rsid w:val="00BE2140"/>
    <w:rsid w:val="00BE4313"/>
    <w:rsid w:val="00BE5B7D"/>
    <w:rsid w:val="00BE7FC3"/>
    <w:rsid w:val="00BF150D"/>
    <w:rsid w:val="00BF374C"/>
    <w:rsid w:val="00BF38DF"/>
    <w:rsid w:val="00BF452D"/>
    <w:rsid w:val="00BF55ED"/>
    <w:rsid w:val="00BF5C00"/>
    <w:rsid w:val="00C05110"/>
    <w:rsid w:val="00C06609"/>
    <w:rsid w:val="00C077D5"/>
    <w:rsid w:val="00C103E1"/>
    <w:rsid w:val="00C10CA3"/>
    <w:rsid w:val="00C110E4"/>
    <w:rsid w:val="00C119E3"/>
    <w:rsid w:val="00C124E6"/>
    <w:rsid w:val="00C128F8"/>
    <w:rsid w:val="00C136DC"/>
    <w:rsid w:val="00C1771F"/>
    <w:rsid w:val="00C277E6"/>
    <w:rsid w:val="00C33D5C"/>
    <w:rsid w:val="00C35EE4"/>
    <w:rsid w:val="00C3642D"/>
    <w:rsid w:val="00C373A9"/>
    <w:rsid w:val="00C375AE"/>
    <w:rsid w:val="00C37E3A"/>
    <w:rsid w:val="00C4022F"/>
    <w:rsid w:val="00C5123B"/>
    <w:rsid w:val="00C517CF"/>
    <w:rsid w:val="00C526ED"/>
    <w:rsid w:val="00C53B37"/>
    <w:rsid w:val="00C60D09"/>
    <w:rsid w:val="00C618D5"/>
    <w:rsid w:val="00C61A8D"/>
    <w:rsid w:val="00C61CA8"/>
    <w:rsid w:val="00C6225E"/>
    <w:rsid w:val="00C62C58"/>
    <w:rsid w:val="00C630BC"/>
    <w:rsid w:val="00C6442E"/>
    <w:rsid w:val="00C64CE2"/>
    <w:rsid w:val="00C707F4"/>
    <w:rsid w:val="00C71907"/>
    <w:rsid w:val="00C756CD"/>
    <w:rsid w:val="00C75843"/>
    <w:rsid w:val="00C778BE"/>
    <w:rsid w:val="00C77D26"/>
    <w:rsid w:val="00C80EF1"/>
    <w:rsid w:val="00C815A5"/>
    <w:rsid w:val="00C82CC5"/>
    <w:rsid w:val="00C83810"/>
    <w:rsid w:val="00C84E78"/>
    <w:rsid w:val="00C85C28"/>
    <w:rsid w:val="00C86547"/>
    <w:rsid w:val="00C870F8"/>
    <w:rsid w:val="00C90119"/>
    <w:rsid w:val="00C902A0"/>
    <w:rsid w:val="00C90FED"/>
    <w:rsid w:val="00C93BA2"/>
    <w:rsid w:val="00C94F64"/>
    <w:rsid w:val="00C97746"/>
    <w:rsid w:val="00CA0061"/>
    <w:rsid w:val="00CA33ED"/>
    <w:rsid w:val="00CB3156"/>
    <w:rsid w:val="00CB3422"/>
    <w:rsid w:val="00CB353B"/>
    <w:rsid w:val="00CC082F"/>
    <w:rsid w:val="00CC0D0B"/>
    <w:rsid w:val="00CC1651"/>
    <w:rsid w:val="00CC4818"/>
    <w:rsid w:val="00CC6060"/>
    <w:rsid w:val="00CC7589"/>
    <w:rsid w:val="00CC7F33"/>
    <w:rsid w:val="00CD15D0"/>
    <w:rsid w:val="00CD3383"/>
    <w:rsid w:val="00CD61F3"/>
    <w:rsid w:val="00CE143E"/>
    <w:rsid w:val="00CE1A77"/>
    <w:rsid w:val="00CE722B"/>
    <w:rsid w:val="00CF08FE"/>
    <w:rsid w:val="00CF425B"/>
    <w:rsid w:val="00CF5699"/>
    <w:rsid w:val="00CF5DCF"/>
    <w:rsid w:val="00CF775C"/>
    <w:rsid w:val="00D00734"/>
    <w:rsid w:val="00D01096"/>
    <w:rsid w:val="00D03039"/>
    <w:rsid w:val="00D04A89"/>
    <w:rsid w:val="00D078A2"/>
    <w:rsid w:val="00D07EDA"/>
    <w:rsid w:val="00D10569"/>
    <w:rsid w:val="00D13D1C"/>
    <w:rsid w:val="00D17254"/>
    <w:rsid w:val="00D335B3"/>
    <w:rsid w:val="00D35318"/>
    <w:rsid w:val="00D353F7"/>
    <w:rsid w:val="00D37455"/>
    <w:rsid w:val="00D37BAA"/>
    <w:rsid w:val="00D41619"/>
    <w:rsid w:val="00D41D34"/>
    <w:rsid w:val="00D45AB9"/>
    <w:rsid w:val="00D469BC"/>
    <w:rsid w:val="00D46E0C"/>
    <w:rsid w:val="00D47333"/>
    <w:rsid w:val="00D500BD"/>
    <w:rsid w:val="00D5063B"/>
    <w:rsid w:val="00D513C6"/>
    <w:rsid w:val="00D5348A"/>
    <w:rsid w:val="00D54143"/>
    <w:rsid w:val="00D5503B"/>
    <w:rsid w:val="00D559F8"/>
    <w:rsid w:val="00D61173"/>
    <w:rsid w:val="00D61433"/>
    <w:rsid w:val="00D6419F"/>
    <w:rsid w:val="00D64430"/>
    <w:rsid w:val="00D654CE"/>
    <w:rsid w:val="00D65FB1"/>
    <w:rsid w:val="00D702E3"/>
    <w:rsid w:val="00D728CB"/>
    <w:rsid w:val="00D739F6"/>
    <w:rsid w:val="00D74645"/>
    <w:rsid w:val="00D751F1"/>
    <w:rsid w:val="00D7520E"/>
    <w:rsid w:val="00D752E5"/>
    <w:rsid w:val="00D76FF1"/>
    <w:rsid w:val="00D81F9F"/>
    <w:rsid w:val="00D8774F"/>
    <w:rsid w:val="00D917C7"/>
    <w:rsid w:val="00D91B17"/>
    <w:rsid w:val="00D91B22"/>
    <w:rsid w:val="00D93A2E"/>
    <w:rsid w:val="00D943EA"/>
    <w:rsid w:val="00D97FFD"/>
    <w:rsid w:val="00DA3AC0"/>
    <w:rsid w:val="00DA45D3"/>
    <w:rsid w:val="00DA5DB7"/>
    <w:rsid w:val="00DA60EA"/>
    <w:rsid w:val="00DB32EB"/>
    <w:rsid w:val="00DB3D98"/>
    <w:rsid w:val="00DB3DCC"/>
    <w:rsid w:val="00DB7695"/>
    <w:rsid w:val="00DC37BC"/>
    <w:rsid w:val="00DC6A75"/>
    <w:rsid w:val="00DD0A1C"/>
    <w:rsid w:val="00DD4F02"/>
    <w:rsid w:val="00DD620F"/>
    <w:rsid w:val="00DD6FD8"/>
    <w:rsid w:val="00DE0521"/>
    <w:rsid w:val="00DE0EE8"/>
    <w:rsid w:val="00DE24EC"/>
    <w:rsid w:val="00DE32B3"/>
    <w:rsid w:val="00DE46C2"/>
    <w:rsid w:val="00DE46D1"/>
    <w:rsid w:val="00DE507A"/>
    <w:rsid w:val="00DE6E71"/>
    <w:rsid w:val="00DF10D8"/>
    <w:rsid w:val="00DF4928"/>
    <w:rsid w:val="00DF5AC2"/>
    <w:rsid w:val="00DF6218"/>
    <w:rsid w:val="00DF7E26"/>
    <w:rsid w:val="00E027EC"/>
    <w:rsid w:val="00E0599F"/>
    <w:rsid w:val="00E10817"/>
    <w:rsid w:val="00E13070"/>
    <w:rsid w:val="00E138E8"/>
    <w:rsid w:val="00E1411D"/>
    <w:rsid w:val="00E15188"/>
    <w:rsid w:val="00E1570A"/>
    <w:rsid w:val="00E17A62"/>
    <w:rsid w:val="00E21F94"/>
    <w:rsid w:val="00E22777"/>
    <w:rsid w:val="00E236E8"/>
    <w:rsid w:val="00E23794"/>
    <w:rsid w:val="00E23F61"/>
    <w:rsid w:val="00E24BEB"/>
    <w:rsid w:val="00E254A6"/>
    <w:rsid w:val="00E2799C"/>
    <w:rsid w:val="00E31A98"/>
    <w:rsid w:val="00E34025"/>
    <w:rsid w:val="00E34F21"/>
    <w:rsid w:val="00E358FE"/>
    <w:rsid w:val="00E368C4"/>
    <w:rsid w:val="00E36F52"/>
    <w:rsid w:val="00E3738C"/>
    <w:rsid w:val="00E40C56"/>
    <w:rsid w:val="00E41D9C"/>
    <w:rsid w:val="00E46439"/>
    <w:rsid w:val="00E47381"/>
    <w:rsid w:val="00E50F72"/>
    <w:rsid w:val="00E52E4F"/>
    <w:rsid w:val="00E53854"/>
    <w:rsid w:val="00E5496B"/>
    <w:rsid w:val="00E54F94"/>
    <w:rsid w:val="00E56D5B"/>
    <w:rsid w:val="00E61B70"/>
    <w:rsid w:val="00E62A98"/>
    <w:rsid w:val="00E63FCD"/>
    <w:rsid w:val="00E659D6"/>
    <w:rsid w:val="00E67F7D"/>
    <w:rsid w:val="00E73178"/>
    <w:rsid w:val="00E7356C"/>
    <w:rsid w:val="00E7678D"/>
    <w:rsid w:val="00E76B1D"/>
    <w:rsid w:val="00E8178C"/>
    <w:rsid w:val="00E8666C"/>
    <w:rsid w:val="00E974AF"/>
    <w:rsid w:val="00E9763D"/>
    <w:rsid w:val="00E97654"/>
    <w:rsid w:val="00E97BF4"/>
    <w:rsid w:val="00EA0D63"/>
    <w:rsid w:val="00EA1E37"/>
    <w:rsid w:val="00EA38BC"/>
    <w:rsid w:val="00EA449E"/>
    <w:rsid w:val="00EA7B53"/>
    <w:rsid w:val="00EB1515"/>
    <w:rsid w:val="00EB1DDB"/>
    <w:rsid w:val="00EB29C4"/>
    <w:rsid w:val="00EB3786"/>
    <w:rsid w:val="00EB3B3B"/>
    <w:rsid w:val="00EB5553"/>
    <w:rsid w:val="00EC0C8C"/>
    <w:rsid w:val="00EC337F"/>
    <w:rsid w:val="00EC4072"/>
    <w:rsid w:val="00EC50CD"/>
    <w:rsid w:val="00EC68E4"/>
    <w:rsid w:val="00EC766D"/>
    <w:rsid w:val="00ED1BDD"/>
    <w:rsid w:val="00ED39D5"/>
    <w:rsid w:val="00ED3AE5"/>
    <w:rsid w:val="00ED586D"/>
    <w:rsid w:val="00ED6A49"/>
    <w:rsid w:val="00ED7645"/>
    <w:rsid w:val="00EE18E0"/>
    <w:rsid w:val="00EE609E"/>
    <w:rsid w:val="00EF6F28"/>
    <w:rsid w:val="00EF70FC"/>
    <w:rsid w:val="00EF725E"/>
    <w:rsid w:val="00F0176C"/>
    <w:rsid w:val="00F026A9"/>
    <w:rsid w:val="00F0500B"/>
    <w:rsid w:val="00F062AB"/>
    <w:rsid w:val="00F06AD4"/>
    <w:rsid w:val="00F06C74"/>
    <w:rsid w:val="00F10D46"/>
    <w:rsid w:val="00F13A49"/>
    <w:rsid w:val="00F14AAD"/>
    <w:rsid w:val="00F151B9"/>
    <w:rsid w:val="00F15207"/>
    <w:rsid w:val="00F175D0"/>
    <w:rsid w:val="00F17BB1"/>
    <w:rsid w:val="00F20477"/>
    <w:rsid w:val="00F21946"/>
    <w:rsid w:val="00F22FD7"/>
    <w:rsid w:val="00F265FF"/>
    <w:rsid w:val="00F30616"/>
    <w:rsid w:val="00F31C05"/>
    <w:rsid w:val="00F34397"/>
    <w:rsid w:val="00F348A5"/>
    <w:rsid w:val="00F35ECF"/>
    <w:rsid w:val="00F377E1"/>
    <w:rsid w:val="00F41145"/>
    <w:rsid w:val="00F41E33"/>
    <w:rsid w:val="00F44879"/>
    <w:rsid w:val="00F465E4"/>
    <w:rsid w:val="00F47A83"/>
    <w:rsid w:val="00F504FB"/>
    <w:rsid w:val="00F514B1"/>
    <w:rsid w:val="00F533D8"/>
    <w:rsid w:val="00F53F7D"/>
    <w:rsid w:val="00F55BA7"/>
    <w:rsid w:val="00F61785"/>
    <w:rsid w:val="00F652EE"/>
    <w:rsid w:val="00F65B4F"/>
    <w:rsid w:val="00F67304"/>
    <w:rsid w:val="00F6757C"/>
    <w:rsid w:val="00F73979"/>
    <w:rsid w:val="00F80E58"/>
    <w:rsid w:val="00F861B2"/>
    <w:rsid w:val="00F92C61"/>
    <w:rsid w:val="00F94C23"/>
    <w:rsid w:val="00F96406"/>
    <w:rsid w:val="00FA407F"/>
    <w:rsid w:val="00FA57E6"/>
    <w:rsid w:val="00FA72B8"/>
    <w:rsid w:val="00FB266D"/>
    <w:rsid w:val="00FB2D0D"/>
    <w:rsid w:val="00FB39D5"/>
    <w:rsid w:val="00FB7DAB"/>
    <w:rsid w:val="00FC0D9B"/>
    <w:rsid w:val="00FC198C"/>
    <w:rsid w:val="00FC24FE"/>
    <w:rsid w:val="00FC5168"/>
    <w:rsid w:val="00FD3FC0"/>
    <w:rsid w:val="00FD6184"/>
    <w:rsid w:val="00FE3418"/>
    <w:rsid w:val="00FE4FD0"/>
    <w:rsid w:val="00FE7516"/>
    <w:rsid w:val="00FE7FA9"/>
    <w:rsid w:val="00FF047B"/>
    <w:rsid w:val="00FF64B2"/>
    <w:rsid w:val="00FF7297"/>
    <w:rsid w:val="00FF731D"/>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810D6"/>
  <w15:chartTrackingRefBased/>
  <w15:docId w15:val="{82A0AF3C-7099-4289-97D8-6BF5B65D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w:qFormat="1"/>
    <w:lsdException w:name="Subtitle" w:qFormat="1"/>
    <w:lsdException w:name="Date" w:qFormat="1"/>
    <w:lsdException w:name="Body Text 2"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160"/>
    <w:pPr>
      <w:autoSpaceDE w:val="0"/>
      <w:autoSpaceDN w:val="0"/>
      <w:adjustRightInd w:val="0"/>
    </w:pPr>
    <w:rPr>
      <w:rFonts w:ascii="Lucida Bright" w:hAnsi="Lucida Bright"/>
      <w:sz w:val="22"/>
      <w:szCs w:val="24"/>
    </w:rPr>
  </w:style>
  <w:style w:type="paragraph" w:styleId="Heading1">
    <w:name w:val="heading 1"/>
    <w:basedOn w:val="BodyText"/>
    <w:next w:val="Normal"/>
    <w:link w:val="Heading1Char"/>
    <w:autoRedefine/>
    <w:qFormat/>
    <w:rsid w:val="00F265FF"/>
    <w:pPr>
      <w:spacing w:before="360"/>
      <w:contextualSpacing/>
      <w:outlineLvl w:val="0"/>
    </w:pPr>
    <w:rPr>
      <w:rFonts w:ascii="Verdana" w:eastAsiaTheme="majorEastAsia" w:hAnsi="Verdan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B7FE2"/>
    <w:pPr>
      <w:tabs>
        <w:tab w:val="center" w:pos="4320"/>
        <w:tab w:val="right" w:pos="8640"/>
      </w:tabs>
    </w:pPr>
  </w:style>
  <w:style w:type="paragraph" w:styleId="Footer">
    <w:name w:val="footer"/>
    <w:basedOn w:val="BodyText"/>
    <w:link w:val="FooterChar"/>
    <w:autoRedefine/>
    <w:uiPriority w:val="99"/>
    <w:qFormat/>
    <w:rsid w:val="00745AA0"/>
    <w:pPr>
      <w:tabs>
        <w:tab w:val="center" w:pos="4320"/>
        <w:tab w:val="right" w:pos="8640"/>
      </w:tabs>
      <w:spacing w:after="0"/>
      <w:jc w:val="center"/>
    </w:pPr>
    <w:rPr>
      <w:sz w:val="18"/>
      <w:lang w:val="x-none" w:eastAsia="x-none"/>
    </w:rPr>
  </w:style>
  <w:style w:type="paragraph" w:styleId="BalloonText">
    <w:name w:val="Balloon Text"/>
    <w:basedOn w:val="Normal"/>
    <w:semiHidden/>
    <w:rsid w:val="00D65FB1"/>
    <w:rPr>
      <w:rFonts w:ascii="Tahoma" w:hAnsi="Tahoma" w:cs="Tahoma"/>
      <w:sz w:val="16"/>
      <w:szCs w:val="16"/>
    </w:rPr>
  </w:style>
  <w:style w:type="character" w:styleId="Hyperlink">
    <w:name w:val="Hyperlink"/>
    <w:rsid w:val="000069B6"/>
    <w:rPr>
      <w:color w:val="0000FF"/>
      <w:u w:val="single"/>
    </w:rPr>
  </w:style>
  <w:style w:type="character" w:styleId="Strong">
    <w:name w:val="Strong"/>
    <w:qFormat/>
    <w:rsid w:val="000069B6"/>
    <w:rPr>
      <w:b/>
      <w:bCs/>
    </w:rPr>
  </w:style>
  <w:style w:type="character" w:styleId="CommentReference">
    <w:name w:val="annotation reference"/>
    <w:rsid w:val="00497792"/>
    <w:rPr>
      <w:sz w:val="16"/>
      <w:szCs w:val="16"/>
    </w:rPr>
  </w:style>
  <w:style w:type="paragraph" w:styleId="CommentText">
    <w:name w:val="annotation text"/>
    <w:basedOn w:val="Normal"/>
    <w:link w:val="CommentTextChar"/>
    <w:rsid w:val="00497792"/>
    <w:rPr>
      <w:sz w:val="20"/>
      <w:szCs w:val="20"/>
      <w:lang w:val="x-none" w:eastAsia="x-none"/>
    </w:rPr>
  </w:style>
  <w:style w:type="character" w:customStyle="1" w:styleId="CommentTextChar">
    <w:name w:val="Comment Text Char"/>
    <w:link w:val="CommentText"/>
    <w:rsid w:val="00497792"/>
    <w:rPr>
      <w:rFonts w:ascii="CG Times" w:hAnsi="CG Times"/>
    </w:rPr>
  </w:style>
  <w:style w:type="paragraph" w:styleId="CommentSubject">
    <w:name w:val="annotation subject"/>
    <w:basedOn w:val="CommentText"/>
    <w:next w:val="CommentText"/>
    <w:link w:val="CommentSubjectChar"/>
    <w:rsid w:val="00497792"/>
    <w:rPr>
      <w:b/>
      <w:bCs/>
    </w:rPr>
  </w:style>
  <w:style w:type="character" w:customStyle="1" w:styleId="CommentSubjectChar">
    <w:name w:val="Comment Subject Char"/>
    <w:link w:val="CommentSubject"/>
    <w:rsid w:val="00497792"/>
    <w:rPr>
      <w:rFonts w:ascii="CG Times" w:hAnsi="CG Times"/>
      <w:b/>
      <w:bCs/>
    </w:rPr>
  </w:style>
  <w:style w:type="paragraph" w:styleId="BodyText">
    <w:name w:val="Body Text"/>
    <w:basedOn w:val="Normal"/>
    <w:link w:val="BodyTextChar"/>
    <w:autoRedefine/>
    <w:qFormat/>
    <w:rsid w:val="002B061F"/>
    <w:pPr>
      <w:spacing w:before="120" w:after="120"/>
    </w:pPr>
    <w:rPr>
      <w:rFonts w:eastAsia="Calibri"/>
    </w:rPr>
  </w:style>
  <w:style w:type="character" w:customStyle="1" w:styleId="BodyTextChar">
    <w:name w:val="Body Text Char"/>
    <w:link w:val="BodyText"/>
    <w:rsid w:val="002B061F"/>
    <w:rPr>
      <w:rFonts w:ascii="Lucida Bright" w:eastAsia="Calibri" w:hAnsi="Lucida Bright"/>
      <w:sz w:val="22"/>
      <w:szCs w:val="24"/>
    </w:rPr>
  </w:style>
  <w:style w:type="character" w:customStyle="1" w:styleId="FooterChar">
    <w:name w:val="Footer Char"/>
    <w:link w:val="Footer"/>
    <w:uiPriority w:val="99"/>
    <w:rsid w:val="00745AA0"/>
    <w:rPr>
      <w:rFonts w:ascii="Lucida Bright" w:eastAsia="Calibri" w:hAnsi="Lucida Bright"/>
      <w:sz w:val="18"/>
      <w:szCs w:val="24"/>
      <w:lang w:val="x-none" w:eastAsia="x-none"/>
    </w:rPr>
  </w:style>
  <w:style w:type="paragraph" w:styleId="Revision">
    <w:name w:val="Revision"/>
    <w:hidden/>
    <w:uiPriority w:val="99"/>
    <w:semiHidden/>
    <w:rsid w:val="004F00B8"/>
    <w:rPr>
      <w:rFonts w:ascii="CG Times" w:hAnsi="CG Times"/>
      <w:sz w:val="24"/>
      <w:szCs w:val="24"/>
    </w:rPr>
  </w:style>
  <w:style w:type="paragraph" w:styleId="Title">
    <w:name w:val="Title"/>
    <w:basedOn w:val="BodyText"/>
    <w:next w:val="Normal"/>
    <w:link w:val="TitleChar"/>
    <w:autoRedefine/>
    <w:qFormat/>
    <w:rsid w:val="0039389D"/>
    <w:pPr>
      <w:spacing w:before="480" w:after="600"/>
      <w:contextualSpacing/>
      <w:jc w:val="center"/>
      <w:outlineLvl w:val="0"/>
    </w:pPr>
    <w:rPr>
      <w:rFonts w:ascii="Verdana" w:eastAsiaTheme="majorEastAsia" w:hAnsi="Verdana" w:cstheme="majorBidi"/>
      <w:b/>
      <w:bCs/>
      <w:kern w:val="28"/>
      <w:sz w:val="36"/>
      <w:szCs w:val="32"/>
    </w:rPr>
  </w:style>
  <w:style w:type="character" w:customStyle="1" w:styleId="TitleChar">
    <w:name w:val="Title Char"/>
    <w:basedOn w:val="DefaultParagraphFont"/>
    <w:link w:val="Title"/>
    <w:rsid w:val="0039389D"/>
    <w:rPr>
      <w:rFonts w:ascii="Verdana" w:eastAsiaTheme="majorEastAsia" w:hAnsi="Verdana" w:cstheme="majorBidi"/>
      <w:b/>
      <w:bCs/>
      <w:kern w:val="28"/>
      <w:sz w:val="36"/>
      <w:szCs w:val="32"/>
    </w:rPr>
  </w:style>
  <w:style w:type="paragraph" w:customStyle="1" w:styleId="ImageCenter">
    <w:name w:val="Image Center"/>
    <w:basedOn w:val="BodyText"/>
    <w:uiPriority w:val="99"/>
    <w:rsid w:val="001746A1"/>
    <w:pPr>
      <w:autoSpaceDE/>
      <w:autoSpaceDN/>
      <w:adjustRightInd/>
      <w:spacing w:before="240" w:after="240"/>
      <w:jc w:val="center"/>
    </w:pPr>
    <w:rPr>
      <w:rFonts w:ascii="Georgia" w:hAnsi="Georgia"/>
      <w:sz w:val="24"/>
    </w:rPr>
  </w:style>
  <w:style w:type="paragraph" w:styleId="Subtitle">
    <w:name w:val="Subtitle"/>
    <w:basedOn w:val="Title"/>
    <w:next w:val="Normal"/>
    <w:link w:val="SubtitleChar"/>
    <w:autoRedefine/>
    <w:qFormat/>
    <w:rsid w:val="001746A1"/>
    <w:pPr>
      <w:numPr>
        <w:ilvl w:val="1"/>
      </w:numPr>
      <w:spacing w:before="0" w:after="480"/>
      <w:contextualSpacing w:val="0"/>
    </w:pPr>
    <w:rPr>
      <w:rFonts w:eastAsiaTheme="minorEastAsia" w:cstheme="minorBidi"/>
      <w:spacing w:val="15"/>
      <w:szCs w:val="22"/>
    </w:rPr>
  </w:style>
  <w:style w:type="character" w:customStyle="1" w:styleId="SubtitleChar">
    <w:name w:val="Subtitle Char"/>
    <w:basedOn w:val="DefaultParagraphFont"/>
    <w:link w:val="Subtitle"/>
    <w:rsid w:val="001746A1"/>
    <w:rPr>
      <w:rFonts w:ascii="Verdana" w:eastAsiaTheme="minorEastAsia" w:hAnsi="Verdana" w:cstheme="minorBidi"/>
      <w:b/>
      <w:bCs/>
      <w:spacing w:val="15"/>
      <w:kern w:val="28"/>
      <w:sz w:val="36"/>
      <w:szCs w:val="22"/>
    </w:rPr>
  </w:style>
  <w:style w:type="character" w:customStyle="1" w:styleId="Heading1Char">
    <w:name w:val="Heading 1 Char"/>
    <w:basedOn w:val="DefaultParagraphFont"/>
    <w:link w:val="Heading1"/>
    <w:rsid w:val="00F265FF"/>
    <w:rPr>
      <w:rFonts w:ascii="Verdana" w:eastAsiaTheme="majorEastAsia" w:hAnsi="Verdana" w:cstheme="majorBidi"/>
      <w:b/>
      <w:sz w:val="28"/>
      <w:szCs w:val="32"/>
    </w:rPr>
  </w:style>
  <w:style w:type="paragraph" w:styleId="BodyText2">
    <w:name w:val="Body Text 2"/>
    <w:basedOn w:val="BodyText"/>
    <w:link w:val="BodyText2Char"/>
    <w:autoRedefine/>
    <w:qFormat/>
    <w:rsid w:val="007A6BFC"/>
    <w:pPr>
      <w:spacing w:before="600" w:after="240" w:line="480" w:lineRule="auto"/>
      <w:contextualSpacing/>
      <w:jc w:val="center"/>
    </w:pPr>
    <w:rPr>
      <w:b/>
      <w:sz w:val="28"/>
    </w:rPr>
  </w:style>
  <w:style w:type="character" w:customStyle="1" w:styleId="BodyText2Char">
    <w:name w:val="Body Text 2 Char"/>
    <w:basedOn w:val="DefaultParagraphFont"/>
    <w:link w:val="BodyText2"/>
    <w:rsid w:val="007A6BFC"/>
    <w:rPr>
      <w:rFonts w:ascii="Lucida Bright" w:eastAsia="Calibri" w:hAnsi="Lucida Bright"/>
      <w:b/>
      <w:sz w:val="28"/>
      <w:szCs w:val="24"/>
    </w:rPr>
  </w:style>
  <w:style w:type="paragraph" w:styleId="Date">
    <w:name w:val="Date"/>
    <w:basedOn w:val="BodyText"/>
    <w:next w:val="Normal"/>
    <w:link w:val="DateChar"/>
    <w:autoRedefine/>
    <w:qFormat/>
    <w:rsid w:val="008C6BDE"/>
    <w:pPr>
      <w:spacing w:before="2160" w:after="0"/>
      <w:jc w:val="center"/>
    </w:pPr>
    <w:rPr>
      <w:b/>
      <w:sz w:val="36"/>
    </w:rPr>
  </w:style>
  <w:style w:type="character" w:customStyle="1" w:styleId="DateChar">
    <w:name w:val="Date Char"/>
    <w:basedOn w:val="DefaultParagraphFont"/>
    <w:link w:val="Date"/>
    <w:rsid w:val="008C6BDE"/>
    <w:rPr>
      <w:rFonts w:ascii="Lucida Bright" w:eastAsia="Calibri" w:hAnsi="Lucida Bright"/>
      <w:b/>
      <w:sz w:val="36"/>
      <w:szCs w:val="24"/>
    </w:rPr>
  </w:style>
  <w:style w:type="paragraph" w:styleId="Caption">
    <w:name w:val="caption"/>
    <w:basedOn w:val="BodyText"/>
    <w:next w:val="Normal"/>
    <w:autoRedefine/>
    <w:unhideWhenUsed/>
    <w:qFormat/>
    <w:rsid w:val="00F265FF"/>
    <w:rPr>
      <w:rFonts w:ascii="Verdana" w:hAnsi="Verdana"/>
      <w:b/>
      <w:iCs/>
      <w:sz w:val="20"/>
      <w:szCs w:val="18"/>
    </w:rPr>
  </w:style>
  <w:style w:type="paragraph" w:customStyle="1" w:styleId="TableText">
    <w:name w:val="Table Text"/>
    <w:basedOn w:val="BodyText"/>
    <w:autoRedefine/>
    <w:qFormat/>
    <w:rsid w:val="00E97654"/>
    <w:rPr>
      <w:szCs w:val="22"/>
    </w:rPr>
  </w:style>
  <w:style w:type="character" w:styleId="Emphasis">
    <w:name w:val="Emphasis"/>
    <w:basedOn w:val="DefaultParagraphFont"/>
    <w:qFormat/>
    <w:rsid w:val="000C6160"/>
    <w:rPr>
      <w:i/>
      <w:iCs/>
    </w:rPr>
  </w:style>
  <w:style w:type="paragraph" w:customStyle="1" w:styleId="Date1">
    <w:name w:val="Date1"/>
    <w:basedOn w:val="BodyText2"/>
    <w:qFormat/>
    <w:rsid w:val="00625EE0"/>
    <w:pPr>
      <w:spacing w:before="1320" w:after="120"/>
    </w:pPr>
  </w:style>
  <w:style w:type="character" w:styleId="UnresolvedMention">
    <w:name w:val="Unresolved Mention"/>
    <w:basedOn w:val="DefaultParagraphFont"/>
    <w:uiPriority w:val="99"/>
    <w:semiHidden/>
    <w:unhideWhenUsed/>
    <w:rsid w:val="0042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3848">
      <w:bodyDiv w:val="1"/>
      <w:marLeft w:val="0"/>
      <w:marRight w:val="0"/>
      <w:marTop w:val="0"/>
      <w:marBottom w:val="0"/>
      <w:divBdr>
        <w:top w:val="none" w:sz="0" w:space="0" w:color="auto"/>
        <w:left w:val="none" w:sz="0" w:space="0" w:color="auto"/>
        <w:bottom w:val="none" w:sz="0" w:space="0" w:color="auto"/>
        <w:right w:val="none" w:sz="0" w:space="0" w:color="auto"/>
      </w:divBdr>
    </w:div>
    <w:div w:id="275915498">
      <w:bodyDiv w:val="1"/>
      <w:marLeft w:val="0"/>
      <w:marRight w:val="0"/>
      <w:marTop w:val="0"/>
      <w:marBottom w:val="0"/>
      <w:divBdr>
        <w:top w:val="none" w:sz="0" w:space="0" w:color="auto"/>
        <w:left w:val="none" w:sz="0" w:space="0" w:color="auto"/>
        <w:bottom w:val="none" w:sz="0" w:space="0" w:color="auto"/>
        <w:right w:val="none" w:sz="0" w:space="0" w:color="auto"/>
      </w:divBdr>
    </w:div>
    <w:div w:id="519974227">
      <w:bodyDiv w:val="1"/>
      <w:marLeft w:val="0"/>
      <w:marRight w:val="0"/>
      <w:marTop w:val="0"/>
      <w:marBottom w:val="0"/>
      <w:divBdr>
        <w:top w:val="none" w:sz="0" w:space="0" w:color="auto"/>
        <w:left w:val="none" w:sz="0" w:space="0" w:color="auto"/>
        <w:bottom w:val="none" w:sz="0" w:space="0" w:color="auto"/>
        <w:right w:val="none" w:sz="0" w:space="0" w:color="auto"/>
      </w:divBdr>
    </w:div>
    <w:div w:id="761224016">
      <w:bodyDiv w:val="1"/>
      <w:marLeft w:val="0"/>
      <w:marRight w:val="0"/>
      <w:marTop w:val="0"/>
      <w:marBottom w:val="0"/>
      <w:divBdr>
        <w:top w:val="none" w:sz="0" w:space="0" w:color="auto"/>
        <w:left w:val="none" w:sz="0" w:space="0" w:color="auto"/>
        <w:bottom w:val="none" w:sz="0" w:space="0" w:color="auto"/>
        <w:right w:val="none" w:sz="0" w:space="0" w:color="auto"/>
      </w:divBdr>
    </w:div>
    <w:div w:id="790981874">
      <w:bodyDiv w:val="1"/>
      <w:marLeft w:val="0"/>
      <w:marRight w:val="0"/>
      <w:marTop w:val="0"/>
      <w:marBottom w:val="0"/>
      <w:divBdr>
        <w:top w:val="none" w:sz="0" w:space="0" w:color="auto"/>
        <w:left w:val="none" w:sz="0" w:space="0" w:color="auto"/>
        <w:bottom w:val="none" w:sz="0" w:space="0" w:color="auto"/>
        <w:right w:val="none" w:sz="0" w:space="0" w:color="auto"/>
      </w:divBdr>
    </w:div>
    <w:div w:id="1035731836">
      <w:bodyDiv w:val="1"/>
      <w:marLeft w:val="0"/>
      <w:marRight w:val="0"/>
      <w:marTop w:val="0"/>
      <w:marBottom w:val="0"/>
      <w:divBdr>
        <w:top w:val="none" w:sz="0" w:space="0" w:color="auto"/>
        <w:left w:val="none" w:sz="0" w:space="0" w:color="auto"/>
        <w:bottom w:val="none" w:sz="0" w:space="0" w:color="auto"/>
        <w:right w:val="none" w:sz="0" w:space="0" w:color="auto"/>
      </w:divBdr>
    </w:div>
    <w:div w:id="1042092239">
      <w:bodyDiv w:val="1"/>
      <w:marLeft w:val="0"/>
      <w:marRight w:val="0"/>
      <w:marTop w:val="0"/>
      <w:marBottom w:val="0"/>
      <w:divBdr>
        <w:top w:val="none" w:sz="0" w:space="0" w:color="auto"/>
        <w:left w:val="none" w:sz="0" w:space="0" w:color="auto"/>
        <w:bottom w:val="none" w:sz="0" w:space="0" w:color="auto"/>
        <w:right w:val="none" w:sz="0" w:space="0" w:color="auto"/>
      </w:divBdr>
    </w:div>
    <w:div w:id="1145512746">
      <w:bodyDiv w:val="1"/>
      <w:marLeft w:val="0"/>
      <w:marRight w:val="0"/>
      <w:marTop w:val="0"/>
      <w:marBottom w:val="0"/>
      <w:divBdr>
        <w:top w:val="none" w:sz="0" w:space="0" w:color="auto"/>
        <w:left w:val="none" w:sz="0" w:space="0" w:color="auto"/>
        <w:bottom w:val="none" w:sz="0" w:space="0" w:color="auto"/>
        <w:right w:val="none" w:sz="0" w:space="0" w:color="auto"/>
      </w:divBdr>
    </w:div>
    <w:div w:id="1168717806">
      <w:bodyDiv w:val="1"/>
      <w:marLeft w:val="54"/>
      <w:marRight w:val="54"/>
      <w:marTop w:val="54"/>
      <w:marBottom w:val="13"/>
      <w:divBdr>
        <w:top w:val="none" w:sz="0" w:space="0" w:color="auto"/>
        <w:left w:val="none" w:sz="0" w:space="0" w:color="auto"/>
        <w:bottom w:val="none" w:sz="0" w:space="0" w:color="auto"/>
        <w:right w:val="none" w:sz="0" w:space="0" w:color="auto"/>
      </w:divBdr>
      <w:divsChild>
        <w:div w:id="403185500">
          <w:marLeft w:val="0"/>
          <w:marRight w:val="0"/>
          <w:marTop w:val="0"/>
          <w:marBottom w:val="0"/>
          <w:divBdr>
            <w:top w:val="none" w:sz="0" w:space="0" w:color="auto"/>
            <w:left w:val="none" w:sz="0" w:space="0" w:color="auto"/>
            <w:bottom w:val="none" w:sz="0" w:space="0" w:color="auto"/>
            <w:right w:val="none" w:sz="0" w:space="0" w:color="auto"/>
          </w:divBdr>
        </w:div>
        <w:div w:id="530415280">
          <w:marLeft w:val="0"/>
          <w:marRight w:val="0"/>
          <w:marTop w:val="0"/>
          <w:marBottom w:val="0"/>
          <w:divBdr>
            <w:top w:val="none" w:sz="0" w:space="0" w:color="auto"/>
            <w:left w:val="none" w:sz="0" w:space="0" w:color="auto"/>
            <w:bottom w:val="none" w:sz="0" w:space="0" w:color="auto"/>
            <w:right w:val="none" w:sz="0" w:space="0" w:color="auto"/>
          </w:divBdr>
        </w:div>
        <w:div w:id="746808438">
          <w:marLeft w:val="0"/>
          <w:marRight w:val="0"/>
          <w:marTop w:val="0"/>
          <w:marBottom w:val="0"/>
          <w:divBdr>
            <w:top w:val="none" w:sz="0" w:space="0" w:color="auto"/>
            <w:left w:val="none" w:sz="0" w:space="0" w:color="auto"/>
            <w:bottom w:val="none" w:sz="0" w:space="0" w:color="auto"/>
            <w:right w:val="none" w:sz="0" w:space="0" w:color="auto"/>
          </w:divBdr>
        </w:div>
        <w:div w:id="771555670">
          <w:marLeft w:val="0"/>
          <w:marRight w:val="0"/>
          <w:marTop w:val="0"/>
          <w:marBottom w:val="0"/>
          <w:divBdr>
            <w:top w:val="none" w:sz="0" w:space="0" w:color="auto"/>
            <w:left w:val="none" w:sz="0" w:space="0" w:color="auto"/>
            <w:bottom w:val="none" w:sz="0" w:space="0" w:color="auto"/>
            <w:right w:val="none" w:sz="0" w:space="0" w:color="auto"/>
          </w:divBdr>
        </w:div>
        <w:div w:id="797526916">
          <w:marLeft w:val="0"/>
          <w:marRight w:val="0"/>
          <w:marTop w:val="0"/>
          <w:marBottom w:val="0"/>
          <w:divBdr>
            <w:top w:val="none" w:sz="0" w:space="0" w:color="auto"/>
            <w:left w:val="none" w:sz="0" w:space="0" w:color="auto"/>
            <w:bottom w:val="none" w:sz="0" w:space="0" w:color="auto"/>
            <w:right w:val="none" w:sz="0" w:space="0" w:color="auto"/>
          </w:divBdr>
        </w:div>
        <w:div w:id="1103264671">
          <w:marLeft w:val="0"/>
          <w:marRight w:val="0"/>
          <w:marTop w:val="0"/>
          <w:marBottom w:val="0"/>
          <w:divBdr>
            <w:top w:val="none" w:sz="0" w:space="0" w:color="auto"/>
            <w:left w:val="none" w:sz="0" w:space="0" w:color="auto"/>
            <w:bottom w:val="none" w:sz="0" w:space="0" w:color="auto"/>
            <w:right w:val="none" w:sz="0" w:space="0" w:color="auto"/>
          </w:divBdr>
        </w:div>
      </w:divsChild>
    </w:div>
    <w:div w:id="1246651116">
      <w:bodyDiv w:val="1"/>
      <w:marLeft w:val="0"/>
      <w:marRight w:val="0"/>
      <w:marTop w:val="0"/>
      <w:marBottom w:val="0"/>
      <w:divBdr>
        <w:top w:val="none" w:sz="0" w:space="0" w:color="auto"/>
        <w:left w:val="none" w:sz="0" w:space="0" w:color="auto"/>
        <w:bottom w:val="none" w:sz="0" w:space="0" w:color="auto"/>
        <w:right w:val="none" w:sz="0" w:space="0" w:color="auto"/>
      </w:divBdr>
    </w:div>
    <w:div w:id="1664778005">
      <w:bodyDiv w:val="1"/>
      <w:marLeft w:val="0"/>
      <w:marRight w:val="0"/>
      <w:marTop w:val="0"/>
      <w:marBottom w:val="0"/>
      <w:divBdr>
        <w:top w:val="none" w:sz="0" w:space="0" w:color="auto"/>
        <w:left w:val="none" w:sz="0" w:space="0" w:color="auto"/>
        <w:bottom w:val="none" w:sz="0" w:space="0" w:color="auto"/>
        <w:right w:val="none" w:sz="0" w:space="0" w:color="auto"/>
      </w:divBdr>
    </w:div>
    <w:div w:id="1669290622">
      <w:bodyDiv w:val="1"/>
      <w:marLeft w:val="0"/>
      <w:marRight w:val="0"/>
      <w:marTop w:val="0"/>
      <w:marBottom w:val="0"/>
      <w:divBdr>
        <w:top w:val="none" w:sz="0" w:space="0" w:color="auto"/>
        <w:left w:val="none" w:sz="0" w:space="0" w:color="auto"/>
        <w:bottom w:val="none" w:sz="0" w:space="0" w:color="auto"/>
        <w:right w:val="none" w:sz="0" w:space="0" w:color="auto"/>
      </w:divBdr>
    </w:div>
    <w:div w:id="1774279462">
      <w:bodyDiv w:val="1"/>
      <w:marLeft w:val="0"/>
      <w:marRight w:val="0"/>
      <w:marTop w:val="0"/>
      <w:marBottom w:val="0"/>
      <w:divBdr>
        <w:top w:val="none" w:sz="0" w:space="0" w:color="auto"/>
        <w:left w:val="none" w:sz="0" w:space="0" w:color="auto"/>
        <w:bottom w:val="none" w:sz="0" w:space="0" w:color="auto"/>
        <w:right w:val="none" w:sz="0" w:space="0" w:color="auto"/>
      </w:divBdr>
    </w:div>
    <w:div w:id="1820922447">
      <w:bodyDiv w:val="1"/>
      <w:marLeft w:val="0"/>
      <w:marRight w:val="0"/>
      <w:marTop w:val="0"/>
      <w:marBottom w:val="0"/>
      <w:divBdr>
        <w:top w:val="none" w:sz="0" w:space="0" w:color="auto"/>
        <w:left w:val="none" w:sz="0" w:space="0" w:color="auto"/>
        <w:bottom w:val="none" w:sz="0" w:space="0" w:color="auto"/>
        <w:right w:val="none" w:sz="0" w:space="0" w:color="auto"/>
      </w:divBdr>
    </w:div>
    <w:div w:id="1959022872">
      <w:bodyDiv w:val="1"/>
      <w:marLeft w:val="0"/>
      <w:marRight w:val="0"/>
      <w:marTop w:val="0"/>
      <w:marBottom w:val="0"/>
      <w:divBdr>
        <w:top w:val="none" w:sz="0" w:space="0" w:color="auto"/>
        <w:left w:val="none" w:sz="0" w:space="0" w:color="auto"/>
        <w:bottom w:val="none" w:sz="0" w:space="0" w:color="auto"/>
        <w:right w:val="none" w:sz="0" w:space="0" w:color="auto"/>
      </w:divBdr>
    </w:div>
    <w:div w:id="2107729920">
      <w:bodyDiv w:val="1"/>
      <w:marLeft w:val="0"/>
      <w:marRight w:val="0"/>
      <w:marTop w:val="0"/>
      <w:marBottom w:val="0"/>
      <w:divBdr>
        <w:top w:val="none" w:sz="0" w:space="0" w:color="auto"/>
        <w:left w:val="none" w:sz="0" w:space="0" w:color="auto"/>
        <w:bottom w:val="none" w:sz="0" w:space="0" w:color="auto"/>
        <w:right w:val="none" w:sz="0" w:space="0" w:color="auto"/>
      </w:divBdr>
    </w:div>
    <w:div w:id="21139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ceq.state.tx.us/assets/public/remediation/dry_cleaners/rank_prior.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BE03-807D-441E-A1D3-1C9B517F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8382</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Texas Commission on Environmental Quality Dry Cleaner Environmental Response Pro</vt:lpstr>
      <vt:lpstr>Fiscal Year 2021</vt:lpstr>
      <vt:lpstr>Prepared for the Dry Cleaner Advisory Committee</vt:lpstr>
      <vt:lpstr>Registration</vt:lpstr>
      <vt:lpstr>Dry Cleaning Registration Initiative</vt:lpstr>
      <vt:lpstr>Dry Cleaning Facility Release Fund (Fund 5093)</vt:lpstr>
      <vt:lpstr>Compliance and Enforcement Actions</vt:lpstr>
      <vt:lpstr>New Dry Cleaner Legislation</vt:lpstr>
      <vt:lpstr>Corrective Actions</vt:lpstr>
    </vt:vector>
  </TitlesOfParts>
  <Company>TCEQ</Company>
  <LinksUpToDate>false</LinksUpToDate>
  <CharactersWithSpaces>9833</CharactersWithSpaces>
  <SharedDoc>false</SharedDoc>
  <HLinks>
    <vt:vector size="6" baseType="variant">
      <vt:variant>
        <vt:i4>5636107</vt:i4>
      </vt:variant>
      <vt:variant>
        <vt:i4>2</vt:i4>
      </vt:variant>
      <vt:variant>
        <vt:i4>0</vt:i4>
      </vt:variant>
      <vt:variant>
        <vt:i4>5</vt:i4>
      </vt:variant>
      <vt:variant>
        <vt:lpwstr>http://www.tceq.state.tx.us/assets/public/remediation/dry_cleaners/rank_prior.pdf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TCEQ</dc:creator>
  <cp:keywords/>
  <cp:lastModifiedBy>Laura Boothby</cp:lastModifiedBy>
  <cp:revision>2</cp:revision>
  <cp:lastPrinted>2019-12-13T15:57:00Z</cp:lastPrinted>
  <dcterms:created xsi:type="dcterms:W3CDTF">2022-08-31T16:46:00Z</dcterms:created>
  <dcterms:modified xsi:type="dcterms:W3CDTF">2022-08-31T16:46:00Z</dcterms:modified>
</cp:coreProperties>
</file>