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</Types>
</file>

<file path=_rels/.rels>&#65279;<?xml version="1.0" encoding="utf-8"?>
<Relationships xmlns="http://schemas.openxmlformats.org/package/2006/relationships">
  <Relationship Type="http://schemas.openxmlformats.org/officeDocument/2006/relationships/officeDocument" Target="word/document.xml" Id="rId1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tbl>
      <w:tblPr>
        <w:tblpPr w:leftFromText="180" w:rightFromText="180" w:vertAnchor="text" w:horzAnchor="margin" w:tblpXSpec="center" w:tblpY="383"/>
        <w:tblW w:w="93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220"/>
        <w:gridCol w:w="1980"/>
        <w:gridCol w:w="1980"/>
        <w:gridCol w:w="2129"/>
      </w:tblGrid>
      <w:tr>
        <w:trPr>
          <w:trHeight w:val="327"/>
        </w:trPr>
        <w:tc>
          <w:tcPr>
            <w:tcW w:w="9309" w:type="dxa"/>
            <w:gridSpan w:val="4"/>
            <w:shd w:val="clear" w:color="auto" w:fill="auto"/>
            <w:vAlign w:val="center"/>
          </w:tcPr>
          <w:p>
            <w:pPr>
              <w:tabs>
                <w:tab w:val="left" w:pos="-1608"/>
                <w:tab w:val="left" w:pos="-1387"/>
                <w:tab w:val="left" w:pos="-720"/>
                <w:tab w:val="left" w:pos="0"/>
                <w:tab w:val="left" w:pos="360"/>
                <w:tab w:val="left" w:pos="720"/>
                <w:tab w:val="left" w:pos="1073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0" w:lineRule="atLeast"/>
              <w:jc w:val="center"/>
              <w:rPr>
                <w:b/>
              </w:rPr>
            </w:pPr>
            <w:r>
              <w:rPr>
                <w:b/>
                <w:sz w:val="25"/>
                <w:szCs w:val="25"/>
              </w:rPr>
              <w:t>PST Program Action Levels</w:t>
            </w:r>
            <w:r>
              <w:rPr>
                <w:b/>
              </w:rPr>
              <w:t xml:space="preserve"> </w:t>
            </w:r>
            <w:r>
              <w:rPr>
                <w:vertAlign w:val="superscript"/>
              </w:rPr>
              <w:t>1,2</w:t>
            </w:r>
            <w:r>
              <w:rPr>
                <w:vertAlign w:val="superscript"/>
              </w:rPr>
              <w:t>,3</w:t>
            </w:r>
          </w:p>
        </w:tc>
      </w:tr>
      <w:tr>
        <w:trPr>
          <w:trHeight w:val="134"/>
        </w:trPr>
        <w:tc>
          <w:tcPr>
            <w:tcW w:w="32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CHEMICAL OF CONCERN</w:t>
            </w:r>
          </w:p>
        </w:tc>
        <w:tc>
          <w:tcPr>
            <w:tcW w:w="1980" w:type="dxa"/>
            <w:tcBorders>
              <w:top w:val="single" w:sz="6" w:space="0" w:color="auto"/>
              <w:bottom w:val="nil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SOIL</w:t>
            </w:r>
            <w:r>
              <w:rPr>
                <w:sz w:val="22"/>
              </w:rPr>
              <w:t xml:space="preserve"> (mg/kg)</w:t>
            </w:r>
          </w:p>
        </w:tc>
        <w:tc>
          <w:tcPr>
            <w:tcW w:w="1980" w:type="dxa"/>
            <w:tcBorders>
              <w:top w:val="single" w:sz="6" w:space="0" w:color="auto"/>
              <w:bottom w:val="nil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SOIL</w:t>
            </w:r>
            <w:r>
              <w:rPr>
                <w:sz w:val="22"/>
              </w:rPr>
              <w:t xml:space="preserve"> (mg/kg)</w:t>
            </w:r>
          </w:p>
        </w:tc>
        <w:tc>
          <w:tcPr>
            <w:tcW w:w="2129" w:type="dxa"/>
            <w:vMerge w:val="restart"/>
            <w:vAlign w:val="center"/>
          </w:tcPr>
          <w:p>
            <w:pPr>
              <w:tabs>
                <w:tab w:val="left" w:pos="-1608"/>
                <w:tab w:val="left" w:pos="-1387"/>
                <w:tab w:val="left" w:pos="-720"/>
                <w:tab w:val="left" w:pos="0"/>
                <w:tab w:val="left" w:pos="360"/>
                <w:tab w:val="left" w:pos="720"/>
                <w:tab w:val="left" w:pos="1073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GROUNDWATER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(mg/L)</w:t>
            </w:r>
          </w:p>
        </w:tc>
      </w:tr>
      <w:tr>
        <w:trPr>
          <w:trHeight w:val="44"/>
        </w:trPr>
        <w:tc>
          <w:tcPr>
            <w:tcW w:w="3220" w:type="dxa"/>
            <w:vMerge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Surface (0 - 15 ft)</w:t>
            </w:r>
          </w:p>
        </w:tc>
        <w:tc>
          <w:tcPr>
            <w:tcW w:w="1980" w:type="dxa"/>
            <w:tcBorders>
              <w:top w:val="nil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Subsurface (&gt;15 ft)</w:t>
            </w:r>
          </w:p>
        </w:tc>
        <w:tc>
          <w:tcPr>
            <w:tcW w:w="2129" w:type="dxa"/>
            <w:vMerge/>
            <w:vAlign w:val="center"/>
          </w:tcPr>
          <w:p>
            <w:pPr>
              <w:tabs>
                <w:tab w:val="left" w:pos="-1608"/>
                <w:tab w:val="left" w:pos="-1387"/>
                <w:tab w:val="left" w:pos="-720"/>
                <w:tab w:val="left" w:pos="0"/>
                <w:tab w:val="left" w:pos="360"/>
                <w:tab w:val="left" w:pos="720"/>
                <w:tab w:val="left" w:pos="1073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350"/>
        </w:trPr>
        <w:tc>
          <w:tcPr>
            <w:tcW w:w="9309" w:type="dxa"/>
            <w:gridSpan w:val="4"/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Volatile Organic Compounds</w:t>
            </w:r>
          </w:p>
        </w:tc>
      </w:tr>
      <w:tr>
        <w:trPr>
          <w:trHeight w:val="100"/>
        </w:trPr>
        <w:tc>
          <w:tcPr>
            <w:tcW w:w="3220" w:type="dxa"/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Benzene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</w:t>
            </w:r>
          </w:p>
        </w:tc>
      </w:tr>
      <w:tr>
        <w:trPr>
          <w:trHeight w:val="163"/>
        </w:trPr>
        <w:tc>
          <w:tcPr>
            <w:tcW w:w="3220" w:type="dxa"/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Ethylbenzene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36.8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</w:tr>
      <w:tr>
        <w:trPr>
          <w:trHeight w:val="208"/>
        </w:trPr>
        <w:tc>
          <w:tcPr>
            <w:tcW w:w="3220" w:type="dxa"/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Toluene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c>
          <w:tcPr>
            <w:tcW w:w="3220" w:type="dxa"/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Total xylenes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-1608"/>
                <w:tab w:val="left" w:pos="-1387"/>
                <w:tab w:val="left" w:pos="-720"/>
                <w:tab w:val="left" w:pos="0"/>
                <w:tab w:val="left" w:pos="360"/>
                <w:tab w:val="left" w:pos="720"/>
                <w:tab w:val="left" w:pos="1073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>
          <w:trHeight w:val="287"/>
        </w:trPr>
        <w:tc>
          <w:tcPr>
            <w:tcW w:w="9309" w:type="dxa"/>
            <w:gridSpan w:val="4"/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Oxygenates</w:t>
            </w:r>
          </w:p>
        </w:tc>
      </w:tr>
      <w:tr>
        <w:tc>
          <w:tcPr>
            <w:tcW w:w="3220" w:type="dxa"/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MTBE  (methyl tert-butyl ether)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-1608"/>
                <w:tab w:val="left" w:pos="-1387"/>
                <w:tab w:val="left" w:pos="-720"/>
                <w:tab w:val="left" w:pos="0"/>
                <w:tab w:val="left" w:pos="360"/>
                <w:tab w:val="left" w:pos="720"/>
                <w:tab w:val="left" w:pos="1073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2.56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-1608"/>
                <w:tab w:val="left" w:pos="-1387"/>
                <w:tab w:val="left" w:pos="-720"/>
                <w:tab w:val="left" w:pos="0"/>
                <w:tab w:val="left" w:pos="360"/>
                <w:tab w:val="left" w:pos="720"/>
                <w:tab w:val="left" w:pos="1073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2.56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.240</w:t>
            </w:r>
          </w:p>
        </w:tc>
      </w:tr>
      <w:tr>
        <w:trPr>
          <w:trHeight w:val="324"/>
        </w:trPr>
        <w:tc>
          <w:tcPr>
            <w:tcW w:w="9309" w:type="dxa"/>
            <w:gridSpan w:val="4"/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Polycyclic Aromatic Hydrocarbons</w:t>
            </w:r>
          </w:p>
        </w:tc>
      </w:tr>
      <w:tr>
        <w:tc>
          <w:tcPr>
            <w:tcW w:w="3220" w:type="dxa"/>
            <w:vAlign w:val="center"/>
          </w:tcPr>
          <w:p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Acenaphthene</w:t>
            </w:r>
            <w:proofErr w:type="spellEnd"/>
          </w:p>
        </w:tc>
        <w:tc>
          <w:tcPr>
            <w:tcW w:w="1980" w:type="dxa"/>
            <w:vAlign w:val="center"/>
          </w:tcPr>
          <w:p>
            <w:pPr>
              <w:tabs>
                <w:tab w:val="left" w:pos="-1608"/>
                <w:tab w:val="left" w:pos="-1387"/>
                <w:tab w:val="left" w:pos="-720"/>
                <w:tab w:val="left" w:pos="0"/>
                <w:tab w:val="left" w:pos="360"/>
                <w:tab w:val="left" w:pos="720"/>
                <w:tab w:val="left" w:pos="1073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34.1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-1608"/>
                <w:tab w:val="left" w:pos="-1387"/>
                <w:tab w:val="left" w:pos="-720"/>
                <w:tab w:val="left" w:pos="0"/>
                <w:tab w:val="left" w:pos="360"/>
                <w:tab w:val="left" w:pos="720"/>
                <w:tab w:val="left" w:pos="1073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</w:t>
            </w:r>
          </w:p>
        </w:tc>
      </w:tr>
      <w:tr>
        <w:trPr>
          <w:trHeight w:val="109"/>
        </w:trPr>
        <w:tc>
          <w:tcPr>
            <w:tcW w:w="3220" w:type="dxa"/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Anthracene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-1608"/>
                <w:tab w:val="left" w:pos="-1387"/>
                <w:tab w:val="left" w:pos="-720"/>
                <w:tab w:val="left" w:pos="0"/>
                <w:tab w:val="left" w:pos="360"/>
                <w:tab w:val="left" w:pos="720"/>
                <w:tab w:val="left" w:pos="1073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2.04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-1608"/>
                <w:tab w:val="left" w:pos="-1387"/>
                <w:tab w:val="left" w:pos="-720"/>
                <w:tab w:val="left" w:pos="0"/>
                <w:tab w:val="left" w:pos="360"/>
                <w:tab w:val="left" w:pos="720"/>
                <w:tab w:val="left" w:pos="1073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2.04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>
        <w:tc>
          <w:tcPr>
            <w:tcW w:w="3220" w:type="dxa"/>
            <w:vAlign w:val="center"/>
          </w:tcPr>
          <w:p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Acenaphthylene</w:t>
            </w:r>
            <w:proofErr w:type="spellEnd"/>
          </w:p>
        </w:tc>
        <w:tc>
          <w:tcPr>
            <w:tcW w:w="1980" w:type="dxa"/>
            <w:vAlign w:val="center"/>
          </w:tcPr>
          <w:p>
            <w:pPr>
              <w:tabs>
                <w:tab w:val="left" w:pos="-1608"/>
                <w:tab w:val="left" w:pos="-1387"/>
                <w:tab w:val="left" w:pos="-720"/>
                <w:tab w:val="left" w:pos="0"/>
                <w:tab w:val="left" w:pos="360"/>
                <w:tab w:val="left" w:pos="720"/>
                <w:tab w:val="left" w:pos="1073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54.7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-1608"/>
                <w:tab w:val="left" w:pos="-1387"/>
                <w:tab w:val="left" w:pos="-720"/>
                <w:tab w:val="left" w:pos="0"/>
                <w:tab w:val="left" w:pos="360"/>
                <w:tab w:val="left" w:pos="720"/>
                <w:tab w:val="left" w:pos="1073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54.7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</w:t>
            </w:r>
          </w:p>
        </w:tc>
      </w:tr>
      <w:tr>
        <w:tc>
          <w:tcPr>
            <w:tcW w:w="3220" w:type="dxa"/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Benz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anthracene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-1608"/>
                <w:tab w:val="left" w:pos="-1387"/>
                <w:tab w:val="left" w:pos="-720"/>
                <w:tab w:val="left" w:pos="0"/>
                <w:tab w:val="left" w:pos="360"/>
                <w:tab w:val="left" w:pos="720"/>
                <w:tab w:val="left" w:pos="1073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.877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-1608"/>
                <w:tab w:val="left" w:pos="-1387"/>
                <w:tab w:val="left" w:pos="-720"/>
                <w:tab w:val="left" w:pos="0"/>
                <w:tab w:val="left" w:pos="360"/>
                <w:tab w:val="left" w:pos="720"/>
                <w:tab w:val="left" w:pos="1073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0.000117</w:t>
            </w:r>
          </w:p>
        </w:tc>
      </w:tr>
      <w:tr>
        <w:tc>
          <w:tcPr>
            <w:tcW w:w="3220" w:type="dxa"/>
            <w:vAlign w:val="center"/>
          </w:tcPr>
          <w:p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Benzo</w:t>
            </w:r>
            <w:proofErr w:type="spellEnd"/>
            <w:r>
              <w:rPr>
                <w:sz w:val="20"/>
              </w:rPr>
              <w:t>-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pyrene</w:t>
            </w:r>
            <w:proofErr w:type="spellEnd"/>
          </w:p>
        </w:tc>
        <w:tc>
          <w:tcPr>
            <w:tcW w:w="1980" w:type="dxa"/>
            <w:vAlign w:val="center"/>
          </w:tcPr>
          <w:p>
            <w:pPr>
              <w:tabs>
                <w:tab w:val="left" w:pos="-1608"/>
                <w:tab w:val="left" w:pos="-1387"/>
                <w:tab w:val="left" w:pos="-720"/>
                <w:tab w:val="left" w:pos="0"/>
                <w:tab w:val="left" w:pos="360"/>
                <w:tab w:val="left" w:pos="720"/>
                <w:tab w:val="left" w:pos="1073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.0877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-1608"/>
                <w:tab w:val="left" w:pos="-1387"/>
                <w:tab w:val="left" w:pos="-720"/>
                <w:tab w:val="left" w:pos="0"/>
                <w:tab w:val="left" w:pos="360"/>
                <w:tab w:val="left" w:pos="720"/>
                <w:tab w:val="left" w:pos="1073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0.0002</w:t>
            </w:r>
          </w:p>
        </w:tc>
      </w:tr>
      <w:tr>
        <w:tc>
          <w:tcPr>
            <w:tcW w:w="3220" w:type="dxa"/>
            <w:vAlign w:val="center"/>
          </w:tcPr>
          <w:p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Benzo</w:t>
            </w:r>
            <w:proofErr w:type="spellEnd"/>
            <w:r>
              <w:rPr>
                <w:sz w:val="20"/>
              </w:rPr>
              <w:t>-</w:t>
            </w:r>
            <w:r>
              <w:rPr>
                <w:sz w:val="20"/>
              </w:rPr>
              <w:t>b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fluoranthene</w:t>
            </w:r>
            <w:proofErr w:type="spellEnd"/>
          </w:p>
        </w:tc>
        <w:tc>
          <w:tcPr>
            <w:tcW w:w="1980" w:type="dxa"/>
            <w:vAlign w:val="center"/>
          </w:tcPr>
          <w:p>
            <w:pPr>
              <w:tabs>
                <w:tab w:val="left" w:pos="-1608"/>
                <w:tab w:val="left" w:pos="-1387"/>
                <w:tab w:val="left" w:pos="-720"/>
                <w:tab w:val="left" w:pos="0"/>
                <w:tab w:val="left" w:pos="360"/>
                <w:tab w:val="left" w:pos="720"/>
                <w:tab w:val="left" w:pos="1073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.877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-1608"/>
                <w:tab w:val="left" w:pos="-1387"/>
                <w:tab w:val="left" w:pos="-720"/>
                <w:tab w:val="left" w:pos="0"/>
                <w:tab w:val="left" w:pos="360"/>
                <w:tab w:val="left" w:pos="720"/>
                <w:tab w:val="left" w:pos="1073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3.61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0.000117</w:t>
            </w:r>
          </w:p>
        </w:tc>
      </w:tr>
      <w:tr>
        <w:trPr>
          <w:trHeight w:val="190"/>
        </w:trPr>
        <w:tc>
          <w:tcPr>
            <w:tcW w:w="3220" w:type="dxa"/>
            <w:vAlign w:val="center"/>
          </w:tcPr>
          <w:p>
            <w:pPr>
              <w:rPr>
                <w:sz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Benzo-g,h,i-perylene</w:t>
            </w:r>
            <w:proofErr w:type="spellEnd"/>
          </w:p>
        </w:tc>
        <w:tc>
          <w:tcPr>
            <w:tcW w:w="1980" w:type="dxa"/>
            <w:vAlign w:val="center"/>
          </w:tcPr>
          <w:p>
            <w:pPr>
              <w:tabs>
                <w:tab w:val="left" w:pos="-1608"/>
                <w:tab w:val="left" w:pos="-1387"/>
                <w:tab w:val="left" w:pos="-720"/>
                <w:tab w:val="left" w:pos="0"/>
                <w:tab w:val="left" w:pos="360"/>
                <w:tab w:val="left" w:pos="720"/>
                <w:tab w:val="left" w:pos="1073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.824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-1608"/>
                <w:tab w:val="left" w:pos="-1387"/>
                <w:tab w:val="left" w:pos="-720"/>
                <w:tab w:val="left" w:pos="0"/>
                <w:tab w:val="left" w:pos="360"/>
                <w:tab w:val="left" w:pos="720"/>
                <w:tab w:val="left" w:pos="1073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.824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</w:tr>
      <w:tr>
        <w:trPr>
          <w:trHeight w:val="190"/>
        </w:trPr>
        <w:tc>
          <w:tcPr>
            <w:tcW w:w="3220" w:type="dxa"/>
            <w:vAlign w:val="center"/>
          </w:tcPr>
          <w:p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Benzo</w:t>
            </w:r>
            <w:proofErr w:type="spellEnd"/>
            <w:r>
              <w:rPr>
                <w:sz w:val="20"/>
              </w:rPr>
              <w:t>-</w:t>
            </w:r>
            <w:r>
              <w:rPr>
                <w:sz w:val="20"/>
              </w:rPr>
              <w:t>k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fluoranthene</w:t>
            </w:r>
            <w:proofErr w:type="spellEnd"/>
          </w:p>
        </w:tc>
        <w:tc>
          <w:tcPr>
            <w:tcW w:w="1980" w:type="dxa"/>
            <w:vAlign w:val="center"/>
          </w:tcPr>
          <w:p>
            <w:pPr>
              <w:tabs>
                <w:tab w:val="left" w:pos="-1608"/>
                <w:tab w:val="left" w:pos="-1387"/>
                <w:tab w:val="left" w:pos="-720"/>
                <w:tab w:val="left" w:pos="0"/>
                <w:tab w:val="left" w:pos="360"/>
                <w:tab w:val="left" w:pos="720"/>
                <w:tab w:val="left" w:pos="1073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-1608"/>
                <w:tab w:val="left" w:pos="-1387"/>
                <w:tab w:val="left" w:pos="-720"/>
                <w:tab w:val="left" w:pos="0"/>
                <w:tab w:val="left" w:pos="360"/>
                <w:tab w:val="left" w:pos="720"/>
                <w:tab w:val="left" w:pos="1073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0.00117</w:t>
            </w:r>
          </w:p>
        </w:tc>
      </w:tr>
      <w:tr>
        <w:trPr>
          <w:trHeight w:val="172"/>
        </w:trPr>
        <w:tc>
          <w:tcPr>
            <w:tcW w:w="3220" w:type="dxa"/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Chrysene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-1608"/>
                <w:tab w:val="left" w:pos="-1387"/>
                <w:tab w:val="left" w:pos="-720"/>
                <w:tab w:val="left" w:pos="0"/>
                <w:tab w:val="left" w:pos="360"/>
                <w:tab w:val="left" w:pos="720"/>
                <w:tab w:val="left" w:pos="1073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-1608"/>
                <w:tab w:val="left" w:pos="-1387"/>
                <w:tab w:val="left" w:pos="-720"/>
                <w:tab w:val="left" w:pos="0"/>
                <w:tab w:val="left" w:pos="360"/>
                <w:tab w:val="left" w:pos="720"/>
                <w:tab w:val="left" w:pos="1073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0.0117</w:t>
            </w:r>
          </w:p>
        </w:tc>
      </w:tr>
      <w:tr>
        <w:tc>
          <w:tcPr>
            <w:tcW w:w="3220" w:type="dxa"/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Dibenz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a,h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anthracene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-1608"/>
                <w:tab w:val="left" w:pos="-1387"/>
                <w:tab w:val="left" w:pos="-720"/>
                <w:tab w:val="left" w:pos="0"/>
                <w:tab w:val="left" w:pos="360"/>
                <w:tab w:val="left" w:pos="720"/>
                <w:tab w:val="left" w:pos="1073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877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-1608"/>
                <w:tab w:val="left" w:pos="-1387"/>
                <w:tab w:val="left" w:pos="-720"/>
                <w:tab w:val="left" w:pos="0"/>
                <w:tab w:val="left" w:pos="360"/>
                <w:tab w:val="left" w:pos="720"/>
                <w:tab w:val="left" w:pos="1073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1.91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.0002</w:t>
            </w:r>
          </w:p>
        </w:tc>
      </w:tr>
      <w:tr>
        <w:tc>
          <w:tcPr>
            <w:tcW w:w="322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Dibenzofuran</w:t>
            </w:r>
            <w:proofErr w:type="spellEnd"/>
          </w:p>
        </w:tc>
        <w:tc>
          <w:tcPr>
            <w:tcW w:w="1980" w:type="dxa"/>
            <w:vAlign w:val="center"/>
          </w:tcPr>
          <w:p>
            <w:pPr>
              <w:tabs>
                <w:tab w:val="left" w:pos="-1608"/>
                <w:tab w:val="left" w:pos="-1387"/>
                <w:tab w:val="left" w:pos="-720"/>
                <w:tab w:val="left" w:pos="0"/>
                <w:tab w:val="left" w:pos="360"/>
                <w:tab w:val="left" w:pos="720"/>
                <w:tab w:val="left" w:pos="1073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48.8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-1608"/>
                <w:tab w:val="left" w:pos="-1387"/>
                <w:tab w:val="left" w:pos="-720"/>
                <w:tab w:val="left" w:pos="0"/>
                <w:tab w:val="left" w:pos="360"/>
                <w:tab w:val="left" w:pos="720"/>
                <w:tab w:val="left" w:pos="1073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48.8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.146</w:t>
            </w:r>
          </w:p>
        </w:tc>
      </w:tr>
      <w:tr>
        <w:tc>
          <w:tcPr>
            <w:tcW w:w="3220" w:type="dxa"/>
            <w:vAlign w:val="center"/>
          </w:tcPr>
          <w:p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Fluoranthene</w:t>
            </w:r>
            <w:proofErr w:type="spellEnd"/>
          </w:p>
        </w:tc>
        <w:tc>
          <w:tcPr>
            <w:tcW w:w="1980" w:type="dxa"/>
            <w:vAlign w:val="center"/>
          </w:tcPr>
          <w:p>
            <w:pPr>
              <w:tabs>
                <w:tab w:val="left" w:pos="-1608"/>
                <w:tab w:val="left" w:pos="-1387"/>
                <w:tab w:val="left" w:pos="-720"/>
                <w:tab w:val="left" w:pos="0"/>
                <w:tab w:val="left" w:pos="360"/>
                <w:tab w:val="left" w:pos="720"/>
                <w:tab w:val="left" w:pos="1073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-1608"/>
                <w:tab w:val="left" w:pos="-1387"/>
                <w:tab w:val="left" w:pos="-720"/>
                <w:tab w:val="left" w:pos="0"/>
                <w:tab w:val="left" w:pos="360"/>
                <w:tab w:val="left" w:pos="720"/>
                <w:tab w:val="left" w:pos="1073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1.46</w:t>
            </w:r>
          </w:p>
        </w:tc>
      </w:tr>
      <w:tr>
        <w:trPr>
          <w:trHeight w:val="127"/>
        </w:trPr>
        <w:tc>
          <w:tcPr>
            <w:tcW w:w="3220" w:type="dxa"/>
            <w:vAlign w:val="center"/>
          </w:tcPr>
          <w:p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Fluorene</w:t>
            </w:r>
            <w:proofErr w:type="spellEnd"/>
          </w:p>
        </w:tc>
        <w:tc>
          <w:tcPr>
            <w:tcW w:w="1980" w:type="dxa"/>
            <w:vAlign w:val="center"/>
          </w:tcPr>
          <w:p>
            <w:pPr>
              <w:tabs>
                <w:tab w:val="left" w:pos="-1608"/>
                <w:tab w:val="left" w:pos="-1387"/>
                <w:tab w:val="left" w:pos="-720"/>
                <w:tab w:val="left" w:pos="0"/>
                <w:tab w:val="left" w:pos="360"/>
                <w:tab w:val="left" w:pos="720"/>
                <w:tab w:val="left" w:pos="1073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30.2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-1608"/>
                <w:tab w:val="left" w:pos="-1387"/>
                <w:tab w:val="left" w:pos="-720"/>
                <w:tab w:val="left" w:pos="0"/>
                <w:tab w:val="left" w:pos="360"/>
                <w:tab w:val="left" w:pos="720"/>
                <w:tab w:val="left" w:pos="1073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1.46</w:t>
            </w:r>
          </w:p>
        </w:tc>
      </w:tr>
      <w:tr>
        <w:tc>
          <w:tcPr>
            <w:tcW w:w="3220" w:type="dxa"/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Indeno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1,2,3-cd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pyrene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-1608"/>
                <w:tab w:val="left" w:pos="-1387"/>
                <w:tab w:val="left" w:pos="-720"/>
                <w:tab w:val="left" w:pos="0"/>
                <w:tab w:val="left" w:pos="360"/>
                <w:tab w:val="left" w:pos="720"/>
                <w:tab w:val="left" w:pos="1073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877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-1608"/>
                <w:tab w:val="left" w:pos="-1387"/>
                <w:tab w:val="left" w:pos="-720"/>
                <w:tab w:val="left" w:pos="0"/>
                <w:tab w:val="left" w:pos="360"/>
                <w:tab w:val="left" w:pos="720"/>
                <w:tab w:val="left" w:pos="1073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0.000117</w:t>
            </w:r>
          </w:p>
        </w:tc>
      </w:tr>
      <w:tr>
        <w:tc>
          <w:tcPr>
            <w:tcW w:w="3220" w:type="dxa"/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Naphthalene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-1608"/>
                <w:tab w:val="left" w:pos="-1387"/>
                <w:tab w:val="left" w:pos="-720"/>
                <w:tab w:val="left" w:pos="0"/>
                <w:tab w:val="left" w:pos="360"/>
                <w:tab w:val="left" w:pos="720"/>
                <w:tab w:val="left" w:pos="1073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99.7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-1608"/>
                <w:tab w:val="left" w:pos="-1387"/>
                <w:tab w:val="left" w:pos="-720"/>
                <w:tab w:val="left" w:pos="0"/>
                <w:tab w:val="left" w:pos="360"/>
                <w:tab w:val="left" w:pos="720"/>
                <w:tab w:val="left" w:pos="1073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.73</w:t>
            </w:r>
          </w:p>
        </w:tc>
      </w:tr>
      <w:tr>
        <w:trPr>
          <w:trHeight w:val="278"/>
        </w:trPr>
        <w:tc>
          <w:tcPr>
            <w:tcW w:w="3220" w:type="dxa"/>
            <w:vAlign w:val="center"/>
          </w:tcPr>
          <w:p>
            <w:pPr>
              <w:rPr>
                <w:sz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Phenanthrene</w:t>
            </w:r>
            <w:proofErr w:type="spellEnd"/>
          </w:p>
        </w:tc>
        <w:tc>
          <w:tcPr>
            <w:tcW w:w="1980" w:type="dxa"/>
            <w:vAlign w:val="center"/>
          </w:tcPr>
          <w:p>
            <w:pPr>
              <w:tabs>
                <w:tab w:val="left" w:pos="-1608"/>
                <w:tab w:val="left" w:pos="-1387"/>
                <w:tab w:val="left" w:pos="-720"/>
                <w:tab w:val="left" w:pos="0"/>
                <w:tab w:val="left" w:pos="360"/>
                <w:tab w:val="left" w:pos="720"/>
                <w:tab w:val="left" w:pos="1073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-1608"/>
                <w:tab w:val="left" w:pos="-1387"/>
                <w:tab w:val="left" w:pos="-720"/>
                <w:tab w:val="left" w:pos="0"/>
                <w:tab w:val="left" w:pos="360"/>
                <w:tab w:val="left" w:pos="720"/>
                <w:tab w:val="left" w:pos="1073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</w:tr>
      <w:tr>
        <w:trPr>
          <w:trHeight w:val="278"/>
        </w:trPr>
        <w:tc>
          <w:tcPr>
            <w:tcW w:w="3220" w:type="dxa"/>
            <w:vAlign w:val="center"/>
          </w:tcPr>
          <w:p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Pyrene</w:t>
            </w:r>
            <w:proofErr w:type="spellEnd"/>
          </w:p>
        </w:tc>
        <w:tc>
          <w:tcPr>
            <w:tcW w:w="1980" w:type="dxa"/>
            <w:vAlign w:val="center"/>
          </w:tcPr>
          <w:p>
            <w:pPr>
              <w:tabs>
                <w:tab w:val="left" w:pos="-1608"/>
                <w:tab w:val="left" w:pos="-1387"/>
                <w:tab w:val="left" w:pos="-720"/>
                <w:tab w:val="left" w:pos="0"/>
                <w:tab w:val="left" w:pos="360"/>
                <w:tab w:val="left" w:pos="720"/>
                <w:tab w:val="left" w:pos="1073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-1608"/>
                <w:tab w:val="left" w:pos="-1387"/>
                <w:tab w:val="left" w:pos="-720"/>
                <w:tab w:val="left" w:pos="0"/>
                <w:tab w:val="left" w:pos="360"/>
                <w:tab w:val="left" w:pos="720"/>
                <w:tab w:val="left" w:pos="1073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</w:tr>
      <w:tr>
        <w:trPr>
          <w:trHeight w:val="387"/>
        </w:trPr>
        <w:tc>
          <w:tcPr>
            <w:tcW w:w="9309" w:type="dxa"/>
            <w:gridSpan w:val="4"/>
            <w:vAlign w:val="center"/>
          </w:tcPr>
          <w:p>
            <w:pPr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2"/>
                <w:szCs w:val="22"/>
              </w:rPr>
              <w:t>Total Petroleum Hydrocarbons:</w:t>
            </w: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No action level for TPH. TPH is used only to screen for PAHs.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</w:tbl>
    <w:p>
      <w:pPr>
        <w:tabs>
          <w:tab w:val="left" w:pos="630"/>
        </w:tabs>
        <w:ind w:left="450" w:right="144"/>
        <w:rPr>
          <w:sz w:val="18"/>
          <w:szCs w:val="18"/>
        </w:rPr>
      </w:pPr>
    </w:p>
    <w:p>
      <w:pPr>
        <w:numPr>
          <w:ilvl w:val="0"/>
          <w:numId w:val="1"/>
        </w:numPr>
        <w:tabs>
          <w:tab w:val="clear" w:pos="216"/>
          <w:tab w:val="left" w:pos="630"/>
        </w:tabs>
        <w:ind w:left="630" w:right="144" w:hanging="180"/>
        <w:rPr>
          <w:sz w:val="18"/>
          <w:szCs w:val="18"/>
        </w:rPr>
      </w:pPr>
      <w:r>
        <w:rPr>
          <w:sz w:val="18"/>
          <w:szCs w:val="18"/>
        </w:rPr>
        <w:t>The action level for each COC is the</w:t>
      </w:r>
      <w:r>
        <w:rPr>
          <w:b/>
          <w:sz w:val="18"/>
          <w:szCs w:val="18"/>
        </w:rPr>
        <w:t xml:space="preserve"> lowest applicable health-based or groundwater protective target concentration</w:t>
      </w:r>
      <w:r>
        <w:rPr>
          <w:sz w:val="18"/>
          <w:szCs w:val="18"/>
        </w:rPr>
        <w:t xml:space="preserve"> for th</w:t>
      </w:r>
      <w:r>
        <w:rPr>
          <w:sz w:val="18"/>
          <w:szCs w:val="18"/>
        </w:rPr>
        <w:t>e</w:t>
      </w:r>
      <w:r>
        <w:rPr>
          <w:sz w:val="18"/>
          <w:szCs w:val="18"/>
        </w:rPr>
        <w:t xml:space="preserve"> COC.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For COCs not listed, con</w:t>
      </w:r>
      <w:r>
        <w:rPr>
          <w:sz w:val="18"/>
          <w:szCs w:val="18"/>
        </w:rPr>
        <w:t>tact the TCEQ PST Program</w:t>
      </w:r>
      <w:r>
        <w:rPr>
          <w:sz w:val="18"/>
          <w:szCs w:val="18"/>
        </w:rPr>
        <w:t>.</w:t>
      </w:r>
    </w:p>
    <w:p>
      <w:pPr>
        <w:tabs>
          <w:tab w:val="left" w:pos="630"/>
        </w:tabs>
        <w:ind w:left="630" w:right="144" w:hanging="180"/>
        <w:rPr>
          <w:sz w:val="18"/>
          <w:szCs w:val="18"/>
        </w:rPr>
      </w:pPr>
    </w:p>
    <w:p>
      <w:pPr>
        <w:numPr>
          <w:ilvl w:val="0"/>
          <w:numId w:val="1"/>
        </w:numPr>
        <w:tabs>
          <w:tab w:val="clear" w:pos="216"/>
          <w:tab w:val="left" w:pos="630"/>
        </w:tabs>
        <w:ind w:left="630" w:right="144" w:hanging="180"/>
        <w:rPr>
          <w:sz w:val="18"/>
        </w:rPr>
      </w:pPr>
      <w:r>
        <w:rPr>
          <w:sz w:val="18"/>
        </w:rPr>
        <w:t>The action levels in this table do not apply</w:t>
      </w:r>
      <w:r>
        <w:rPr>
          <w:sz w:val="18"/>
        </w:rPr>
        <w:t>,</w:t>
      </w:r>
      <w:r>
        <w:rPr>
          <w:sz w:val="18"/>
        </w:rPr>
        <w:t xml:space="preserve"> and the site will be </w:t>
      </w:r>
      <w:r>
        <w:rPr>
          <w:sz w:val="18"/>
        </w:rPr>
        <w:t>assigned</w:t>
      </w:r>
      <w:r>
        <w:rPr>
          <w:sz w:val="18"/>
        </w:rPr>
        <w:t xml:space="preserve"> an </w:t>
      </w:r>
      <w:r>
        <w:rPr>
          <w:sz w:val="18"/>
        </w:rPr>
        <w:t xml:space="preserve">ID </w:t>
      </w:r>
      <w:r>
        <w:rPr>
          <w:sz w:val="18"/>
        </w:rPr>
        <w:t>number</w:t>
      </w:r>
      <w:r>
        <w:rPr>
          <w:sz w:val="18"/>
        </w:rPr>
        <w:t>,</w:t>
      </w:r>
      <w:r>
        <w:rPr>
          <w:sz w:val="18"/>
        </w:rPr>
        <w:t xml:space="preserve"> when surface water is impacted or threatened by the release; a water well or surface water intake is impacted or threatened; buildings or utilities are impacted with vapors; nuisance conditions such as odors, discoloration, or taste degradation to water supplies are known or suspected; or nonaqueous phase liquid (NAPL) is present. </w:t>
      </w:r>
    </w:p>
    <w:p>
      <w:pPr>
        <w:tabs>
          <w:tab w:val="left" w:pos="630"/>
        </w:tabs>
        <w:ind w:left="630" w:right="144" w:hanging="180"/>
        <w:rPr>
          <w:sz w:val="18"/>
        </w:rPr>
      </w:pPr>
    </w:p>
    <w:p>
      <w:pPr>
        <w:numPr>
          <w:ilvl w:val="0"/>
          <w:numId w:val="1"/>
        </w:numPr>
        <w:tabs>
          <w:tab w:val="clear" w:pos="216"/>
          <w:tab w:val="left" w:pos="630"/>
        </w:tabs>
        <w:ind w:left="630" w:right="144" w:hanging="180"/>
      </w:pPr>
      <w:r>
        <w:rPr>
          <w:sz w:val="18"/>
        </w:rPr>
        <w:t xml:space="preserve">TPH testing is used only to screen for PAHs and is required for all initial release determination activities. </w:t>
      </w:r>
      <w:r>
        <w:rPr>
          <w:sz w:val="18"/>
        </w:rPr>
        <w:t>N</w:t>
      </w:r>
      <w:r>
        <w:rPr>
          <w:sz w:val="18"/>
        </w:rPr>
        <w:t xml:space="preserve">o LPST ID number will be assigned based on TPH alone. For each separate source area where TPH of </w:t>
      </w:r>
      <w:r>
        <w:rPr>
          <w:sz w:val="18"/>
        </w:rPr>
        <w:t xml:space="preserve">greater than </w:t>
      </w:r>
      <w:r>
        <w:rPr>
          <w:sz w:val="18"/>
        </w:rPr>
        <w:t xml:space="preserve">C12 is detected, the sample with the highest TPH </w:t>
      </w:r>
      <w:r>
        <w:rPr>
          <w:sz w:val="18"/>
        </w:rPr>
        <w:t xml:space="preserve">&gt;C12 </w:t>
      </w:r>
      <w:r>
        <w:rPr>
          <w:sz w:val="18"/>
        </w:rPr>
        <w:t>concentration must be tested for PAHs.</w:t>
      </w:r>
    </w:p>
    <w:sectPr>
      <w:footerReference w:type="default" r:id="rId7"/>
      <w:pgSz w:w="12240" w:h="15840"/>
      <w:pgMar w:top="270" w:right="1170" w:bottom="1350" w:left="900" w:header="450" w:footer="21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453" w:rsidRDefault="00F10453">
      <w:r>
        <w:separator/>
      </w:r>
    </w:p>
  </w:endnote>
  <w:endnote w:type="continuationSeparator" w:id="0">
    <w:p w:rsidR="00F10453" w:rsidRDefault="00F10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D8A" w:rsidRPr="00440D8A" w:rsidRDefault="00BB3B70" w:rsidP="00440D8A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Revised </w:t>
    </w:r>
    <w:r w:rsidR="00440D8A" w:rsidRPr="00440D8A">
      <w:rPr>
        <w:sz w:val="20"/>
        <w:szCs w:val="20"/>
      </w:rPr>
      <w:t>August 12, 2011</w:t>
    </w:r>
  </w:p>
  <w:p w:rsidR="00440D8A" w:rsidRDefault="00440D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453" w:rsidRDefault="00F10453">
      <w:r>
        <w:separator/>
      </w:r>
    </w:p>
  </w:footnote>
  <w:footnote w:type="continuationSeparator" w:id="0">
    <w:p w:rsidR="00F10453" w:rsidRDefault="00F104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D08AC"/>
    <w:multiLevelType w:val="multilevel"/>
    <w:tmpl w:val="CD281986"/>
    <w:lvl w:ilvl="0">
      <w:start w:val="1"/>
      <w:numFmt w:val="decimal"/>
      <w:lvlText w:val="%1"/>
      <w:lvlJc w:val="left"/>
      <w:pPr>
        <w:tabs>
          <w:tab w:val="num" w:pos="216"/>
        </w:tabs>
        <w:ind w:left="216" w:hanging="216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(%7)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(%8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(%9.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653862AB"/>
    <w:multiLevelType w:val="multilevel"/>
    <w:tmpl w:val="763408A8"/>
    <w:lvl w:ilvl="0">
      <w:start w:val="1"/>
      <w:numFmt w:val="decimal"/>
      <w:lvlText w:val="%1"/>
      <w:lvlJc w:val="left"/>
      <w:pPr>
        <w:tabs>
          <w:tab w:val="num" w:pos="216"/>
        </w:tabs>
        <w:ind w:left="216" w:hanging="216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(%7)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(%8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(%9.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425"/>
    <w:rPr>
      <w:sz w:val="24"/>
      <w:szCs w:val="24"/>
    </w:rPr>
  </w:style>
  <w:style w:type="paragraph" w:styleId="Heading1">
    <w:name w:val="heading 1"/>
    <w:basedOn w:val="Normal"/>
    <w:next w:val="Normal"/>
    <w:qFormat/>
    <w:rsid w:val="00C114D4"/>
    <w:pPr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A378C"/>
    <w:pPr>
      <w:ind w:left="288" w:right="144" w:hanging="288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rsid w:val="00C114D4"/>
    <w:pPr>
      <w:jc w:val="center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Caption">
    <w:name w:val="caption"/>
    <w:basedOn w:val="Normal"/>
    <w:next w:val="Normal"/>
    <w:qFormat/>
    <w:rsid w:val="00C114D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55"/>
      <w:szCs w:val="55"/>
      <w:u w:val="single"/>
    </w:rPr>
  </w:style>
  <w:style w:type="paragraph" w:styleId="Header">
    <w:name w:val="header"/>
    <w:basedOn w:val="Normal"/>
    <w:rsid w:val="00C114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14D4"/>
    <w:pPr>
      <w:tabs>
        <w:tab w:val="center" w:pos="4320"/>
        <w:tab w:val="right" w:pos="8640"/>
      </w:tabs>
    </w:pPr>
  </w:style>
  <w:style w:type="paragraph" w:styleId="BodyText">
    <w:name w:val="Body Text"/>
    <w:link w:val="BodyTextChar"/>
    <w:qFormat/>
    <w:rsid w:val="00381D4D"/>
    <w:pPr>
      <w:spacing w:after="120"/>
    </w:pPr>
    <w:rPr>
      <w:rFonts w:ascii="Georgia" w:eastAsia="SimSun" w:hAnsi="Georgia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381D4D"/>
    <w:rPr>
      <w:rFonts w:ascii="Georgia" w:eastAsia="SimSun" w:hAnsi="Georgia" w:cs="Times New Roman"/>
      <w:sz w:val="24"/>
      <w:szCs w:val="24"/>
      <w:lang w:val="en-US" w:eastAsia="zh-CN" w:bidi="ar-SA"/>
    </w:rPr>
  </w:style>
  <w:style w:type="character" w:customStyle="1" w:styleId="FooterChar">
    <w:name w:val="Footer Char"/>
    <w:basedOn w:val="DefaultParagraphFont"/>
    <w:link w:val="Footer"/>
    <w:uiPriority w:val="99"/>
    <w:rsid w:val="00440D8A"/>
    <w:rPr>
      <w:sz w:val="24"/>
      <w:szCs w:val="24"/>
    </w:rPr>
  </w:style>
  <w:style w:type="paragraph" w:styleId="BalloonText">
    <w:name w:val="Balloon Text"/>
    <w:basedOn w:val="Normal"/>
    <w:link w:val="BalloonTextChar"/>
    <w:rsid w:val="00440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
<Relationships xmlns="http://schemas.openxmlformats.org/package/2006/relationships">
  <Relationship Type="http://schemas.openxmlformats.org/officeDocument/2006/relationships/fontTable" Target="fontTable.xml" Id="rId8" />
  <Relationship Type="http://schemas.openxmlformats.org/officeDocument/2006/relationships/footer" Target="footer1.xml" Id="rId7" />
  <Relationship Type="http://schemas.openxmlformats.org/officeDocument/2006/relationships/styles" Target="styles.xml" Id="rId2" />
  <Relationship Type="http://schemas.openxmlformats.org/officeDocument/2006/relationships/numbering" Target="numbering.xml" Id="rId1" />
  <Relationship Type="http://schemas.openxmlformats.org/officeDocument/2006/relationships/endnotes" Target="endnotes.xml" Id="rId6" />
  <Relationship Type="http://schemas.openxmlformats.org/officeDocument/2006/relationships/footnotes" Target="footnotes.xml" Id="rId5" />
  <Relationship Type="http://schemas.openxmlformats.org/officeDocument/2006/relationships/webSettings" Target="webSettings.xml" Id="rId4" />
  <Relationship Type="http://schemas.openxmlformats.org/officeDocument/2006/relationships/theme" Target="theme/theme1.xml" Id="rId9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