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A0089" w14:textId="77777777" w:rsidR="00A03680" w:rsidRDefault="00B83F3D" w:rsidP="00512BF8">
      <w:pPr>
        <w:pStyle w:val="BodyText"/>
        <w:spacing w:before="120"/>
        <w:contextualSpacing/>
        <w:jc w:val="center"/>
        <w:rPr>
          <w:b/>
        </w:rPr>
      </w:pPr>
      <w:r w:rsidRPr="00495292">
        <w:rPr>
          <w:b/>
        </w:rPr>
        <w:t xml:space="preserve">Disposal of </w:t>
      </w:r>
      <w:r w:rsidR="00E16D47">
        <w:rPr>
          <w:b/>
        </w:rPr>
        <w:t>Corona</w:t>
      </w:r>
      <w:r w:rsidR="00E4714F">
        <w:rPr>
          <w:b/>
        </w:rPr>
        <w:t>v</w:t>
      </w:r>
      <w:r w:rsidR="00E16D47">
        <w:rPr>
          <w:b/>
        </w:rPr>
        <w:t>irus</w:t>
      </w:r>
      <w:r w:rsidRPr="00495292">
        <w:rPr>
          <w:b/>
        </w:rPr>
        <w:t xml:space="preserve"> </w:t>
      </w:r>
      <w:r w:rsidR="00D9416D">
        <w:rPr>
          <w:b/>
        </w:rPr>
        <w:t xml:space="preserve">(2019-nCOV) </w:t>
      </w:r>
      <w:r w:rsidRPr="00495292">
        <w:rPr>
          <w:b/>
        </w:rPr>
        <w:t>Contaminated Waste</w:t>
      </w:r>
    </w:p>
    <w:p w14:paraId="69F363EE" w14:textId="77777777" w:rsidR="00495292" w:rsidRPr="00495292" w:rsidRDefault="00495292" w:rsidP="00512BF8">
      <w:pPr>
        <w:pStyle w:val="BodyText"/>
        <w:spacing w:before="120"/>
        <w:contextualSpacing/>
        <w:jc w:val="center"/>
        <w:rPr>
          <w:b/>
        </w:rPr>
      </w:pPr>
    </w:p>
    <w:p w14:paraId="394D8B56" w14:textId="77777777" w:rsidR="00B83F3D" w:rsidRPr="00495292" w:rsidRDefault="00B83F3D" w:rsidP="00512BF8">
      <w:pPr>
        <w:pStyle w:val="BodyText"/>
        <w:spacing w:before="120"/>
        <w:contextualSpacing/>
        <w:rPr>
          <w:b/>
          <w:sz w:val="22"/>
          <w:szCs w:val="22"/>
        </w:rPr>
      </w:pPr>
      <w:r w:rsidRPr="00495292">
        <w:rPr>
          <w:b/>
          <w:sz w:val="22"/>
          <w:szCs w:val="22"/>
        </w:rPr>
        <w:t>The Centers for Disease Control (CDC) recommendations:</w:t>
      </w:r>
    </w:p>
    <w:p w14:paraId="6EE72EF7" w14:textId="78EFCA9C" w:rsidR="00B176B1" w:rsidRDefault="0070750D" w:rsidP="00B176B1">
      <w:pPr>
        <w:tabs>
          <w:tab w:val="clear" w:pos="720"/>
        </w:tabs>
        <w:autoSpaceDE w:val="0"/>
        <w:autoSpaceDN w:val="0"/>
        <w:adjustRightInd w:val="0"/>
        <w:spacing w:before="0" w:after="0"/>
        <w:rPr>
          <w:rFonts w:ascii="Times New Roman" w:hAnsi="Times New Roman" w:cs="Times New Roman"/>
          <w:color w:val="000000"/>
          <w:sz w:val="16"/>
          <w:szCs w:val="16"/>
        </w:rPr>
      </w:pPr>
      <w:r>
        <w:rPr>
          <w:sz w:val="22"/>
          <w:szCs w:val="22"/>
        </w:rPr>
        <w:t>On January 21, 202</w:t>
      </w:r>
      <w:r w:rsidR="00D14AA2">
        <w:rPr>
          <w:sz w:val="22"/>
          <w:szCs w:val="22"/>
        </w:rPr>
        <w:t>0</w:t>
      </w:r>
      <w:r>
        <w:rPr>
          <w:sz w:val="22"/>
          <w:szCs w:val="22"/>
        </w:rPr>
        <w:t xml:space="preserve">, the first case of an infection with the new coronavirus </w:t>
      </w:r>
      <w:r w:rsidR="00BC7EA7">
        <w:rPr>
          <w:sz w:val="22"/>
          <w:szCs w:val="22"/>
        </w:rPr>
        <w:t>was reported</w:t>
      </w:r>
      <w:r>
        <w:rPr>
          <w:sz w:val="22"/>
          <w:szCs w:val="22"/>
        </w:rPr>
        <w:t xml:space="preserve"> in Washington State.</w:t>
      </w:r>
      <w:r w:rsidRPr="00495292">
        <w:rPr>
          <w:sz w:val="22"/>
          <w:szCs w:val="22"/>
        </w:rPr>
        <w:t xml:space="preserve"> </w:t>
      </w:r>
      <w:r w:rsidR="00271DAC">
        <w:rPr>
          <w:sz w:val="22"/>
          <w:szCs w:val="22"/>
        </w:rPr>
        <w:t xml:space="preserve">The information provided below was obtained from </w:t>
      </w:r>
      <w:r w:rsidR="00004275">
        <w:rPr>
          <w:sz w:val="22"/>
          <w:szCs w:val="22"/>
        </w:rPr>
        <w:t>the</w:t>
      </w:r>
      <w:r w:rsidR="00271DAC" w:rsidRPr="00495292">
        <w:rPr>
          <w:sz w:val="22"/>
          <w:szCs w:val="22"/>
        </w:rPr>
        <w:t xml:space="preserve"> </w:t>
      </w:r>
      <w:r w:rsidR="00C87E83">
        <w:rPr>
          <w:sz w:val="22"/>
          <w:szCs w:val="22"/>
        </w:rPr>
        <w:t>January</w:t>
      </w:r>
      <w:r w:rsidR="00271DAC">
        <w:rPr>
          <w:sz w:val="22"/>
          <w:szCs w:val="22"/>
        </w:rPr>
        <w:t xml:space="preserve"> 17 and</w:t>
      </w:r>
      <w:r w:rsidR="00C87E83">
        <w:rPr>
          <w:sz w:val="22"/>
          <w:szCs w:val="22"/>
        </w:rPr>
        <w:t xml:space="preserve"> 21, 2020</w:t>
      </w:r>
      <w:r w:rsidR="00B83F3D" w:rsidRPr="00495292">
        <w:rPr>
          <w:sz w:val="22"/>
          <w:szCs w:val="22"/>
        </w:rPr>
        <w:t xml:space="preserve">, CDC published </w:t>
      </w:r>
      <w:r w:rsidR="00F14B8E" w:rsidRPr="00495292">
        <w:rPr>
          <w:sz w:val="22"/>
          <w:szCs w:val="22"/>
        </w:rPr>
        <w:t>guidance</w:t>
      </w:r>
      <w:r w:rsidR="00004275">
        <w:rPr>
          <w:sz w:val="22"/>
          <w:szCs w:val="22"/>
        </w:rPr>
        <w:t xml:space="preserve"> </w:t>
      </w:r>
      <w:r w:rsidR="00C87E83" w:rsidRPr="00C87E83">
        <w:rPr>
          <w:sz w:val="22"/>
          <w:szCs w:val="22"/>
        </w:rPr>
        <w:t xml:space="preserve"> </w:t>
      </w:r>
      <w:r w:rsidR="00BC7EA7">
        <w:rPr>
          <w:sz w:val="22"/>
          <w:szCs w:val="22"/>
        </w:rPr>
        <w:t xml:space="preserve">1) </w:t>
      </w:r>
      <w:hyperlink r:id="rId8" w:history="1">
        <w:r w:rsidR="00C87E83" w:rsidRPr="00C87E83">
          <w:rPr>
            <w:rStyle w:val="Hyperlink"/>
            <w:sz w:val="22"/>
            <w:szCs w:val="22"/>
          </w:rPr>
          <w:t>Preventing 2019 Novel Coronavirus (2019-nCoV) from Spreading to Others in Homes and Communities</w:t>
        </w:r>
      </w:hyperlink>
      <w:r w:rsidR="00271DAC">
        <w:rPr>
          <w:rStyle w:val="Hyperlink"/>
          <w:sz w:val="22"/>
          <w:szCs w:val="22"/>
        </w:rPr>
        <w:t>,</w:t>
      </w:r>
      <w:r w:rsidR="00BC7EA7" w:rsidRPr="000E4DDA">
        <w:rPr>
          <w:rStyle w:val="Hyperlink"/>
          <w:color w:val="auto"/>
          <w:sz w:val="22"/>
          <w:szCs w:val="22"/>
          <w:u w:val="none"/>
        </w:rPr>
        <w:t>2)</w:t>
      </w:r>
      <w:r w:rsidR="00C87E83" w:rsidRPr="000E4DDA">
        <w:rPr>
          <w:sz w:val="22"/>
          <w:szCs w:val="22"/>
        </w:rPr>
        <w:t xml:space="preserve"> </w:t>
      </w:r>
      <w:hyperlink r:id="rId9" w:history="1">
        <w:r w:rsidR="00C87E83" w:rsidRPr="00C87E83">
          <w:rPr>
            <w:rStyle w:val="Hyperlink"/>
            <w:sz w:val="22"/>
            <w:szCs w:val="22"/>
          </w:rPr>
          <w:t>Interim Healthcare Infection Prevention and Control Recommendations for Patients Under Investigation for 2019 Novel Coronavirus</w:t>
        </w:r>
      </w:hyperlink>
      <w:r w:rsidR="00004275">
        <w:rPr>
          <w:rStyle w:val="Hyperlink"/>
          <w:sz w:val="22"/>
          <w:szCs w:val="22"/>
        </w:rPr>
        <w:t xml:space="preserve">, </w:t>
      </w:r>
      <w:r w:rsidR="00004275" w:rsidRPr="000E4DDA">
        <w:rPr>
          <w:rStyle w:val="Hyperlink"/>
          <w:color w:val="auto"/>
          <w:sz w:val="22"/>
          <w:szCs w:val="22"/>
          <w:u w:val="none"/>
        </w:rPr>
        <w:t xml:space="preserve">and </w:t>
      </w:r>
      <w:r w:rsidR="00BC7EA7" w:rsidRPr="000E4DDA">
        <w:rPr>
          <w:rStyle w:val="Hyperlink"/>
          <w:color w:val="auto"/>
          <w:sz w:val="22"/>
          <w:szCs w:val="22"/>
          <w:u w:val="none"/>
        </w:rPr>
        <w:t xml:space="preserve">3) </w:t>
      </w:r>
      <w:hyperlink r:id="rId10" w:history="1">
        <w:r w:rsidR="00004275" w:rsidRPr="00004275">
          <w:rPr>
            <w:rStyle w:val="Hyperlink"/>
            <w:sz w:val="22"/>
            <w:szCs w:val="22"/>
          </w:rPr>
          <w:t>Interim Laboratory Biosafety Guidelines for Handling and Processing Specimens Associated with 2019 Novel Coronavirus (2019-nCoV)</w:t>
        </w:r>
      </w:hyperlink>
      <w:r w:rsidR="00B83F3D" w:rsidRPr="00495292">
        <w:rPr>
          <w:sz w:val="22"/>
          <w:szCs w:val="22"/>
        </w:rPr>
        <w:t>.</w:t>
      </w:r>
      <w:r w:rsidR="004D0181">
        <w:rPr>
          <w:sz w:val="22"/>
          <w:szCs w:val="22"/>
        </w:rPr>
        <w:t xml:space="preserve"> </w:t>
      </w:r>
      <w:r w:rsidR="00004275">
        <w:rPr>
          <w:sz w:val="22"/>
          <w:szCs w:val="22"/>
        </w:rPr>
        <w:t xml:space="preserve">The CDC is still </w:t>
      </w:r>
      <w:r w:rsidR="00991A7A">
        <w:rPr>
          <w:sz w:val="22"/>
          <w:szCs w:val="22"/>
        </w:rPr>
        <w:t>conducting</w:t>
      </w:r>
      <w:r w:rsidR="00004275">
        <w:rPr>
          <w:sz w:val="22"/>
          <w:szCs w:val="22"/>
        </w:rPr>
        <w:t xml:space="preserve"> more research about how easily 2019</w:t>
      </w:r>
      <w:r w:rsidR="00991A7A">
        <w:rPr>
          <w:sz w:val="22"/>
          <w:szCs w:val="22"/>
        </w:rPr>
        <w:t>-</w:t>
      </w:r>
      <w:r w:rsidR="00004275">
        <w:rPr>
          <w:sz w:val="22"/>
          <w:szCs w:val="22"/>
        </w:rPr>
        <w:t xml:space="preserve">nCOV spreads from person to person and the severity of the illness. </w:t>
      </w:r>
      <w:r w:rsidR="00B83F3D" w:rsidRPr="00495292">
        <w:rPr>
          <w:sz w:val="22"/>
          <w:szCs w:val="22"/>
        </w:rPr>
        <w:t xml:space="preserve"> CDC recommends that </w:t>
      </w:r>
      <w:r w:rsidR="00B83F3D" w:rsidRPr="00495292">
        <w:rPr>
          <w:bCs/>
          <w:sz w:val="22"/>
          <w:szCs w:val="22"/>
        </w:rPr>
        <w:t>disposable materials (e.g., any single-use P</w:t>
      </w:r>
      <w:r w:rsidR="00DE6770">
        <w:rPr>
          <w:bCs/>
          <w:sz w:val="22"/>
          <w:szCs w:val="22"/>
        </w:rPr>
        <w:t xml:space="preserve">ersonal Protective </w:t>
      </w:r>
      <w:r w:rsidR="00B83F3D" w:rsidRPr="00495292">
        <w:rPr>
          <w:bCs/>
          <w:sz w:val="22"/>
          <w:szCs w:val="22"/>
        </w:rPr>
        <w:t>E</w:t>
      </w:r>
      <w:r w:rsidR="00DE6770">
        <w:rPr>
          <w:bCs/>
          <w:sz w:val="22"/>
          <w:szCs w:val="22"/>
        </w:rPr>
        <w:t>quipment (PPE)</w:t>
      </w:r>
      <w:r w:rsidR="00B83F3D" w:rsidRPr="00495292">
        <w:rPr>
          <w:bCs/>
          <w:sz w:val="22"/>
          <w:szCs w:val="22"/>
        </w:rPr>
        <w:t>, cleaning cloths, wipes, single-use microfiber cloths, linens, food service) and linens, privacy curtains</w:t>
      </w:r>
      <w:r w:rsidR="00B83F3D" w:rsidRPr="00F05CEB">
        <w:rPr>
          <w:bCs/>
          <w:sz w:val="22"/>
          <w:szCs w:val="22"/>
        </w:rPr>
        <w:t>, and other textiles be</w:t>
      </w:r>
      <w:r w:rsidR="00B83F3D" w:rsidRPr="00F05CEB">
        <w:rPr>
          <w:sz w:val="22"/>
          <w:szCs w:val="22"/>
        </w:rPr>
        <w:t xml:space="preserve"> placed in leak-proof containment and discarded as </w:t>
      </w:r>
      <w:r w:rsidR="00B83F3D" w:rsidRPr="00AA4A2C">
        <w:rPr>
          <w:b/>
          <w:sz w:val="22"/>
          <w:szCs w:val="22"/>
        </w:rPr>
        <w:t>regulated medical waste</w:t>
      </w:r>
      <w:r w:rsidR="00B176B1" w:rsidRPr="00F05CEB">
        <w:rPr>
          <w:sz w:val="22"/>
          <w:szCs w:val="22"/>
        </w:rPr>
        <w:t xml:space="preserve"> (</w:t>
      </w:r>
      <w:hyperlink r:id="rId11" w:anchor="se49.2.173_1134" w:history="1">
        <w:r w:rsidR="00B176B1" w:rsidRPr="000E4DDA">
          <w:rPr>
            <w:rStyle w:val="Hyperlink"/>
            <w:sz w:val="22"/>
            <w:szCs w:val="22"/>
          </w:rPr>
          <w:t>49 CFR 173.134</w:t>
        </w:r>
      </w:hyperlink>
      <w:r w:rsidR="000E4DDA">
        <w:rPr>
          <w:sz w:val="22"/>
          <w:szCs w:val="22"/>
        </w:rPr>
        <w:t>)</w:t>
      </w:r>
      <w:r w:rsidR="00B176B1" w:rsidRPr="00F05CEB">
        <w:rPr>
          <w:sz w:val="22"/>
          <w:szCs w:val="22"/>
        </w:rPr>
        <w:t xml:space="preserve"> - </w:t>
      </w:r>
      <w:r w:rsidR="00B176B1" w:rsidRPr="000F70AA">
        <w:rPr>
          <w:rFonts w:cs="Times New Roman"/>
          <w:b/>
          <w:i/>
          <w:iCs/>
          <w:color w:val="000000"/>
          <w:sz w:val="22"/>
          <w:szCs w:val="22"/>
        </w:rPr>
        <w:t>Regulated medical waste</w:t>
      </w:r>
      <w:r w:rsidR="00B176B1" w:rsidRPr="00F05CEB">
        <w:rPr>
          <w:rFonts w:cs="Times New Roman"/>
          <w:i/>
          <w:iCs/>
          <w:color w:val="000000"/>
          <w:sz w:val="22"/>
          <w:szCs w:val="22"/>
        </w:rPr>
        <w:t xml:space="preserve"> </w:t>
      </w:r>
      <w:r w:rsidR="00B176B1" w:rsidRPr="00F05CEB">
        <w:rPr>
          <w:rFonts w:cs="Times New Roman"/>
          <w:color w:val="000000"/>
          <w:sz w:val="22"/>
          <w:szCs w:val="22"/>
        </w:rPr>
        <w:t xml:space="preserve">means a waste or reusable material derived from the medical treatment of an animal or human, which includes diagnosis and immunization, or from biomedical research, which includes the production and testing of biological products. </w:t>
      </w:r>
    </w:p>
    <w:p w14:paraId="3601B9EF" w14:textId="0BB8E07F" w:rsidR="00B83F3D" w:rsidRPr="00495292" w:rsidRDefault="00B83F3D" w:rsidP="00512BF8">
      <w:pPr>
        <w:pStyle w:val="BodyText"/>
        <w:spacing w:before="120"/>
        <w:contextualSpacing/>
        <w:rPr>
          <w:sz w:val="22"/>
          <w:szCs w:val="22"/>
          <w:vertAlign w:val="superscript"/>
        </w:rPr>
      </w:pPr>
      <w:r w:rsidRPr="00495292">
        <w:rPr>
          <w:sz w:val="22"/>
          <w:szCs w:val="22"/>
        </w:rPr>
        <w:t>To minimize contamination</w:t>
      </w:r>
      <w:r w:rsidR="007B6159">
        <w:rPr>
          <w:sz w:val="22"/>
          <w:szCs w:val="22"/>
        </w:rPr>
        <w:t>,</w:t>
      </w:r>
      <w:r w:rsidRPr="00495292">
        <w:rPr>
          <w:sz w:val="22"/>
          <w:szCs w:val="22"/>
        </w:rPr>
        <w:t xml:space="preserve"> place </w:t>
      </w:r>
      <w:r w:rsidR="007B6159" w:rsidRPr="00495292">
        <w:rPr>
          <w:sz w:val="22"/>
          <w:szCs w:val="22"/>
        </w:rPr>
        <w:t>th</w:t>
      </w:r>
      <w:r w:rsidR="007B6159">
        <w:rPr>
          <w:sz w:val="22"/>
          <w:szCs w:val="22"/>
        </w:rPr>
        <w:t>e</w:t>
      </w:r>
      <w:r w:rsidR="007B6159" w:rsidRPr="00495292">
        <w:rPr>
          <w:sz w:val="22"/>
          <w:szCs w:val="22"/>
        </w:rPr>
        <w:t xml:space="preserve"> </w:t>
      </w:r>
      <w:r w:rsidR="007B6159">
        <w:rPr>
          <w:sz w:val="22"/>
          <w:szCs w:val="22"/>
        </w:rPr>
        <w:t xml:space="preserve">waste </w:t>
      </w:r>
      <w:r w:rsidRPr="00495292">
        <w:rPr>
          <w:sz w:val="22"/>
          <w:szCs w:val="22"/>
        </w:rPr>
        <w:t>bag in a rigid waste receptacle designed for this use.</w:t>
      </w:r>
      <w:r w:rsidR="00004275">
        <w:rPr>
          <w:sz w:val="22"/>
          <w:szCs w:val="22"/>
        </w:rPr>
        <w:t xml:space="preserve"> The CDC recommends that all disposable waste should be</w:t>
      </w:r>
      <w:r w:rsidR="007B6159">
        <w:rPr>
          <w:sz w:val="22"/>
          <w:szCs w:val="22"/>
        </w:rPr>
        <w:t xml:space="preserve"> managed as infectious waste and treated by steam-sterilization (</w:t>
      </w:r>
      <w:r w:rsidR="00004275">
        <w:rPr>
          <w:sz w:val="22"/>
          <w:szCs w:val="22"/>
        </w:rPr>
        <w:t>autoclav</w:t>
      </w:r>
      <w:r w:rsidR="007B6159">
        <w:rPr>
          <w:sz w:val="22"/>
          <w:szCs w:val="22"/>
        </w:rPr>
        <w:t>ing)</w:t>
      </w:r>
      <w:r w:rsidR="00004275">
        <w:rPr>
          <w:sz w:val="22"/>
          <w:szCs w:val="22"/>
        </w:rPr>
        <w:t>.</w:t>
      </w:r>
      <w:bookmarkStart w:id="0" w:name="_GoBack"/>
      <w:bookmarkEnd w:id="0"/>
    </w:p>
    <w:p w14:paraId="7B46D791" w14:textId="77777777" w:rsidR="00B83F3D" w:rsidRPr="00495292" w:rsidRDefault="00B83F3D" w:rsidP="00512BF8">
      <w:pPr>
        <w:pStyle w:val="BodyText"/>
        <w:spacing w:before="120"/>
        <w:contextualSpacing/>
        <w:rPr>
          <w:sz w:val="22"/>
          <w:szCs w:val="22"/>
        </w:rPr>
      </w:pPr>
    </w:p>
    <w:p w14:paraId="1FBBFF50" w14:textId="187BB422" w:rsidR="00B83F3D" w:rsidRDefault="00B83F3D" w:rsidP="00512BF8">
      <w:pPr>
        <w:pStyle w:val="BodyText"/>
        <w:spacing w:before="120"/>
        <w:contextualSpacing/>
        <w:rPr>
          <w:sz w:val="22"/>
          <w:szCs w:val="22"/>
        </w:rPr>
      </w:pPr>
      <w:r w:rsidRPr="00DE6770">
        <w:rPr>
          <w:b/>
          <w:sz w:val="22"/>
          <w:szCs w:val="22"/>
        </w:rPr>
        <w:t xml:space="preserve">The U.S. Department of Transportation </w:t>
      </w:r>
      <w:r w:rsidR="00DE6770">
        <w:rPr>
          <w:b/>
          <w:sz w:val="22"/>
          <w:szCs w:val="22"/>
        </w:rPr>
        <w:t>(US DOT)</w:t>
      </w:r>
      <w:r w:rsidR="00F14B8E" w:rsidRPr="00DE6770">
        <w:rPr>
          <w:b/>
          <w:sz w:val="22"/>
          <w:szCs w:val="22"/>
        </w:rPr>
        <w:t>:</w:t>
      </w:r>
      <w:r w:rsidR="00F14B8E" w:rsidRPr="00DE6770">
        <w:rPr>
          <w:rFonts w:cs="Arial"/>
          <w:sz w:val="22"/>
          <w:szCs w:val="22"/>
        </w:rPr>
        <w:t xml:space="preserve"> </w:t>
      </w:r>
      <w:r w:rsidR="006B22E5">
        <w:rPr>
          <w:rFonts w:cs="Arial"/>
          <w:sz w:val="22"/>
          <w:szCs w:val="22"/>
        </w:rPr>
        <w:t xml:space="preserve">Has </w:t>
      </w:r>
      <w:r w:rsidR="00495292" w:rsidRPr="00DE6770">
        <w:rPr>
          <w:rFonts w:cs="Arial"/>
          <w:sz w:val="22"/>
          <w:szCs w:val="22"/>
        </w:rPr>
        <w:t xml:space="preserve">transportation requirements for </w:t>
      </w:r>
      <w:r w:rsidR="006B22E5">
        <w:rPr>
          <w:rFonts w:cs="Arial"/>
          <w:sz w:val="22"/>
          <w:szCs w:val="22"/>
        </w:rPr>
        <w:t xml:space="preserve">infectious </w:t>
      </w:r>
      <w:r w:rsidR="00271DAC">
        <w:rPr>
          <w:rFonts w:cs="Arial"/>
          <w:sz w:val="22"/>
          <w:szCs w:val="22"/>
        </w:rPr>
        <w:t>waste</w:t>
      </w:r>
      <w:r w:rsidR="006B22E5">
        <w:rPr>
          <w:rFonts w:cs="Arial"/>
          <w:sz w:val="22"/>
          <w:szCs w:val="22"/>
        </w:rPr>
        <w:t xml:space="preserve">.  </w:t>
      </w:r>
      <w:r w:rsidR="00512BF8" w:rsidRPr="00DE6770">
        <w:rPr>
          <w:rFonts w:cs="Arial"/>
          <w:sz w:val="22"/>
          <w:szCs w:val="22"/>
        </w:rPr>
        <w:t xml:space="preserve">In accordance with the </w:t>
      </w:r>
      <w:hyperlink r:id="rId12" w:history="1">
        <w:r w:rsidR="00512BF8" w:rsidRPr="00DE6770">
          <w:rPr>
            <w:rStyle w:val="Hyperlink"/>
            <w:rFonts w:cs="Arial"/>
            <w:color w:val="auto"/>
            <w:sz w:val="22"/>
            <w:szCs w:val="22"/>
          </w:rPr>
          <w:t>Pipeline and Hazardous Materials Safety Administration guidance</w:t>
        </w:r>
      </w:hyperlink>
      <w:r w:rsidR="00BC7EA7">
        <w:rPr>
          <w:rStyle w:val="Hyperlink"/>
          <w:rFonts w:cs="Arial"/>
          <w:color w:val="auto"/>
          <w:sz w:val="22"/>
          <w:szCs w:val="22"/>
        </w:rPr>
        <w:t xml:space="preserve">: </w:t>
      </w:r>
      <w:r w:rsidR="00F14B8E" w:rsidRPr="00DE6770">
        <w:rPr>
          <w:rFonts w:cs="Arial"/>
          <w:sz w:val="22"/>
          <w:szCs w:val="22"/>
        </w:rPr>
        <w:t xml:space="preserve"> “</w:t>
      </w:r>
      <w:r w:rsidR="00F14B8E" w:rsidRPr="00DE6770">
        <w:rPr>
          <w:sz w:val="22"/>
          <w:szCs w:val="22"/>
        </w:rPr>
        <w:t xml:space="preserve">An infectious substance is regulated as a hazardous material under the U.S. Department of </w:t>
      </w:r>
      <w:r w:rsidR="00F14B8E" w:rsidRPr="00495292">
        <w:rPr>
          <w:sz w:val="22"/>
          <w:szCs w:val="22"/>
        </w:rPr>
        <w:t xml:space="preserve">Transportation’s (DOT’s) Hazardous Materials Regulations (HMR; 49 </w:t>
      </w:r>
      <w:r w:rsidR="00E63736">
        <w:rPr>
          <w:sz w:val="22"/>
          <w:szCs w:val="22"/>
        </w:rPr>
        <w:t>Code of Federal Regulations</w:t>
      </w:r>
      <w:r w:rsidR="00F14B8E" w:rsidRPr="00495292">
        <w:rPr>
          <w:sz w:val="22"/>
          <w:szCs w:val="22"/>
        </w:rPr>
        <w:t>, Parts 171-180).</w:t>
      </w:r>
      <w:r w:rsidR="00271DAC">
        <w:rPr>
          <w:sz w:val="22"/>
          <w:szCs w:val="22"/>
        </w:rPr>
        <w:t xml:space="preserve">” In </w:t>
      </w:r>
      <w:r w:rsidR="000E4DDA">
        <w:rPr>
          <w:sz w:val="22"/>
          <w:szCs w:val="22"/>
        </w:rPr>
        <w:t>addition,</w:t>
      </w:r>
      <w:r w:rsidR="00271DAC">
        <w:rPr>
          <w:sz w:val="22"/>
          <w:szCs w:val="22"/>
        </w:rPr>
        <w:t xml:space="preserve"> the guidance states, “a</w:t>
      </w:r>
      <w:r w:rsidR="006B22E5" w:rsidRPr="006B22E5">
        <w:rPr>
          <w:sz w:val="22"/>
          <w:szCs w:val="22"/>
        </w:rPr>
        <w:t>n infectious substance classification is based on the patient or animal’s known medical history or symptoms, endemic local conditions, or professional judgment concerning the individual circumstances of the source human or animal</w:t>
      </w:r>
      <w:r w:rsidR="006B22E5">
        <w:rPr>
          <w:sz w:val="22"/>
          <w:szCs w:val="22"/>
        </w:rPr>
        <w:t>”</w:t>
      </w:r>
    </w:p>
    <w:p w14:paraId="0A3E53C4" w14:textId="77777777" w:rsidR="00512BF8" w:rsidRPr="00495292" w:rsidRDefault="00512BF8" w:rsidP="00512BF8">
      <w:pPr>
        <w:pStyle w:val="BodyText"/>
        <w:spacing w:before="120"/>
        <w:contextualSpacing/>
        <w:rPr>
          <w:sz w:val="22"/>
          <w:szCs w:val="22"/>
        </w:rPr>
      </w:pPr>
    </w:p>
    <w:p w14:paraId="6F099787" w14:textId="11C2FFD0" w:rsidR="001A532C" w:rsidRPr="00AF25F9" w:rsidRDefault="00F14B8E" w:rsidP="00512BF8">
      <w:pPr>
        <w:shd w:val="clear" w:color="auto" w:fill="FEFEFF"/>
        <w:spacing w:before="120" w:after="120"/>
        <w:ind w:right="446"/>
        <w:contextualSpacing/>
        <w:rPr>
          <w:rFonts w:eastAsia="Times New Roman" w:cs="Arial"/>
          <w:sz w:val="22"/>
          <w:szCs w:val="22"/>
        </w:rPr>
      </w:pPr>
      <w:r w:rsidRPr="00AF25F9">
        <w:rPr>
          <w:rFonts w:eastAsia="Times New Roman" w:cs="Arial"/>
          <w:b/>
          <w:sz w:val="22"/>
          <w:szCs w:val="22"/>
        </w:rPr>
        <w:t>Texas Department of State Health Services</w:t>
      </w:r>
      <w:r w:rsidR="00E60B5C" w:rsidRPr="00AF25F9">
        <w:rPr>
          <w:rFonts w:eastAsia="Times New Roman" w:cs="Arial"/>
          <w:b/>
          <w:sz w:val="22"/>
          <w:szCs w:val="22"/>
        </w:rPr>
        <w:t xml:space="preserve"> (DSHS)</w:t>
      </w:r>
      <w:r w:rsidR="001A532C" w:rsidRPr="00AF25F9">
        <w:rPr>
          <w:rFonts w:eastAsia="Times New Roman" w:cs="Arial"/>
          <w:b/>
          <w:sz w:val="22"/>
          <w:szCs w:val="22"/>
        </w:rPr>
        <w:t>:</w:t>
      </w:r>
      <w:r w:rsidR="00BC7EA7">
        <w:rPr>
          <w:rFonts w:eastAsia="Times New Roman" w:cs="Arial"/>
          <w:sz w:val="22"/>
          <w:szCs w:val="22"/>
        </w:rPr>
        <w:t xml:space="preserve"> D</w:t>
      </w:r>
      <w:r w:rsidR="001A532C" w:rsidRPr="00AF25F9">
        <w:rPr>
          <w:rFonts w:eastAsia="Times New Roman" w:cs="Arial"/>
          <w:sz w:val="22"/>
          <w:szCs w:val="22"/>
        </w:rPr>
        <w:t>efin</w:t>
      </w:r>
      <w:r w:rsidR="00BC7EA7">
        <w:rPr>
          <w:rFonts w:eastAsia="Times New Roman" w:cs="Arial"/>
          <w:sz w:val="22"/>
          <w:szCs w:val="22"/>
        </w:rPr>
        <w:t xml:space="preserve">es </w:t>
      </w:r>
      <w:r w:rsidR="001A532C" w:rsidRPr="00AF25F9">
        <w:rPr>
          <w:rFonts w:eastAsia="Times New Roman" w:cs="Arial"/>
          <w:sz w:val="22"/>
          <w:szCs w:val="22"/>
        </w:rPr>
        <w:t>regulated medical waste and approv</w:t>
      </w:r>
      <w:r w:rsidR="00BC7EA7">
        <w:rPr>
          <w:rFonts w:eastAsia="Times New Roman" w:cs="Arial"/>
          <w:sz w:val="22"/>
          <w:szCs w:val="22"/>
        </w:rPr>
        <w:t>es</w:t>
      </w:r>
      <w:r w:rsidR="001A532C" w:rsidRPr="00AF25F9">
        <w:rPr>
          <w:rFonts w:eastAsia="Times New Roman" w:cs="Arial"/>
          <w:sz w:val="22"/>
          <w:szCs w:val="22"/>
        </w:rPr>
        <w:t xml:space="preserve"> treatment methods. The Texas DSHS definition of regulated medical waste does not make a distinction between </w:t>
      </w:r>
      <w:r w:rsidR="001E0330">
        <w:rPr>
          <w:rFonts w:eastAsia="Times New Roman" w:cs="Arial"/>
          <w:sz w:val="22"/>
          <w:szCs w:val="22"/>
        </w:rPr>
        <w:t>Coronavirus</w:t>
      </w:r>
      <w:r w:rsidR="001A532C" w:rsidRPr="00AF25F9">
        <w:rPr>
          <w:rFonts w:eastAsia="Times New Roman" w:cs="Arial"/>
          <w:sz w:val="22"/>
          <w:szCs w:val="22"/>
        </w:rPr>
        <w:t xml:space="preserve"> contaminated waste and regulated medical waste. </w:t>
      </w:r>
      <w:r w:rsidR="00BC7EA7">
        <w:rPr>
          <w:rFonts w:eastAsia="Times New Roman" w:cs="Arial"/>
          <w:sz w:val="22"/>
          <w:szCs w:val="22"/>
        </w:rPr>
        <w:t>M</w:t>
      </w:r>
      <w:r w:rsidR="001A532C" w:rsidRPr="00AF25F9">
        <w:rPr>
          <w:rFonts w:eastAsia="Times New Roman" w:cs="Arial"/>
          <w:sz w:val="22"/>
          <w:szCs w:val="22"/>
        </w:rPr>
        <w:t>edical waste</w:t>
      </w:r>
      <w:r w:rsidR="00BC7EA7">
        <w:rPr>
          <w:rFonts w:eastAsia="Times New Roman" w:cs="Arial"/>
          <w:sz w:val="22"/>
          <w:szCs w:val="22"/>
        </w:rPr>
        <w:t xml:space="preserve"> is defined as</w:t>
      </w:r>
      <w:r w:rsidR="00495292" w:rsidRPr="00AF25F9">
        <w:rPr>
          <w:rFonts w:eastAsia="Times New Roman" w:cs="Arial"/>
          <w:sz w:val="22"/>
          <w:szCs w:val="22"/>
        </w:rPr>
        <w:t xml:space="preserve"> special waste from health care-related facility </w:t>
      </w:r>
      <w:r w:rsidR="00BC7EA7">
        <w:rPr>
          <w:rFonts w:eastAsia="Times New Roman" w:cs="Arial"/>
          <w:sz w:val="22"/>
          <w:szCs w:val="22"/>
        </w:rPr>
        <w:t xml:space="preserve">(see </w:t>
      </w:r>
      <w:hyperlink r:id="rId13" w:history="1">
        <w:r w:rsidR="00495292" w:rsidRPr="00AF25F9">
          <w:rPr>
            <w:rStyle w:val="Hyperlink"/>
            <w:rFonts w:eastAsia="Times New Roman" w:cs="Arial"/>
            <w:color w:val="auto"/>
            <w:sz w:val="22"/>
            <w:szCs w:val="22"/>
          </w:rPr>
          <w:t xml:space="preserve">25 TAC </w:t>
        </w:r>
        <w:r w:rsidR="00501927">
          <w:rPr>
            <w:rStyle w:val="Hyperlink"/>
            <w:rFonts w:eastAsia="Times New Roman" w:cs="Arial"/>
            <w:color w:val="auto"/>
            <w:sz w:val="22"/>
            <w:szCs w:val="22"/>
          </w:rPr>
          <w:t>§</w:t>
        </w:r>
        <w:r w:rsidR="00495292" w:rsidRPr="00AF25F9">
          <w:rPr>
            <w:rStyle w:val="Hyperlink"/>
            <w:rFonts w:eastAsia="Times New Roman" w:cs="Arial"/>
            <w:color w:val="auto"/>
            <w:sz w:val="22"/>
            <w:szCs w:val="22"/>
          </w:rPr>
          <w:t>1.132(44).</w:t>
        </w:r>
      </w:hyperlink>
      <w:r w:rsidR="001A532C" w:rsidRPr="00AF25F9">
        <w:rPr>
          <w:rFonts w:eastAsia="Times New Roman" w:cs="Arial"/>
          <w:sz w:val="22"/>
          <w:szCs w:val="22"/>
        </w:rPr>
        <w:t xml:space="preserve"> </w:t>
      </w:r>
    </w:p>
    <w:p w14:paraId="5E07181E" w14:textId="77777777" w:rsidR="00495292" w:rsidRPr="00495292" w:rsidRDefault="00495292" w:rsidP="00495292">
      <w:pPr>
        <w:shd w:val="clear" w:color="auto" w:fill="FEFEFF"/>
        <w:spacing w:before="120" w:after="120"/>
        <w:ind w:right="446"/>
        <w:contextualSpacing/>
        <w:rPr>
          <w:rFonts w:eastAsia="Times New Roman" w:cs="Arial"/>
          <w:b/>
          <w:color w:val="032E41"/>
          <w:sz w:val="22"/>
          <w:szCs w:val="22"/>
        </w:rPr>
      </w:pPr>
    </w:p>
    <w:p w14:paraId="7DB2DE9A" w14:textId="40E2E32D" w:rsidR="00B83F3D" w:rsidRDefault="00495292" w:rsidP="004512EC">
      <w:pPr>
        <w:shd w:val="clear" w:color="auto" w:fill="FEFEFF"/>
        <w:spacing w:before="120" w:after="120"/>
        <w:ind w:right="446"/>
        <w:contextualSpacing/>
        <w:rPr>
          <w:rFonts w:eastAsia="Times New Roman" w:cs="Arial"/>
          <w:sz w:val="22"/>
          <w:szCs w:val="22"/>
        </w:rPr>
      </w:pPr>
      <w:r w:rsidRPr="00AF25F9">
        <w:rPr>
          <w:rFonts w:eastAsia="Times New Roman" w:cs="Arial"/>
          <w:b/>
          <w:sz w:val="22"/>
          <w:szCs w:val="22"/>
        </w:rPr>
        <w:t>The Texas Commission on Environmental Quality</w:t>
      </w:r>
      <w:r w:rsidR="00E60B5C" w:rsidRPr="00AF25F9">
        <w:rPr>
          <w:rFonts w:eastAsia="Times New Roman" w:cs="Arial"/>
          <w:b/>
          <w:sz w:val="22"/>
          <w:szCs w:val="22"/>
        </w:rPr>
        <w:t xml:space="preserve"> (TCEQ)</w:t>
      </w:r>
      <w:r w:rsidRPr="00AF25F9">
        <w:rPr>
          <w:rFonts w:eastAsia="Times New Roman" w:cs="Arial"/>
          <w:b/>
          <w:sz w:val="22"/>
          <w:szCs w:val="22"/>
        </w:rPr>
        <w:t>:</w:t>
      </w:r>
      <w:r w:rsidR="00BC7EA7">
        <w:rPr>
          <w:rFonts w:eastAsia="Times New Roman" w:cs="Arial"/>
          <w:b/>
          <w:sz w:val="22"/>
          <w:szCs w:val="22"/>
        </w:rPr>
        <w:t xml:space="preserve"> </w:t>
      </w:r>
      <w:r w:rsidR="00BC7EA7">
        <w:rPr>
          <w:rFonts w:eastAsia="Times New Roman" w:cs="Arial"/>
          <w:sz w:val="22"/>
          <w:szCs w:val="22"/>
        </w:rPr>
        <w:t>M</w:t>
      </w:r>
      <w:r w:rsidRPr="00AF25F9">
        <w:rPr>
          <w:rFonts w:eastAsia="Times New Roman" w:cs="Arial"/>
          <w:sz w:val="22"/>
          <w:szCs w:val="22"/>
        </w:rPr>
        <w:t>anag</w:t>
      </w:r>
      <w:r w:rsidR="00BC7EA7">
        <w:rPr>
          <w:rFonts w:eastAsia="Times New Roman" w:cs="Arial"/>
          <w:sz w:val="22"/>
          <w:szCs w:val="22"/>
        </w:rPr>
        <w:t>es</w:t>
      </w:r>
      <w:r w:rsidRPr="00AF25F9">
        <w:rPr>
          <w:rFonts w:eastAsia="Times New Roman" w:cs="Arial"/>
          <w:sz w:val="22"/>
          <w:szCs w:val="22"/>
        </w:rPr>
        <w:t xml:space="preserve"> </w:t>
      </w:r>
      <w:r w:rsidR="00E60B5C" w:rsidRPr="00AF25F9">
        <w:rPr>
          <w:rFonts w:eastAsia="Times New Roman" w:cs="Arial"/>
          <w:sz w:val="22"/>
          <w:szCs w:val="22"/>
        </w:rPr>
        <w:t xml:space="preserve">medical waste </w:t>
      </w:r>
      <w:r w:rsidRPr="00AF25F9">
        <w:rPr>
          <w:rFonts w:eastAsia="Times New Roman" w:cs="Arial"/>
          <w:sz w:val="22"/>
          <w:szCs w:val="22"/>
        </w:rPr>
        <w:t xml:space="preserve">including transportation, storage, treatment and transfer facilities. </w:t>
      </w:r>
      <w:hyperlink r:id="rId14" w:history="1">
        <w:r w:rsidRPr="00AF25F9">
          <w:rPr>
            <w:rStyle w:val="Hyperlink"/>
            <w:rFonts w:eastAsia="Times New Roman" w:cs="Arial"/>
            <w:color w:val="auto"/>
            <w:sz w:val="22"/>
            <w:szCs w:val="22"/>
          </w:rPr>
          <w:t xml:space="preserve">30 TAC </w:t>
        </w:r>
        <w:r w:rsidR="00274A5C">
          <w:rPr>
            <w:rStyle w:val="Hyperlink"/>
            <w:rFonts w:eastAsia="Times New Roman" w:cs="Arial"/>
            <w:color w:val="auto"/>
            <w:sz w:val="22"/>
            <w:szCs w:val="22"/>
          </w:rPr>
          <w:t xml:space="preserve">Chapter 326, Subchapter B, </w:t>
        </w:r>
        <w:r w:rsidR="00501927">
          <w:rPr>
            <w:rStyle w:val="Hyperlink"/>
            <w:rFonts w:eastAsia="Times New Roman" w:cs="Arial"/>
            <w:color w:val="auto"/>
            <w:sz w:val="22"/>
            <w:szCs w:val="22"/>
          </w:rPr>
          <w:t>§</w:t>
        </w:r>
        <w:r w:rsidR="00274A5C">
          <w:rPr>
            <w:rStyle w:val="Hyperlink"/>
            <w:rFonts w:eastAsia="Times New Roman" w:cs="Arial"/>
            <w:color w:val="auto"/>
            <w:sz w:val="22"/>
            <w:szCs w:val="22"/>
          </w:rPr>
          <w:t>326.21</w:t>
        </w:r>
        <w:r w:rsidRPr="00AF25F9">
          <w:rPr>
            <w:rStyle w:val="Hyperlink"/>
            <w:rFonts w:eastAsia="Times New Roman" w:cs="Arial"/>
            <w:color w:val="auto"/>
            <w:sz w:val="22"/>
            <w:szCs w:val="22"/>
          </w:rPr>
          <w:t>(c)</w:t>
        </w:r>
      </w:hyperlink>
      <w:r w:rsidRPr="00AF25F9">
        <w:rPr>
          <w:rFonts w:eastAsia="Times New Roman" w:cs="Arial"/>
          <w:sz w:val="22"/>
          <w:szCs w:val="22"/>
        </w:rPr>
        <w:t xml:space="preserve"> regarding packaging requirements for generators of medical waste make reference to the U.S. DOT rule </w:t>
      </w:r>
      <w:r w:rsidR="00512BF8" w:rsidRPr="00AF25F9">
        <w:rPr>
          <w:rFonts w:eastAsia="Times New Roman" w:cs="Arial"/>
          <w:sz w:val="22"/>
          <w:szCs w:val="22"/>
        </w:rPr>
        <w:t xml:space="preserve">49 </w:t>
      </w:r>
      <w:r w:rsidR="004512EC" w:rsidRPr="00AF25F9">
        <w:rPr>
          <w:rFonts w:eastAsia="Times New Roman" w:cs="Arial"/>
          <w:sz w:val="22"/>
          <w:szCs w:val="22"/>
        </w:rPr>
        <w:t>CFR</w:t>
      </w:r>
      <w:r w:rsidR="00512BF8" w:rsidRPr="00AF25F9">
        <w:rPr>
          <w:rFonts w:eastAsia="Times New Roman" w:cs="Arial"/>
          <w:sz w:val="22"/>
          <w:szCs w:val="22"/>
        </w:rPr>
        <w:t xml:space="preserve"> §</w:t>
      </w:r>
      <w:hyperlink r:id="rId15" w:history="1">
        <w:r w:rsidR="00512BF8" w:rsidRPr="00AF25F9">
          <w:rPr>
            <w:rStyle w:val="Hyperlink"/>
            <w:rFonts w:eastAsia="Times New Roman" w:cs="Arial"/>
            <w:color w:val="auto"/>
            <w:sz w:val="22"/>
            <w:szCs w:val="22"/>
          </w:rPr>
          <w:t>173.134</w:t>
        </w:r>
      </w:hyperlink>
      <w:r w:rsidR="00E60B5C" w:rsidRPr="00AF25F9">
        <w:rPr>
          <w:rFonts w:eastAsia="Times New Roman" w:cs="Arial"/>
          <w:sz w:val="22"/>
          <w:szCs w:val="22"/>
        </w:rPr>
        <w:t xml:space="preserve"> which contains </w:t>
      </w:r>
      <w:r w:rsidR="00512BF8" w:rsidRPr="00AF25F9">
        <w:rPr>
          <w:rFonts w:eastAsia="Times New Roman" w:cs="Arial"/>
          <w:sz w:val="22"/>
          <w:szCs w:val="22"/>
        </w:rPr>
        <w:t>requirements for regulated medical waste</w:t>
      </w:r>
      <w:r w:rsidR="004512EC" w:rsidRPr="00AF25F9">
        <w:rPr>
          <w:rFonts w:eastAsia="Times New Roman" w:cs="Arial"/>
          <w:sz w:val="22"/>
          <w:szCs w:val="22"/>
        </w:rPr>
        <w:t xml:space="preserve"> </w:t>
      </w:r>
      <w:r w:rsidR="00512BF8" w:rsidRPr="00AF25F9">
        <w:rPr>
          <w:rFonts w:eastAsia="Times New Roman" w:cs="Arial"/>
          <w:sz w:val="22"/>
          <w:szCs w:val="22"/>
        </w:rPr>
        <w:t xml:space="preserve">. </w:t>
      </w:r>
      <w:r w:rsidR="004512EC" w:rsidRPr="00AF25F9">
        <w:rPr>
          <w:rFonts w:eastAsia="Times New Roman" w:cs="Arial"/>
          <w:sz w:val="22"/>
          <w:szCs w:val="22"/>
        </w:rPr>
        <w:t xml:space="preserve">30 TAC </w:t>
      </w:r>
      <w:r w:rsidR="00501927">
        <w:rPr>
          <w:rFonts w:eastAsia="Times New Roman" w:cs="Arial"/>
          <w:sz w:val="22"/>
          <w:szCs w:val="22"/>
        </w:rPr>
        <w:t>§</w:t>
      </w:r>
      <w:hyperlink r:id="rId16" w:history="1">
        <w:r w:rsidR="004512EC" w:rsidRPr="00AF25F9">
          <w:rPr>
            <w:rStyle w:val="Hyperlink"/>
            <w:rFonts w:eastAsia="Times New Roman" w:cs="Arial"/>
            <w:color w:val="auto"/>
            <w:sz w:val="22"/>
            <w:szCs w:val="22"/>
          </w:rPr>
          <w:t>3</w:t>
        </w:r>
        <w:r w:rsidR="00274A5C">
          <w:rPr>
            <w:rStyle w:val="Hyperlink"/>
            <w:rFonts w:eastAsia="Times New Roman" w:cs="Arial"/>
            <w:color w:val="auto"/>
            <w:sz w:val="22"/>
            <w:szCs w:val="22"/>
          </w:rPr>
          <w:t>26.19(a)</w:t>
        </w:r>
      </w:hyperlink>
      <w:r w:rsidR="00E60B5C" w:rsidRPr="00AF25F9">
        <w:rPr>
          <w:rFonts w:eastAsia="Times New Roman" w:cs="Arial"/>
          <w:sz w:val="22"/>
          <w:szCs w:val="22"/>
        </w:rPr>
        <w:t xml:space="preserve"> </w:t>
      </w:r>
      <w:r w:rsidR="004512EC" w:rsidRPr="00AF25F9">
        <w:rPr>
          <w:rFonts w:eastAsia="Times New Roman" w:cs="Arial"/>
          <w:sz w:val="22"/>
          <w:szCs w:val="22"/>
        </w:rPr>
        <w:t xml:space="preserve">makes reference to </w:t>
      </w:r>
      <w:hyperlink r:id="rId17" w:history="1">
        <w:r w:rsidR="004512EC" w:rsidRPr="00AF25F9">
          <w:rPr>
            <w:rStyle w:val="Hyperlink"/>
            <w:rFonts w:eastAsia="Times New Roman" w:cs="Arial"/>
            <w:color w:val="auto"/>
            <w:sz w:val="22"/>
            <w:szCs w:val="22"/>
          </w:rPr>
          <w:t xml:space="preserve">49 CFR </w:t>
        </w:r>
        <w:r w:rsidR="00501927">
          <w:rPr>
            <w:rStyle w:val="Hyperlink"/>
            <w:rFonts w:eastAsia="Times New Roman" w:cs="Arial"/>
            <w:color w:val="auto"/>
            <w:sz w:val="22"/>
            <w:szCs w:val="22"/>
          </w:rPr>
          <w:t>§</w:t>
        </w:r>
        <w:r w:rsidR="004512EC" w:rsidRPr="00AF25F9">
          <w:rPr>
            <w:rStyle w:val="Hyperlink"/>
            <w:rFonts w:eastAsia="Times New Roman" w:cs="Arial"/>
            <w:color w:val="auto"/>
            <w:sz w:val="22"/>
            <w:szCs w:val="22"/>
          </w:rPr>
          <w:t>173.134</w:t>
        </w:r>
      </w:hyperlink>
      <w:r w:rsidR="00DE6770">
        <w:rPr>
          <w:rStyle w:val="Hyperlink"/>
          <w:rFonts w:eastAsia="Times New Roman" w:cs="Arial"/>
          <w:color w:val="auto"/>
          <w:sz w:val="22"/>
          <w:szCs w:val="22"/>
        </w:rPr>
        <w:t>(c)</w:t>
      </w:r>
      <w:r w:rsidR="004512EC" w:rsidRPr="00AF25F9">
        <w:rPr>
          <w:rFonts w:eastAsia="Times New Roman" w:cs="Arial"/>
          <w:sz w:val="22"/>
          <w:szCs w:val="22"/>
        </w:rPr>
        <w:t xml:space="preserve"> </w:t>
      </w:r>
      <w:r w:rsidR="00E60B5C" w:rsidRPr="00AF25F9">
        <w:rPr>
          <w:rFonts w:eastAsia="Times New Roman" w:cs="Arial"/>
          <w:sz w:val="22"/>
          <w:szCs w:val="22"/>
        </w:rPr>
        <w:t>regarding</w:t>
      </w:r>
      <w:r w:rsidR="004512EC" w:rsidRPr="00AF25F9">
        <w:rPr>
          <w:rFonts w:eastAsia="Times New Roman" w:cs="Arial"/>
          <w:sz w:val="22"/>
          <w:szCs w:val="22"/>
        </w:rPr>
        <w:t xml:space="preserve"> labeling requirements for regulated medical waste. </w:t>
      </w:r>
      <w:r w:rsidR="00512BF8" w:rsidRPr="00AF25F9">
        <w:rPr>
          <w:rFonts w:eastAsia="Times New Roman" w:cs="Arial"/>
          <w:sz w:val="22"/>
          <w:szCs w:val="22"/>
        </w:rPr>
        <w:t xml:space="preserve"> </w:t>
      </w:r>
    </w:p>
    <w:p w14:paraId="5212B7E6" w14:textId="77777777" w:rsidR="00274A5C" w:rsidRDefault="00274A5C" w:rsidP="004512EC">
      <w:pPr>
        <w:shd w:val="clear" w:color="auto" w:fill="FEFEFF"/>
        <w:spacing w:before="120" w:after="120"/>
        <w:ind w:right="446"/>
        <w:contextualSpacing/>
        <w:rPr>
          <w:rFonts w:eastAsia="Times New Roman" w:cs="Arial"/>
          <w:sz w:val="22"/>
          <w:szCs w:val="22"/>
        </w:rPr>
      </w:pPr>
    </w:p>
    <w:p w14:paraId="3325D96F" w14:textId="57245AFD" w:rsidR="00274A5C" w:rsidRDefault="00D14AA2" w:rsidP="004512EC">
      <w:pPr>
        <w:shd w:val="clear" w:color="auto" w:fill="FEFEFF"/>
        <w:spacing w:before="120" w:after="120"/>
        <w:ind w:right="446"/>
        <w:contextualSpacing/>
        <w:rPr>
          <w:rFonts w:eastAsia="Times New Roman" w:cs="Arial"/>
          <w:sz w:val="22"/>
          <w:szCs w:val="22"/>
        </w:rPr>
      </w:pPr>
      <w:r>
        <w:rPr>
          <w:rFonts w:eastAsia="Times New Roman" w:cs="Arial"/>
          <w:sz w:val="22"/>
          <w:szCs w:val="22"/>
        </w:rPr>
        <w:t xml:space="preserve">As of </w:t>
      </w:r>
      <w:r w:rsidR="000E4DDA">
        <w:rPr>
          <w:rFonts w:eastAsia="Times New Roman" w:cs="Arial"/>
          <w:sz w:val="22"/>
          <w:szCs w:val="22"/>
        </w:rPr>
        <w:t>August</w:t>
      </w:r>
      <w:r>
        <w:rPr>
          <w:rFonts w:eastAsia="Times New Roman" w:cs="Arial"/>
          <w:sz w:val="22"/>
          <w:szCs w:val="22"/>
        </w:rPr>
        <w:t xml:space="preserve"> 20</w:t>
      </w:r>
      <w:r w:rsidR="00271DAC">
        <w:rPr>
          <w:rFonts w:eastAsia="Times New Roman" w:cs="Arial"/>
          <w:sz w:val="22"/>
          <w:szCs w:val="22"/>
        </w:rPr>
        <w:t>19</w:t>
      </w:r>
      <w:r>
        <w:rPr>
          <w:rFonts w:eastAsia="Times New Roman" w:cs="Arial"/>
          <w:sz w:val="22"/>
          <w:szCs w:val="22"/>
        </w:rPr>
        <w:t>,</w:t>
      </w:r>
      <w:r w:rsidR="00E15367">
        <w:rPr>
          <w:rFonts w:eastAsia="Times New Roman" w:cs="Arial"/>
          <w:sz w:val="22"/>
          <w:szCs w:val="22"/>
        </w:rPr>
        <w:t xml:space="preserve"> </w:t>
      </w:r>
      <w:r>
        <w:rPr>
          <w:rFonts w:eastAsia="Times New Roman" w:cs="Arial"/>
          <w:sz w:val="22"/>
          <w:szCs w:val="22"/>
        </w:rPr>
        <w:t>t</w:t>
      </w:r>
      <w:r w:rsidR="00274A5C">
        <w:rPr>
          <w:rFonts w:eastAsia="Times New Roman" w:cs="Arial"/>
          <w:sz w:val="22"/>
          <w:szCs w:val="22"/>
        </w:rPr>
        <w:t xml:space="preserve">he State of Texas has a total of </w:t>
      </w:r>
      <w:r w:rsidR="00D9763C">
        <w:rPr>
          <w:rFonts w:eastAsia="Times New Roman" w:cs="Arial"/>
          <w:sz w:val="22"/>
          <w:szCs w:val="22"/>
        </w:rPr>
        <w:t>fifteen</w:t>
      </w:r>
      <w:r w:rsidR="00205661">
        <w:rPr>
          <w:rFonts w:eastAsia="Times New Roman" w:cs="Arial"/>
          <w:sz w:val="22"/>
          <w:szCs w:val="22"/>
        </w:rPr>
        <w:t xml:space="preserve"> </w:t>
      </w:r>
      <w:r>
        <w:rPr>
          <w:rFonts w:eastAsia="Times New Roman" w:cs="Arial"/>
          <w:sz w:val="22"/>
          <w:szCs w:val="22"/>
        </w:rPr>
        <w:t>(1</w:t>
      </w:r>
      <w:r w:rsidR="00190762">
        <w:rPr>
          <w:rFonts w:eastAsia="Times New Roman" w:cs="Arial"/>
          <w:sz w:val="22"/>
          <w:szCs w:val="22"/>
        </w:rPr>
        <w:t>5</w:t>
      </w:r>
      <w:r>
        <w:rPr>
          <w:rFonts w:eastAsia="Times New Roman" w:cs="Arial"/>
          <w:sz w:val="22"/>
          <w:szCs w:val="22"/>
        </w:rPr>
        <w:t xml:space="preserve">) </w:t>
      </w:r>
      <w:r w:rsidR="00274A5C">
        <w:rPr>
          <w:rFonts w:eastAsia="Times New Roman" w:cs="Arial"/>
          <w:sz w:val="22"/>
          <w:szCs w:val="22"/>
        </w:rPr>
        <w:t>active medical waste treatment facilities</w:t>
      </w:r>
      <w:r>
        <w:rPr>
          <w:rFonts w:eastAsia="Times New Roman" w:cs="Arial"/>
          <w:sz w:val="22"/>
          <w:szCs w:val="22"/>
        </w:rPr>
        <w:t>, o</w:t>
      </w:r>
      <w:r w:rsidR="00274A5C">
        <w:rPr>
          <w:rFonts w:eastAsia="Times New Roman" w:cs="Arial"/>
          <w:sz w:val="22"/>
          <w:szCs w:val="22"/>
        </w:rPr>
        <w:t>f those</w:t>
      </w:r>
      <w:r>
        <w:rPr>
          <w:rFonts w:eastAsia="Times New Roman" w:cs="Arial"/>
          <w:sz w:val="22"/>
          <w:szCs w:val="22"/>
        </w:rPr>
        <w:t xml:space="preserve"> three (3) use incineration, thirteen (13) use steam sterilization, and five (5) use an alternative treatment method.</w:t>
      </w:r>
      <w:r w:rsidR="00E15367">
        <w:rPr>
          <w:rFonts w:eastAsia="Times New Roman" w:cs="Arial"/>
          <w:sz w:val="22"/>
          <w:szCs w:val="22"/>
        </w:rPr>
        <w:t xml:space="preserve"> Some of th</w:t>
      </w:r>
      <w:r w:rsidR="00190762">
        <w:rPr>
          <w:rFonts w:eastAsia="Times New Roman" w:cs="Arial"/>
          <w:sz w:val="22"/>
          <w:szCs w:val="22"/>
        </w:rPr>
        <w:t>ose</w:t>
      </w:r>
      <w:r w:rsidR="00E15367">
        <w:rPr>
          <w:rFonts w:eastAsia="Times New Roman" w:cs="Arial"/>
          <w:sz w:val="22"/>
          <w:szCs w:val="22"/>
        </w:rPr>
        <w:t xml:space="preserve"> facilities are authorized to use two different treatment method</w:t>
      </w:r>
      <w:r w:rsidR="00865FE3">
        <w:rPr>
          <w:rFonts w:eastAsia="Times New Roman" w:cs="Arial"/>
          <w:sz w:val="22"/>
          <w:szCs w:val="22"/>
        </w:rPr>
        <w:t>s</w:t>
      </w:r>
      <w:r w:rsidR="00E15367">
        <w:rPr>
          <w:rFonts w:eastAsia="Times New Roman" w:cs="Arial"/>
          <w:sz w:val="22"/>
          <w:szCs w:val="22"/>
        </w:rPr>
        <w:t xml:space="preserve">. </w:t>
      </w:r>
      <w:r w:rsidR="004131F7">
        <w:rPr>
          <w:rFonts w:eastAsia="Times New Roman" w:cs="Arial"/>
          <w:sz w:val="22"/>
          <w:szCs w:val="22"/>
        </w:rPr>
        <w:t xml:space="preserve">(See Attached – </w:t>
      </w:r>
      <w:r w:rsidR="004131F7" w:rsidRPr="004131F7">
        <w:rPr>
          <w:rFonts w:eastAsia="Times New Roman" w:cs="Arial"/>
          <w:i/>
          <w:sz w:val="22"/>
          <w:szCs w:val="22"/>
        </w:rPr>
        <w:t>Active Medical Waste Facilities in Texas</w:t>
      </w:r>
      <w:r w:rsidR="004131F7">
        <w:rPr>
          <w:rFonts w:eastAsia="Times New Roman" w:cs="Arial"/>
          <w:sz w:val="22"/>
          <w:szCs w:val="22"/>
        </w:rPr>
        <w:t>)</w:t>
      </w:r>
    </w:p>
    <w:p w14:paraId="4E1339DC" w14:textId="77777777" w:rsidR="000E151B" w:rsidRDefault="000E151B" w:rsidP="004512EC">
      <w:pPr>
        <w:shd w:val="clear" w:color="auto" w:fill="FEFEFF"/>
        <w:spacing w:before="120" w:after="120"/>
        <w:ind w:right="446"/>
        <w:contextualSpacing/>
        <w:rPr>
          <w:rFonts w:eastAsia="Times New Roman" w:cs="Arial"/>
          <w:sz w:val="22"/>
          <w:szCs w:val="22"/>
        </w:rPr>
      </w:pPr>
    </w:p>
    <w:p w14:paraId="529F9226" w14:textId="77777777" w:rsidR="00865FE3" w:rsidRDefault="00865FE3" w:rsidP="004512EC">
      <w:pPr>
        <w:shd w:val="clear" w:color="auto" w:fill="FEFEFF"/>
        <w:spacing w:before="120" w:after="120"/>
        <w:ind w:right="446"/>
        <w:contextualSpacing/>
        <w:rPr>
          <w:rFonts w:eastAsia="Times New Roman" w:cs="Arial"/>
          <w:sz w:val="22"/>
          <w:szCs w:val="22"/>
        </w:rPr>
      </w:pPr>
    </w:p>
    <w:p w14:paraId="4EB6A4DB" w14:textId="77777777" w:rsidR="000E151B" w:rsidRDefault="000E151B" w:rsidP="004512EC">
      <w:pPr>
        <w:shd w:val="clear" w:color="auto" w:fill="FEFEFF"/>
        <w:spacing w:before="120" w:after="120"/>
        <w:ind w:right="446"/>
        <w:contextualSpacing/>
        <w:rPr>
          <w:rFonts w:eastAsia="Times New Roman" w:cs="Arial"/>
          <w:sz w:val="22"/>
          <w:szCs w:val="22"/>
        </w:rPr>
      </w:pPr>
    </w:p>
    <w:sectPr w:rsidR="000E151B" w:rsidSect="004512EC">
      <w:footerReference w:type="default" r:id="rId1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3C1F3" w14:textId="77777777" w:rsidR="00335786" w:rsidRDefault="00335786" w:rsidP="00F42E5B">
      <w:pPr>
        <w:spacing w:before="0" w:after="0"/>
      </w:pPr>
      <w:r>
        <w:separator/>
      </w:r>
    </w:p>
  </w:endnote>
  <w:endnote w:type="continuationSeparator" w:id="0">
    <w:p w14:paraId="67FAEADA" w14:textId="77777777" w:rsidR="00335786" w:rsidRDefault="00335786" w:rsidP="00F42E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C912" w14:textId="1E7E6960" w:rsidR="00F42E5B" w:rsidRPr="004131F7" w:rsidRDefault="004131F7" w:rsidP="00F42E5B">
    <w:pPr>
      <w:pStyle w:val="Footer"/>
      <w:spacing w:before="100" w:beforeAutospacing="1" w:after="100" w:afterAutospacing="1"/>
      <w:rPr>
        <w:sz w:val="20"/>
        <w:szCs w:val="20"/>
      </w:rPr>
    </w:pPr>
    <w:r w:rsidRPr="004131F7">
      <w:rPr>
        <w:sz w:val="20"/>
        <w:szCs w:val="20"/>
      </w:rPr>
      <w:t>OOW/WPD/MSW</w:t>
    </w:r>
    <w:r w:rsidR="00F42E5B" w:rsidRPr="004131F7">
      <w:rPr>
        <w:sz w:val="20"/>
        <w:szCs w:val="20"/>
      </w:rPr>
      <w:tab/>
    </w:r>
    <w:r w:rsidR="00F42E5B" w:rsidRPr="004131F7">
      <w:rPr>
        <w:sz w:val="20"/>
        <w:szCs w:val="20"/>
      </w:rPr>
      <w:tab/>
    </w:r>
    <w:r w:rsidR="000E4DDA" w:rsidRPr="004131F7">
      <w:rPr>
        <w:sz w:val="20"/>
        <w:szCs w:val="20"/>
      </w:rPr>
      <w:t>January 23,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0C30C" w14:textId="77777777" w:rsidR="00335786" w:rsidRDefault="00335786" w:rsidP="00F42E5B">
      <w:pPr>
        <w:spacing w:before="0" w:after="0"/>
      </w:pPr>
      <w:r>
        <w:separator/>
      </w:r>
    </w:p>
  </w:footnote>
  <w:footnote w:type="continuationSeparator" w:id="0">
    <w:p w14:paraId="42DCDB44" w14:textId="77777777" w:rsidR="00335786" w:rsidRDefault="00335786" w:rsidP="00F42E5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5406"/>
    <w:multiLevelType w:val="multilevel"/>
    <w:tmpl w:val="09987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9515CF"/>
    <w:multiLevelType w:val="multilevel"/>
    <w:tmpl w:val="B04A7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13"/>
  </w:num>
  <w:num w:numId="10">
    <w:abstractNumId w:val="12"/>
  </w:num>
  <w:num w:numId="11">
    <w:abstractNumId w:val="7"/>
  </w:num>
  <w:num w:numId="12">
    <w:abstractNumId w:val="9"/>
  </w:num>
  <w:num w:numId="13">
    <w:abstractNumId w:val="8"/>
  </w:num>
  <w:num w:numId="1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3D"/>
    <w:rsid w:val="00004275"/>
    <w:rsid w:val="00051B7F"/>
    <w:rsid w:val="000E151B"/>
    <w:rsid w:val="000E4DDA"/>
    <w:rsid w:val="000F70AA"/>
    <w:rsid w:val="00116413"/>
    <w:rsid w:val="00190762"/>
    <w:rsid w:val="001A532C"/>
    <w:rsid w:val="001E0330"/>
    <w:rsid w:val="00205661"/>
    <w:rsid w:val="00261265"/>
    <w:rsid w:val="00267310"/>
    <w:rsid w:val="002677C4"/>
    <w:rsid w:val="00271DAC"/>
    <w:rsid w:val="00274A5C"/>
    <w:rsid w:val="00297D38"/>
    <w:rsid w:val="002D4E2D"/>
    <w:rsid w:val="00335786"/>
    <w:rsid w:val="00351FD0"/>
    <w:rsid w:val="00372E5A"/>
    <w:rsid w:val="00393C75"/>
    <w:rsid w:val="003B41DF"/>
    <w:rsid w:val="003F5ABB"/>
    <w:rsid w:val="004131F7"/>
    <w:rsid w:val="004512EC"/>
    <w:rsid w:val="00480261"/>
    <w:rsid w:val="00495292"/>
    <w:rsid w:val="004A4379"/>
    <w:rsid w:val="004D0181"/>
    <w:rsid w:val="004D2CA6"/>
    <w:rsid w:val="00501927"/>
    <w:rsid w:val="00512BF8"/>
    <w:rsid w:val="005464F5"/>
    <w:rsid w:val="0055212A"/>
    <w:rsid w:val="00591344"/>
    <w:rsid w:val="005F337F"/>
    <w:rsid w:val="00625370"/>
    <w:rsid w:val="0065525B"/>
    <w:rsid w:val="006730D8"/>
    <w:rsid w:val="006B22E5"/>
    <w:rsid w:val="006C6CEB"/>
    <w:rsid w:val="0070750D"/>
    <w:rsid w:val="0072249E"/>
    <w:rsid w:val="00727F1C"/>
    <w:rsid w:val="00732647"/>
    <w:rsid w:val="00746472"/>
    <w:rsid w:val="0075745D"/>
    <w:rsid w:val="007B6159"/>
    <w:rsid w:val="007F1D92"/>
    <w:rsid w:val="007F2E2E"/>
    <w:rsid w:val="00805F5E"/>
    <w:rsid w:val="008536A8"/>
    <w:rsid w:val="00865FE3"/>
    <w:rsid w:val="008755F2"/>
    <w:rsid w:val="008E33DD"/>
    <w:rsid w:val="00974E8C"/>
    <w:rsid w:val="00991A7A"/>
    <w:rsid w:val="00996B99"/>
    <w:rsid w:val="00A03680"/>
    <w:rsid w:val="00A2193F"/>
    <w:rsid w:val="00A75BA9"/>
    <w:rsid w:val="00A80BC9"/>
    <w:rsid w:val="00AA4A2C"/>
    <w:rsid w:val="00AB074C"/>
    <w:rsid w:val="00AF25F9"/>
    <w:rsid w:val="00B176B1"/>
    <w:rsid w:val="00B3681B"/>
    <w:rsid w:val="00B4403F"/>
    <w:rsid w:val="00B83F3D"/>
    <w:rsid w:val="00BC7EA7"/>
    <w:rsid w:val="00BF000E"/>
    <w:rsid w:val="00C431B1"/>
    <w:rsid w:val="00C87E83"/>
    <w:rsid w:val="00C95864"/>
    <w:rsid w:val="00D14AA2"/>
    <w:rsid w:val="00D44331"/>
    <w:rsid w:val="00D9218C"/>
    <w:rsid w:val="00D9416D"/>
    <w:rsid w:val="00D9763C"/>
    <w:rsid w:val="00DB788B"/>
    <w:rsid w:val="00DE6770"/>
    <w:rsid w:val="00E14844"/>
    <w:rsid w:val="00E15367"/>
    <w:rsid w:val="00E16D47"/>
    <w:rsid w:val="00E4714F"/>
    <w:rsid w:val="00E60B5C"/>
    <w:rsid w:val="00E63736"/>
    <w:rsid w:val="00E910F6"/>
    <w:rsid w:val="00EF6A56"/>
    <w:rsid w:val="00F05CEB"/>
    <w:rsid w:val="00F14B8E"/>
    <w:rsid w:val="00F27E1B"/>
    <w:rsid w:val="00F42E5B"/>
    <w:rsid w:val="00F56A6D"/>
    <w:rsid w:val="00F56E78"/>
    <w:rsid w:val="00F84C3B"/>
    <w:rsid w:val="00FA4BD9"/>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D981B"/>
  <w15:docId w15:val="{ACF8D2EB-E794-4476-9E98-B98DD4EB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5">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87E83"/>
    <w:rPr>
      <w:color w:val="605E5C"/>
      <w:shd w:val="clear" w:color="auto" w:fill="E1DFDD"/>
    </w:rPr>
  </w:style>
  <w:style w:type="paragraph" w:styleId="Revision">
    <w:name w:val="Revision"/>
    <w:hidden/>
    <w:uiPriority w:val="99"/>
    <w:semiHidden/>
    <w:rsid w:val="007B6159"/>
    <w:pPr>
      <w:spacing w:before="0" w:after="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40213">
      <w:bodyDiv w:val="1"/>
      <w:marLeft w:val="375"/>
      <w:marRight w:val="375"/>
      <w:marTop w:val="375"/>
      <w:marBottom w:val="375"/>
      <w:divBdr>
        <w:top w:val="none" w:sz="0" w:space="0" w:color="auto"/>
        <w:left w:val="none" w:sz="0" w:space="0" w:color="auto"/>
        <w:bottom w:val="none" w:sz="0" w:space="0" w:color="auto"/>
        <w:right w:val="none" w:sz="0" w:space="0" w:color="auto"/>
      </w:divBdr>
      <w:divsChild>
        <w:div w:id="205065625">
          <w:marLeft w:val="0"/>
          <w:marRight w:val="0"/>
          <w:marTop w:val="0"/>
          <w:marBottom w:val="0"/>
          <w:divBdr>
            <w:top w:val="none" w:sz="0" w:space="0" w:color="auto"/>
            <w:left w:val="none" w:sz="0" w:space="0" w:color="auto"/>
            <w:bottom w:val="none" w:sz="0" w:space="0" w:color="auto"/>
            <w:right w:val="none" w:sz="0" w:space="0" w:color="auto"/>
          </w:divBdr>
          <w:divsChild>
            <w:div w:id="164981170">
              <w:marLeft w:val="0"/>
              <w:marRight w:val="0"/>
              <w:marTop w:val="0"/>
              <w:marBottom w:val="0"/>
              <w:divBdr>
                <w:top w:val="none" w:sz="0" w:space="0" w:color="auto"/>
                <w:left w:val="none" w:sz="0" w:space="0" w:color="auto"/>
                <w:bottom w:val="none" w:sz="0" w:space="0" w:color="auto"/>
                <w:right w:val="none" w:sz="0" w:space="0" w:color="auto"/>
              </w:divBdr>
              <w:divsChild>
                <w:div w:id="1451707311">
                  <w:marLeft w:val="150"/>
                  <w:marRight w:val="75"/>
                  <w:marTop w:val="75"/>
                  <w:marBottom w:val="0"/>
                  <w:divBdr>
                    <w:top w:val="none" w:sz="0" w:space="0" w:color="auto"/>
                    <w:left w:val="single" w:sz="6" w:space="0" w:color="CCCCCC"/>
                    <w:bottom w:val="none" w:sz="0" w:space="0" w:color="auto"/>
                    <w:right w:val="single" w:sz="6" w:space="0" w:color="CCCCCC"/>
                  </w:divBdr>
                  <w:divsChild>
                    <w:div w:id="575019556">
                      <w:marLeft w:val="0"/>
                      <w:marRight w:val="0"/>
                      <w:marTop w:val="375"/>
                      <w:marBottom w:val="0"/>
                      <w:divBdr>
                        <w:top w:val="none" w:sz="0" w:space="0" w:color="auto"/>
                        <w:left w:val="none" w:sz="0" w:space="0" w:color="auto"/>
                        <w:bottom w:val="none" w:sz="0" w:space="0" w:color="auto"/>
                        <w:right w:val="none" w:sz="0" w:space="0" w:color="auto"/>
                      </w:divBdr>
                      <w:divsChild>
                        <w:div w:id="2094357111">
                          <w:marLeft w:val="0"/>
                          <w:marRight w:val="0"/>
                          <w:marTop w:val="0"/>
                          <w:marBottom w:val="0"/>
                          <w:divBdr>
                            <w:top w:val="none" w:sz="0" w:space="0" w:color="auto"/>
                            <w:left w:val="none" w:sz="0" w:space="0" w:color="auto"/>
                            <w:bottom w:val="none" w:sz="0" w:space="0" w:color="auto"/>
                            <w:right w:val="none" w:sz="0" w:space="0" w:color="auto"/>
                          </w:divBdr>
                          <w:divsChild>
                            <w:div w:id="1315597306">
                              <w:marLeft w:val="0"/>
                              <w:marRight w:val="0"/>
                              <w:marTop w:val="0"/>
                              <w:marBottom w:val="0"/>
                              <w:divBdr>
                                <w:top w:val="single" w:sz="6" w:space="0" w:color="FFFFFF"/>
                                <w:left w:val="single" w:sz="6" w:space="0" w:color="EEEEEE"/>
                                <w:bottom w:val="single" w:sz="6" w:space="0" w:color="EEEEEE"/>
                                <w:right w:val="single" w:sz="6" w:space="0" w:color="EEEEEE"/>
                              </w:divBdr>
                              <w:divsChild>
                                <w:div w:id="1280409461">
                                  <w:marLeft w:val="0"/>
                                  <w:marRight w:val="0"/>
                                  <w:marTop w:val="0"/>
                                  <w:marBottom w:val="0"/>
                                  <w:divBdr>
                                    <w:top w:val="none" w:sz="0" w:space="0" w:color="auto"/>
                                    <w:left w:val="none" w:sz="0" w:space="0" w:color="auto"/>
                                    <w:bottom w:val="none" w:sz="0" w:space="0" w:color="auto"/>
                                    <w:right w:val="none" w:sz="0" w:space="0" w:color="auto"/>
                                  </w:divBdr>
                                  <w:divsChild>
                                    <w:div w:id="156968060">
                                      <w:marLeft w:val="0"/>
                                      <w:marRight w:val="0"/>
                                      <w:marTop w:val="0"/>
                                      <w:marBottom w:val="0"/>
                                      <w:divBdr>
                                        <w:top w:val="none" w:sz="0" w:space="0" w:color="auto"/>
                                        <w:left w:val="none" w:sz="0" w:space="0" w:color="auto"/>
                                        <w:bottom w:val="none" w:sz="0" w:space="0" w:color="auto"/>
                                        <w:right w:val="none" w:sz="0" w:space="0" w:color="auto"/>
                                      </w:divBdr>
                                      <w:divsChild>
                                        <w:div w:id="2001229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400186">
      <w:bodyDiv w:val="1"/>
      <w:marLeft w:val="0"/>
      <w:marRight w:val="0"/>
      <w:marTop w:val="0"/>
      <w:marBottom w:val="0"/>
      <w:divBdr>
        <w:top w:val="none" w:sz="0" w:space="0" w:color="auto"/>
        <w:left w:val="none" w:sz="0" w:space="0" w:color="auto"/>
        <w:bottom w:val="none" w:sz="0" w:space="0" w:color="auto"/>
        <w:right w:val="none" w:sz="0" w:space="0" w:color="auto"/>
      </w:divBdr>
      <w:divsChild>
        <w:div w:id="2006011020">
          <w:marLeft w:val="0"/>
          <w:marRight w:val="0"/>
          <w:marTop w:val="0"/>
          <w:marBottom w:val="0"/>
          <w:divBdr>
            <w:top w:val="none" w:sz="0" w:space="0" w:color="auto"/>
            <w:left w:val="none" w:sz="0" w:space="0" w:color="auto"/>
            <w:bottom w:val="none" w:sz="0" w:space="0" w:color="auto"/>
            <w:right w:val="none" w:sz="0" w:space="0" w:color="auto"/>
          </w:divBdr>
          <w:divsChild>
            <w:div w:id="616450146">
              <w:marLeft w:val="0"/>
              <w:marRight w:val="0"/>
              <w:marTop w:val="0"/>
              <w:marBottom w:val="0"/>
              <w:divBdr>
                <w:top w:val="none" w:sz="0" w:space="0" w:color="auto"/>
                <w:left w:val="none" w:sz="0" w:space="0" w:color="auto"/>
                <w:bottom w:val="none" w:sz="0" w:space="0" w:color="auto"/>
                <w:right w:val="none" w:sz="0" w:space="0" w:color="auto"/>
              </w:divBdr>
              <w:divsChild>
                <w:div w:id="1335836991">
                  <w:marLeft w:val="0"/>
                  <w:marRight w:val="0"/>
                  <w:marTop w:val="150"/>
                  <w:marBottom w:val="0"/>
                  <w:divBdr>
                    <w:top w:val="none" w:sz="0" w:space="0" w:color="auto"/>
                    <w:left w:val="none" w:sz="0" w:space="0" w:color="auto"/>
                    <w:bottom w:val="none" w:sz="0" w:space="0" w:color="auto"/>
                    <w:right w:val="none" w:sz="0" w:space="0" w:color="auto"/>
                  </w:divBdr>
                  <w:divsChild>
                    <w:div w:id="90858625">
                      <w:marLeft w:val="-150"/>
                      <w:marRight w:val="0"/>
                      <w:marTop w:val="0"/>
                      <w:marBottom w:val="0"/>
                      <w:divBdr>
                        <w:top w:val="none" w:sz="0" w:space="0" w:color="auto"/>
                        <w:left w:val="none" w:sz="0" w:space="0" w:color="auto"/>
                        <w:bottom w:val="none" w:sz="0" w:space="0" w:color="auto"/>
                        <w:right w:val="none" w:sz="0" w:space="0" w:color="auto"/>
                      </w:divBdr>
                      <w:divsChild>
                        <w:div w:id="1804881605">
                          <w:marLeft w:val="0"/>
                          <w:marRight w:val="0"/>
                          <w:marTop w:val="0"/>
                          <w:marBottom w:val="0"/>
                          <w:divBdr>
                            <w:top w:val="none" w:sz="0" w:space="0" w:color="auto"/>
                            <w:left w:val="none" w:sz="0" w:space="0" w:color="auto"/>
                            <w:bottom w:val="none" w:sz="0" w:space="0" w:color="auto"/>
                            <w:right w:val="none" w:sz="0" w:space="0" w:color="auto"/>
                          </w:divBdr>
                          <w:divsChild>
                            <w:div w:id="245117144">
                              <w:marLeft w:val="0"/>
                              <w:marRight w:val="0"/>
                              <w:marTop w:val="0"/>
                              <w:marBottom w:val="0"/>
                              <w:divBdr>
                                <w:top w:val="none" w:sz="0" w:space="0" w:color="auto"/>
                                <w:left w:val="none" w:sz="0" w:space="0" w:color="auto"/>
                                <w:bottom w:val="none" w:sz="0" w:space="0" w:color="auto"/>
                                <w:right w:val="none" w:sz="0" w:space="0" w:color="auto"/>
                              </w:divBdr>
                              <w:divsChild>
                                <w:div w:id="1277786287">
                                  <w:marLeft w:val="0"/>
                                  <w:marRight w:val="0"/>
                                  <w:marTop w:val="0"/>
                                  <w:marBottom w:val="0"/>
                                  <w:divBdr>
                                    <w:top w:val="none" w:sz="0" w:space="0" w:color="auto"/>
                                    <w:left w:val="none" w:sz="0" w:space="0" w:color="auto"/>
                                    <w:bottom w:val="none" w:sz="0" w:space="0" w:color="auto"/>
                                    <w:right w:val="none" w:sz="0" w:space="0" w:color="auto"/>
                                  </w:divBdr>
                                  <w:divsChild>
                                    <w:div w:id="4783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955850">
      <w:bodyDiv w:val="1"/>
      <w:marLeft w:val="375"/>
      <w:marRight w:val="375"/>
      <w:marTop w:val="375"/>
      <w:marBottom w:val="375"/>
      <w:divBdr>
        <w:top w:val="none" w:sz="0" w:space="0" w:color="auto"/>
        <w:left w:val="none" w:sz="0" w:space="0" w:color="auto"/>
        <w:bottom w:val="none" w:sz="0" w:space="0" w:color="auto"/>
        <w:right w:val="none" w:sz="0" w:space="0" w:color="auto"/>
      </w:divBdr>
      <w:divsChild>
        <w:div w:id="1516338986">
          <w:marLeft w:val="0"/>
          <w:marRight w:val="0"/>
          <w:marTop w:val="0"/>
          <w:marBottom w:val="0"/>
          <w:divBdr>
            <w:top w:val="none" w:sz="0" w:space="0" w:color="auto"/>
            <w:left w:val="none" w:sz="0" w:space="0" w:color="auto"/>
            <w:bottom w:val="none" w:sz="0" w:space="0" w:color="auto"/>
            <w:right w:val="none" w:sz="0" w:space="0" w:color="auto"/>
          </w:divBdr>
          <w:divsChild>
            <w:div w:id="689334048">
              <w:marLeft w:val="0"/>
              <w:marRight w:val="0"/>
              <w:marTop w:val="0"/>
              <w:marBottom w:val="0"/>
              <w:divBdr>
                <w:top w:val="none" w:sz="0" w:space="0" w:color="auto"/>
                <w:left w:val="none" w:sz="0" w:space="0" w:color="auto"/>
                <w:bottom w:val="none" w:sz="0" w:space="0" w:color="auto"/>
                <w:right w:val="none" w:sz="0" w:space="0" w:color="auto"/>
              </w:divBdr>
              <w:divsChild>
                <w:div w:id="442237059">
                  <w:marLeft w:val="150"/>
                  <w:marRight w:val="75"/>
                  <w:marTop w:val="75"/>
                  <w:marBottom w:val="0"/>
                  <w:divBdr>
                    <w:top w:val="none" w:sz="0" w:space="0" w:color="auto"/>
                    <w:left w:val="single" w:sz="6" w:space="0" w:color="CCCCCC"/>
                    <w:bottom w:val="none" w:sz="0" w:space="0" w:color="auto"/>
                    <w:right w:val="single" w:sz="6" w:space="0" w:color="CCCCCC"/>
                  </w:divBdr>
                  <w:divsChild>
                    <w:div w:id="632441078">
                      <w:marLeft w:val="0"/>
                      <w:marRight w:val="0"/>
                      <w:marTop w:val="375"/>
                      <w:marBottom w:val="0"/>
                      <w:divBdr>
                        <w:top w:val="none" w:sz="0" w:space="0" w:color="auto"/>
                        <w:left w:val="none" w:sz="0" w:space="0" w:color="auto"/>
                        <w:bottom w:val="none" w:sz="0" w:space="0" w:color="auto"/>
                        <w:right w:val="none" w:sz="0" w:space="0" w:color="auto"/>
                      </w:divBdr>
                      <w:divsChild>
                        <w:div w:id="1716194933">
                          <w:marLeft w:val="0"/>
                          <w:marRight w:val="0"/>
                          <w:marTop w:val="0"/>
                          <w:marBottom w:val="0"/>
                          <w:divBdr>
                            <w:top w:val="none" w:sz="0" w:space="0" w:color="auto"/>
                            <w:left w:val="none" w:sz="0" w:space="0" w:color="auto"/>
                            <w:bottom w:val="none" w:sz="0" w:space="0" w:color="auto"/>
                            <w:right w:val="none" w:sz="0" w:space="0" w:color="auto"/>
                          </w:divBdr>
                          <w:divsChild>
                            <w:div w:id="269438777">
                              <w:marLeft w:val="0"/>
                              <w:marRight w:val="0"/>
                              <w:marTop w:val="0"/>
                              <w:marBottom w:val="0"/>
                              <w:divBdr>
                                <w:top w:val="single" w:sz="6" w:space="0" w:color="FFFFFF"/>
                                <w:left w:val="single" w:sz="6" w:space="0" w:color="EEEEEE"/>
                                <w:bottom w:val="single" w:sz="6" w:space="0" w:color="EEEEEE"/>
                                <w:right w:val="single" w:sz="6" w:space="0" w:color="EEEEEE"/>
                              </w:divBdr>
                              <w:divsChild>
                                <w:div w:id="979380384">
                                  <w:marLeft w:val="0"/>
                                  <w:marRight w:val="0"/>
                                  <w:marTop w:val="0"/>
                                  <w:marBottom w:val="0"/>
                                  <w:divBdr>
                                    <w:top w:val="none" w:sz="0" w:space="0" w:color="auto"/>
                                    <w:left w:val="none" w:sz="0" w:space="0" w:color="auto"/>
                                    <w:bottom w:val="none" w:sz="0" w:space="0" w:color="auto"/>
                                    <w:right w:val="none" w:sz="0" w:space="0" w:color="auto"/>
                                  </w:divBdr>
                                  <w:divsChild>
                                    <w:div w:id="26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guidance-prevent-spread.html" TargetMode="External"/><Relationship Id="rId13" Type="http://schemas.openxmlformats.org/officeDocument/2006/relationships/hyperlink" Target="http://info.sos.state.tx.us/pls/pub/readtac$ext.TacPage?sl=R&amp;app=9&amp;p_dir=&amp;p_rloc=&amp;p_tloc=&amp;p_ploc=&amp;pg=1&amp;p_tac=&amp;ti=25&amp;pt=1&amp;ch=1&amp;rl=13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msa.dot.gov/portal/site/PHMSA/menuitem.6f23687cf7b00b0f22e4c6962d9c8789/?vgnextoid=4d1800e36b978410VgnVCM100000d2c97898RCRD&amp;vgnextchannel=d248724dd7d6c010VgnVCM10000080e8a8c0RCRD&amp;vgnext" TargetMode="External"/><Relationship Id="rId17" Type="http://schemas.openxmlformats.org/officeDocument/2006/relationships/hyperlink" Target="http://www.gpo.gov/fdsys/pkg/CFR-2013-title49-vol2/pdf/CFR-2013-title49-vol2-sec173-134.pdf" TargetMode="External"/><Relationship Id="rId2" Type="http://schemas.openxmlformats.org/officeDocument/2006/relationships/numbering" Target="numbering.xml"/><Relationship Id="rId16" Type="http://schemas.openxmlformats.org/officeDocument/2006/relationships/hyperlink" Target="http://info.sos.state.tx.us/pls/pub/readtac$ext.TacPage?sl=R&amp;app=9&amp;p_dir=&amp;p_rloc=&amp;p_tloc=&amp;p_ploc=&amp;pg=1&amp;p_tac=&amp;ti=30&amp;pt=1&amp;ch=330&amp;rl=12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node=pt49.2.173&amp;rgn=div5" TargetMode="External"/><Relationship Id="rId5" Type="http://schemas.openxmlformats.org/officeDocument/2006/relationships/webSettings" Target="webSettings.xml"/><Relationship Id="rId15" Type="http://schemas.openxmlformats.org/officeDocument/2006/relationships/hyperlink" Target="http://www.gpo.gov/fdsys/pkg/CFR-2013-title49-vol2/pdf/CFR-2013-title49-vol2-sec173-134.pdf" TargetMode="External"/><Relationship Id="rId10" Type="http://schemas.openxmlformats.org/officeDocument/2006/relationships/hyperlink" Target="https://www.cdc.gov/coronavirus/2019-nCoV/lab-biosafety-guidelin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coronavirus/2019-nCoV/infection-control.html" TargetMode="External"/><Relationship Id="rId14" Type="http://schemas.openxmlformats.org/officeDocument/2006/relationships/hyperlink" Target="http://info.sos.state.tx.us/pls/pub/readtac$ext.TacPage?sl=R&amp;app=9&amp;p_dir=&amp;p_rloc=&amp;p_tloc=&amp;p_ploc=&amp;pg=1&amp;p_tac=&amp;ti=30&amp;pt=1&amp;ch=330&amp;rl=1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8BB7-9363-43C0-BCB2-5CD54BF1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Ortiz De Montellano</dc:creator>
  <cp:lastModifiedBy>Kelly Cook</cp:lastModifiedBy>
  <cp:revision>2</cp:revision>
  <dcterms:created xsi:type="dcterms:W3CDTF">2020-02-07T17:33:00Z</dcterms:created>
  <dcterms:modified xsi:type="dcterms:W3CDTF">2020-02-07T17:33:00Z</dcterms:modified>
</cp:coreProperties>
</file>