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6FFD1" w14:textId="7C0ED53C" w:rsidR="00D968A1" w:rsidRPr="002F2C66" w:rsidRDefault="00756F1D" w:rsidP="00A2474C">
      <w:pPr>
        <w:pStyle w:val="Heading1"/>
        <w:rPr>
          <w:rFonts w:ascii="Arial" w:hAnsi="Arial"/>
          <w:sz w:val="26"/>
          <w:szCs w:val="26"/>
        </w:rPr>
      </w:pPr>
      <w:r w:rsidRPr="002F2C66">
        <w:rPr>
          <w:rFonts w:ascii="Arial" w:hAnsi="Arial"/>
          <w:sz w:val="26"/>
          <w:szCs w:val="26"/>
        </w:rPr>
        <w:fldChar w:fldCharType="begin"/>
      </w:r>
      <w:r w:rsidR="00D968A1" w:rsidRPr="002F2C66">
        <w:rPr>
          <w:rFonts w:ascii="Arial" w:hAnsi="Arial"/>
          <w:sz w:val="26"/>
          <w:szCs w:val="26"/>
        </w:rPr>
        <w:instrText xml:space="preserve"> SEQ CHAPTER \h \r 1</w:instrText>
      </w:r>
      <w:r w:rsidRPr="002F2C66">
        <w:rPr>
          <w:rFonts w:ascii="Arial" w:hAnsi="Arial"/>
          <w:sz w:val="26"/>
          <w:szCs w:val="26"/>
        </w:rPr>
        <w:fldChar w:fldCharType="end"/>
      </w:r>
      <w:r w:rsidR="00D968A1" w:rsidRPr="002F2C66">
        <w:rPr>
          <w:rFonts w:ascii="Arial" w:hAnsi="Arial"/>
          <w:sz w:val="26"/>
          <w:szCs w:val="26"/>
        </w:rPr>
        <w:t>Response to Public Comment</w:t>
      </w:r>
      <w:r w:rsidR="00E63EBE" w:rsidRPr="002F2C66">
        <w:rPr>
          <w:rFonts w:ascii="Arial" w:hAnsi="Arial"/>
          <w:sz w:val="26"/>
          <w:szCs w:val="26"/>
        </w:rPr>
        <w:t>:</w:t>
      </w:r>
      <w:r w:rsidR="00B6386A" w:rsidRPr="002F2C66">
        <w:rPr>
          <w:rFonts w:ascii="Arial" w:hAnsi="Arial"/>
          <w:sz w:val="26"/>
          <w:szCs w:val="26"/>
        </w:rPr>
        <w:br/>
      </w:r>
      <w:r w:rsidR="0043217D">
        <w:rPr>
          <w:rFonts w:ascii="Arial" w:hAnsi="Arial"/>
          <w:sz w:val="26"/>
          <w:szCs w:val="26"/>
        </w:rPr>
        <w:t>One</w:t>
      </w:r>
      <w:r w:rsidR="0043217D" w:rsidRPr="00246243">
        <w:rPr>
          <w:rFonts w:ascii="Arial" w:hAnsi="Arial"/>
          <w:sz w:val="26"/>
          <w:szCs w:val="26"/>
        </w:rPr>
        <w:t xml:space="preserve"> </w:t>
      </w:r>
      <w:r w:rsidR="00246243" w:rsidRPr="00246243">
        <w:rPr>
          <w:rFonts w:ascii="Arial" w:hAnsi="Arial"/>
          <w:sz w:val="26"/>
          <w:szCs w:val="26"/>
        </w:rPr>
        <w:t>Total Maximum Daily Load</w:t>
      </w:r>
      <w:r w:rsidR="00246243">
        <w:rPr>
          <w:rFonts w:ascii="Arial" w:hAnsi="Arial"/>
          <w:sz w:val="26"/>
          <w:szCs w:val="26"/>
        </w:rPr>
        <w:t xml:space="preserve"> (TMDL)</w:t>
      </w:r>
      <w:r w:rsidR="00246243" w:rsidRPr="00246243">
        <w:rPr>
          <w:rFonts w:ascii="Arial" w:hAnsi="Arial"/>
          <w:sz w:val="26"/>
          <w:szCs w:val="26"/>
        </w:rPr>
        <w:t xml:space="preserve"> for Indicator Bacteria in </w:t>
      </w:r>
      <w:r w:rsidR="006A1A52">
        <w:rPr>
          <w:rFonts w:ascii="Arial" w:hAnsi="Arial"/>
          <w:sz w:val="26"/>
          <w:szCs w:val="26"/>
        </w:rPr>
        <w:br/>
      </w:r>
      <w:r w:rsidR="00372570">
        <w:rPr>
          <w:rFonts w:ascii="Arial" w:hAnsi="Arial"/>
          <w:sz w:val="26"/>
          <w:szCs w:val="26"/>
        </w:rPr>
        <w:t xml:space="preserve">Cotton Bayou </w:t>
      </w:r>
      <w:r w:rsidR="00246243" w:rsidRPr="00246243">
        <w:rPr>
          <w:rFonts w:ascii="Arial" w:hAnsi="Arial"/>
          <w:sz w:val="26"/>
          <w:szCs w:val="26"/>
        </w:rPr>
        <w:t>Tidal</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1" w:type="dxa"/>
          <w:left w:w="101" w:type="dxa"/>
          <w:bottom w:w="101" w:type="dxa"/>
          <w:right w:w="101" w:type="dxa"/>
        </w:tblCellMar>
        <w:tblLook w:val="04A0" w:firstRow="1" w:lastRow="0" w:firstColumn="1" w:lastColumn="0" w:noHBand="0" w:noVBand="1"/>
      </w:tblPr>
      <w:tblGrid>
        <w:gridCol w:w="1073"/>
        <w:gridCol w:w="1299"/>
        <w:gridCol w:w="1524"/>
        <w:gridCol w:w="2975"/>
        <w:gridCol w:w="3189"/>
      </w:tblGrid>
      <w:tr w:rsidR="00D83575" w:rsidRPr="002F2C66" w14:paraId="13918D95" w14:textId="77777777" w:rsidTr="00D83575">
        <w:trPr>
          <w:cantSplit/>
          <w:tblHeader/>
          <w:jc w:val="center"/>
        </w:trPr>
        <w:tc>
          <w:tcPr>
            <w:tcW w:w="1073" w:type="dxa"/>
            <w:tcBorders>
              <w:top w:val="single" w:sz="8" w:space="0" w:color="000000"/>
              <w:left w:val="single" w:sz="8" w:space="0" w:color="000000"/>
              <w:bottom w:val="double" w:sz="6" w:space="0" w:color="000000"/>
              <w:right w:val="single" w:sz="8" w:space="0" w:color="000000"/>
            </w:tcBorders>
            <w:tcMar>
              <w:top w:w="72" w:type="dxa"/>
              <w:left w:w="72" w:type="dxa"/>
              <w:bottom w:w="58" w:type="dxa"/>
              <w:right w:w="120" w:type="dxa"/>
            </w:tcMar>
            <w:vAlign w:val="center"/>
            <w:hideMark/>
          </w:tcPr>
          <w:p w14:paraId="5B163D25" w14:textId="77777777" w:rsidR="00D83575" w:rsidRPr="002F2C66" w:rsidRDefault="00D83575" w:rsidP="00345860">
            <w:pPr>
              <w:pStyle w:val="TableTextHeaderRow"/>
              <w:rPr>
                <w:rFonts w:cs="Arial"/>
              </w:rPr>
            </w:pPr>
            <w:r w:rsidRPr="002F2C66">
              <w:rPr>
                <w:rFonts w:cs="Arial"/>
              </w:rPr>
              <w:t>Tracking Number</w:t>
            </w:r>
          </w:p>
        </w:tc>
        <w:tc>
          <w:tcPr>
            <w:tcW w:w="1299" w:type="dxa"/>
            <w:tcBorders>
              <w:top w:val="single" w:sz="8" w:space="0" w:color="000000"/>
              <w:left w:val="single" w:sz="8" w:space="0" w:color="000000"/>
              <w:bottom w:val="double" w:sz="6" w:space="0" w:color="000000"/>
              <w:right w:val="single" w:sz="8" w:space="0" w:color="000000"/>
            </w:tcBorders>
            <w:tcMar>
              <w:top w:w="72" w:type="dxa"/>
              <w:left w:w="72" w:type="dxa"/>
              <w:bottom w:w="58" w:type="dxa"/>
              <w:right w:w="120" w:type="dxa"/>
            </w:tcMar>
            <w:vAlign w:val="center"/>
            <w:hideMark/>
          </w:tcPr>
          <w:p w14:paraId="7F34A953" w14:textId="77777777" w:rsidR="00D83575" w:rsidRPr="002F2C66" w:rsidRDefault="00D83575" w:rsidP="00345860">
            <w:pPr>
              <w:pStyle w:val="TableTextHeaderRow"/>
              <w:rPr>
                <w:rFonts w:cs="Arial"/>
              </w:rPr>
            </w:pPr>
            <w:r w:rsidRPr="002F2C66">
              <w:rPr>
                <w:rFonts w:cs="Arial"/>
              </w:rPr>
              <w:t>Date Received</w:t>
            </w:r>
          </w:p>
        </w:tc>
        <w:tc>
          <w:tcPr>
            <w:tcW w:w="1524" w:type="dxa"/>
            <w:tcBorders>
              <w:top w:val="single" w:sz="8" w:space="0" w:color="000000"/>
              <w:left w:val="single" w:sz="8" w:space="0" w:color="000000"/>
              <w:bottom w:val="double" w:sz="6" w:space="0" w:color="000000"/>
              <w:right w:val="single" w:sz="8" w:space="0" w:color="000000"/>
            </w:tcBorders>
            <w:tcMar>
              <w:top w:w="72" w:type="dxa"/>
              <w:left w:w="72" w:type="dxa"/>
              <w:bottom w:w="58" w:type="dxa"/>
              <w:right w:w="120" w:type="dxa"/>
            </w:tcMar>
            <w:vAlign w:val="center"/>
            <w:hideMark/>
          </w:tcPr>
          <w:p w14:paraId="2250E325" w14:textId="77777777" w:rsidR="00D83575" w:rsidRPr="002F2C66" w:rsidRDefault="00D83575" w:rsidP="00345860">
            <w:pPr>
              <w:pStyle w:val="TableTextHeaderRow"/>
              <w:rPr>
                <w:rFonts w:cs="Arial"/>
              </w:rPr>
            </w:pPr>
            <w:r w:rsidRPr="002F2C66">
              <w:rPr>
                <w:rFonts w:cs="Arial"/>
              </w:rPr>
              <w:t>Affiliation of Commenter</w:t>
            </w:r>
          </w:p>
        </w:tc>
        <w:tc>
          <w:tcPr>
            <w:tcW w:w="2975" w:type="dxa"/>
            <w:tcBorders>
              <w:top w:val="single" w:sz="8" w:space="0" w:color="000000"/>
              <w:left w:val="single" w:sz="8" w:space="0" w:color="000000"/>
              <w:bottom w:val="double" w:sz="6" w:space="0" w:color="000000"/>
              <w:right w:val="single" w:sz="8" w:space="0" w:color="000000"/>
            </w:tcBorders>
            <w:tcMar>
              <w:top w:w="72" w:type="dxa"/>
              <w:left w:w="72" w:type="dxa"/>
              <w:bottom w:w="58" w:type="dxa"/>
              <w:right w:w="120" w:type="dxa"/>
            </w:tcMar>
            <w:vAlign w:val="center"/>
            <w:hideMark/>
          </w:tcPr>
          <w:p w14:paraId="1426BE03" w14:textId="77777777" w:rsidR="00D83575" w:rsidRPr="002F2C66" w:rsidRDefault="00D83575" w:rsidP="00345860">
            <w:pPr>
              <w:pStyle w:val="TableTextHeaderRow"/>
              <w:rPr>
                <w:rFonts w:cs="Arial"/>
              </w:rPr>
            </w:pPr>
            <w:r w:rsidRPr="002F2C66">
              <w:rPr>
                <w:rFonts w:cs="Arial"/>
              </w:rPr>
              <w:t>Summary of Request or Comment</w:t>
            </w:r>
          </w:p>
        </w:tc>
        <w:tc>
          <w:tcPr>
            <w:tcW w:w="3189" w:type="dxa"/>
            <w:tcBorders>
              <w:top w:val="single" w:sz="8" w:space="0" w:color="000000"/>
              <w:left w:val="single" w:sz="8" w:space="0" w:color="000000"/>
              <w:bottom w:val="double" w:sz="6" w:space="0" w:color="000000"/>
              <w:right w:val="single" w:sz="8" w:space="0" w:color="000000"/>
            </w:tcBorders>
            <w:tcMar>
              <w:top w:w="72" w:type="dxa"/>
              <w:left w:w="72" w:type="dxa"/>
              <w:bottom w:w="58" w:type="dxa"/>
              <w:right w:w="120" w:type="dxa"/>
            </w:tcMar>
            <w:vAlign w:val="center"/>
            <w:hideMark/>
          </w:tcPr>
          <w:p w14:paraId="2D543C14" w14:textId="77777777" w:rsidR="00D83575" w:rsidRPr="002F2C66" w:rsidRDefault="00D83575" w:rsidP="00345860">
            <w:pPr>
              <w:pStyle w:val="TableTextHeaderRow"/>
              <w:rPr>
                <w:rFonts w:cs="Arial"/>
              </w:rPr>
            </w:pPr>
            <w:r w:rsidRPr="002F2C66">
              <w:rPr>
                <w:rFonts w:cs="Arial"/>
              </w:rPr>
              <w:t xml:space="preserve">Summary of TCEQ Action, </w:t>
            </w:r>
            <w:r w:rsidRPr="002F2C66">
              <w:rPr>
                <w:rFonts w:cs="Arial"/>
              </w:rPr>
              <w:br/>
              <w:t>or Explanation</w:t>
            </w:r>
          </w:p>
        </w:tc>
      </w:tr>
      <w:tr w:rsidR="00D83575" w:rsidRPr="002F2C66" w14:paraId="2F0320FA" w14:textId="77777777" w:rsidTr="00246243">
        <w:trPr>
          <w:cantSplit/>
          <w:jc w:val="center"/>
        </w:trPr>
        <w:tc>
          <w:tcPr>
            <w:tcW w:w="1073" w:type="dxa"/>
            <w:tcBorders>
              <w:top w:val="single" w:sz="4" w:space="0" w:color="auto"/>
              <w:left w:val="single" w:sz="8" w:space="0" w:color="000000"/>
              <w:bottom w:val="single" w:sz="4" w:space="0" w:color="auto"/>
              <w:right w:val="single" w:sz="8" w:space="0" w:color="000000"/>
            </w:tcBorders>
          </w:tcPr>
          <w:p w14:paraId="1C26B3A6" w14:textId="730DAC5F" w:rsidR="00D83575" w:rsidRPr="002F2C66" w:rsidRDefault="00D83575" w:rsidP="00345860">
            <w:pPr>
              <w:pStyle w:val="TableTextBody"/>
              <w:jc w:val="center"/>
              <w:rPr>
                <w:rFonts w:ascii="Arial" w:hAnsi="Arial" w:cs="Arial"/>
              </w:rPr>
            </w:pPr>
            <w:r w:rsidRPr="002F2C66">
              <w:rPr>
                <w:rFonts w:ascii="Arial" w:hAnsi="Arial" w:cs="Arial"/>
              </w:rPr>
              <w:t>001</w:t>
            </w:r>
          </w:p>
        </w:tc>
        <w:tc>
          <w:tcPr>
            <w:tcW w:w="1299" w:type="dxa"/>
            <w:tcBorders>
              <w:top w:val="single" w:sz="4" w:space="0" w:color="auto"/>
              <w:left w:val="single" w:sz="8" w:space="0" w:color="000000"/>
              <w:bottom w:val="single" w:sz="4" w:space="0" w:color="auto"/>
              <w:right w:val="single" w:sz="8" w:space="0" w:color="000000"/>
            </w:tcBorders>
          </w:tcPr>
          <w:p w14:paraId="13C6AF17" w14:textId="7937B4EB" w:rsidR="00D83575" w:rsidRPr="002F2C66" w:rsidRDefault="00106E7E" w:rsidP="00345860">
            <w:pPr>
              <w:pStyle w:val="TableTextBody"/>
              <w:rPr>
                <w:rFonts w:ascii="Arial" w:hAnsi="Arial" w:cs="Arial"/>
              </w:rPr>
            </w:pPr>
            <w:r>
              <w:rPr>
                <w:rFonts w:ascii="Arial" w:hAnsi="Arial" w:cs="Arial"/>
              </w:rPr>
              <w:t>11</w:t>
            </w:r>
            <w:r w:rsidR="00246243">
              <w:rPr>
                <w:rFonts w:ascii="Arial" w:hAnsi="Arial" w:cs="Arial"/>
              </w:rPr>
              <w:t>/</w:t>
            </w:r>
            <w:r>
              <w:rPr>
                <w:rFonts w:ascii="Arial" w:hAnsi="Arial" w:cs="Arial"/>
              </w:rPr>
              <w:t>14</w:t>
            </w:r>
            <w:r w:rsidR="00246243">
              <w:rPr>
                <w:rFonts w:ascii="Arial" w:hAnsi="Arial" w:cs="Arial"/>
              </w:rPr>
              <w:t>/23</w:t>
            </w:r>
          </w:p>
        </w:tc>
        <w:tc>
          <w:tcPr>
            <w:tcW w:w="1524" w:type="dxa"/>
            <w:tcBorders>
              <w:top w:val="single" w:sz="4" w:space="0" w:color="auto"/>
              <w:left w:val="single" w:sz="8" w:space="0" w:color="000000"/>
              <w:bottom w:val="single" w:sz="4" w:space="0" w:color="auto"/>
              <w:right w:val="single" w:sz="8" w:space="0" w:color="000000"/>
            </w:tcBorders>
          </w:tcPr>
          <w:p w14:paraId="4837B948" w14:textId="31DDFE0B" w:rsidR="00D83575" w:rsidRPr="002F2C66" w:rsidRDefault="00106E7E" w:rsidP="00345860">
            <w:pPr>
              <w:pStyle w:val="TableTextBody"/>
              <w:rPr>
                <w:rFonts w:ascii="Arial" w:hAnsi="Arial" w:cs="Arial"/>
              </w:rPr>
            </w:pPr>
            <w:r>
              <w:rPr>
                <w:rFonts w:ascii="Arial" w:hAnsi="Arial" w:cs="Arial"/>
              </w:rPr>
              <w:t>Thomas Carroll, Cotton Bayou watershed area business owner</w:t>
            </w:r>
          </w:p>
        </w:tc>
        <w:tc>
          <w:tcPr>
            <w:tcW w:w="2975" w:type="dxa"/>
            <w:tcBorders>
              <w:top w:val="single" w:sz="4" w:space="0" w:color="auto"/>
              <w:left w:val="single" w:sz="8" w:space="0" w:color="000000"/>
              <w:bottom w:val="single" w:sz="4" w:space="0" w:color="auto"/>
              <w:right w:val="single" w:sz="8" w:space="0" w:color="000000"/>
            </w:tcBorders>
          </w:tcPr>
          <w:p w14:paraId="1CCBD447" w14:textId="36830617" w:rsidR="00D83575" w:rsidRPr="002F2C66" w:rsidRDefault="00106E7E" w:rsidP="00D83575">
            <w:pPr>
              <w:pStyle w:val="TableTextBody"/>
              <w:rPr>
                <w:rFonts w:ascii="Arial" w:hAnsi="Arial" w:cs="Arial"/>
              </w:rPr>
            </w:pPr>
            <w:r w:rsidRPr="002F2C66">
              <w:rPr>
                <w:rFonts w:ascii="Arial" w:hAnsi="Arial" w:cs="Arial"/>
              </w:rPr>
              <w:t>The commenter</w:t>
            </w:r>
            <w:r w:rsidR="00246243">
              <w:rPr>
                <w:rFonts w:ascii="Arial" w:hAnsi="Arial" w:cs="Arial"/>
              </w:rPr>
              <w:t xml:space="preserve"> </w:t>
            </w:r>
            <w:r>
              <w:rPr>
                <w:rFonts w:ascii="Arial" w:hAnsi="Arial" w:cs="Arial"/>
              </w:rPr>
              <w:t xml:space="preserve">stated that he owns </w:t>
            </w:r>
            <w:r w:rsidR="00406C57" w:rsidRPr="00B678B9">
              <w:rPr>
                <w:rFonts w:ascii="Arial" w:hAnsi="Arial" w:cs="Arial"/>
              </w:rPr>
              <w:t>a</w:t>
            </w:r>
            <w:r w:rsidR="00406C57">
              <w:rPr>
                <w:rFonts w:ascii="Arial" w:hAnsi="Arial" w:cs="Arial"/>
              </w:rPr>
              <w:t xml:space="preserve"> </w:t>
            </w:r>
            <w:r>
              <w:rPr>
                <w:rFonts w:ascii="Arial" w:hAnsi="Arial" w:cs="Arial"/>
              </w:rPr>
              <w:t>m</w:t>
            </w:r>
            <w:r w:rsidRPr="00106E7E">
              <w:rPr>
                <w:rFonts w:ascii="Arial" w:hAnsi="Arial" w:cs="Arial"/>
              </w:rPr>
              <w:t xml:space="preserve">obile </w:t>
            </w:r>
            <w:r>
              <w:rPr>
                <w:rFonts w:ascii="Arial" w:hAnsi="Arial" w:cs="Arial"/>
              </w:rPr>
              <w:t>h</w:t>
            </w:r>
            <w:r w:rsidRPr="00106E7E">
              <w:rPr>
                <w:rFonts w:ascii="Arial" w:hAnsi="Arial" w:cs="Arial"/>
              </w:rPr>
              <w:t xml:space="preserve">ome </w:t>
            </w:r>
            <w:r>
              <w:rPr>
                <w:rFonts w:ascii="Arial" w:hAnsi="Arial" w:cs="Arial"/>
              </w:rPr>
              <w:t>p</w:t>
            </w:r>
            <w:r w:rsidRPr="00106E7E">
              <w:rPr>
                <w:rFonts w:ascii="Arial" w:hAnsi="Arial" w:cs="Arial"/>
              </w:rPr>
              <w:t xml:space="preserve">ark and </w:t>
            </w:r>
            <w:r>
              <w:rPr>
                <w:rFonts w:ascii="Arial" w:hAnsi="Arial" w:cs="Arial"/>
              </w:rPr>
              <w:t>w</w:t>
            </w:r>
            <w:r w:rsidRPr="00106E7E">
              <w:rPr>
                <w:rFonts w:ascii="Arial" w:hAnsi="Arial" w:cs="Arial"/>
              </w:rPr>
              <w:t xml:space="preserve">astewater </w:t>
            </w:r>
            <w:r>
              <w:rPr>
                <w:rFonts w:ascii="Arial" w:hAnsi="Arial" w:cs="Arial"/>
              </w:rPr>
              <w:t>tr</w:t>
            </w:r>
            <w:r w:rsidRPr="00106E7E">
              <w:rPr>
                <w:rFonts w:ascii="Arial" w:hAnsi="Arial" w:cs="Arial"/>
              </w:rPr>
              <w:t xml:space="preserve">eatment </w:t>
            </w:r>
            <w:r>
              <w:rPr>
                <w:rFonts w:ascii="Arial" w:hAnsi="Arial" w:cs="Arial"/>
              </w:rPr>
              <w:t>f</w:t>
            </w:r>
            <w:r w:rsidRPr="00106E7E">
              <w:rPr>
                <w:rFonts w:ascii="Arial" w:hAnsi="Arial" w:cs="Arial"/>
              </w:rPr>
              <w:t>acility</w:t>
            </w:r>
            <w:r>
              <w:rPr>
                <w:rFonts w:ascii="Arial" w:hAnsi="Arial" w:cs="Arial"/>
              </w:rPr>
              <w:t xml:space="preserve"> (WWTF)</w:t>
            </w:r>
            <w:r w:rsidRPr="00106E7E">
              <w:rPr>
                <w:rFonts w:ascii="Arial" w:hAnsi="Arial" w:cs="Arial"/>
              </w:rPr>
              <w:t xml:space="preserve"> </w:t>
            </w:r>
            <w:r>
              <w:rPr>
                <w:rFonts w:ascii="Arial" w:hAnsi="Arial" w:cs="Arial"/>
              </w:rPr>
              <w:t xml:space="preserve">in the Cotton Bayou </w:t>
            </w:r>
            <w:r w:rsidR="0043217D">
              <w:rPr>
                <w:rFonts w:ascii="Arial" w:hAnsi="Arial" w:cs="Arial"/>
              </w:rPr>
              <w:t>w</w:t>
            </w:r>
            <w:r>
              <w:rPr>
                <w:rFonts w:ascii="Arial" w:hAnsi="Arial" w:cs="Arial"/>
              </w:rPr>
              <w:t xml:space="preserve">atershed. He expressed concern on how the approval of this TMDL would affect his </w:t>
            </w:r>
            <w:r w:rsidR="0043217D">
              <w:rPr>
                <w:rFonts w:ascii="Arial" w:hAnsi="Arial" w:cs="Arial"/>
              </w:rPr>
              <w:t>WWTF’s</w:t>
            </w:r>
            <w:r>
              <w:rPr>
                <w:rFonts w:ascii="Arial" w:hAnsi="Arial" w:cs="Arial"/>
              </w:rPr>
              <w:t xml:space="preserve"> government regulation. He requested more information on how this TMDL will affect his WWTF permit. </w:t>
            </w:r>
          </w:p>
        </w:tc>
        <w:tc>
          <w:tcPr>
            <w:tcW w:w="3189" w:type="dxa"/>
            <w:tcBorders>
              <w:left w:val="single" w:sz="8" w:space="0" w:color="000000"/>
              <w:right w:val="single" w:sz="8" w:space="0" w:color="000000"/>
            </w:tcBorders>
          </w:tcPr>
          <w:p w14:paraId="6657F59A" w14:textId="06FA40A9" w:rsidR="00FA000B" w:rsidRDefault="0067397E" w:rsidP="00345860">
            <w:pPr>
              <w:pStyle w:val="TableTextBody"/>
              <w:rPr>
                <w:rFonts w:ascii="Arial" w:hAnsi="Arial" w:cs="Arial"/>
              </w:rPr>
            </w:pPr>
            <w:r>
              <w:rPr>
                <w:rFonts w:ascii="Arial" w:hAnsi="Arial" w:cs="Arial"/>
              </w:rPr>
              <w:t xml:space="preserve">TCEQ appreciates </w:t>
            </w:r>
            <w:r w:rsidR="00372570">
              <w:rPr>
                <w:rFonts w:ascii="Arial" w:hAnsi="Arial" w:cs="Arial"/>
              </w:rPr>
              <w:t xml:space="preserve">inquiries </w:t>
            </w:r>
            <w:r>
              <w:rPr>
                <w:rFonts w:ascii="Arial" w:hAnsi="Arial" w:cs="Arial"/>
              </w:rPr>
              <w:t>from</w:t>
            </w:r>
            <w:r w:rsidR="00372570">
              <w:rPr>
                <w:rFonts w:ascii="Arial" w:hAnsi="Arial" w:cs="Arial"/>
              </w:rPr>
              <w:t xml:space="preserve"> stakeholders</w:t>
            </w:r>
            <w:r>
              <w:rPr>
                <w:rFonts w:ascii="Arial" w:hAnsi="Arial" w:cs="Arial"/>
              </w:rPr>
              <w:t xml:space="preserve"> </w:t>
            </w:r>
            <w:r w:rsidR="00FA000B">
              <w:rPr>
                <w:rFonts w:ascii="Arial" w:hAnsi="Arial" w:cs="Arial"/>
              </w:rPr>
              <w:t xml:space="preserve">for this TMDL and associated implementation efforts. </w:t>
            </w:r>
          </w:p>
          <w:p w14:paraId="674FCD66" w14:textId="77777777" w:rsidR="00FA000B" w:rsidRDefault="00FA000B" w:rsidP="00345860">
            <w:pPr>
              <w:pStyle w:val="TableTextBody"/>
              <w:rPr>
                <w:rFonts w:ascii="Arial" w:hAnsi="Arial" w:cs="Arial"/>
              </w:rPr>
            </w:pPr>
          </w:p>
          <w:p w14:paraId="1EC1B75B" w14:textId="6E45EAF0" w:rsidR="00FA000B" w:rsidRDefault="00FA000B" w:rsidP="00345860">
            <w:pPr>
              <w:pStyle w:val="TableTextBody"/>
              <w:rPr>
                <w:rFonts w:ascii="Arial" w:hAnsi="Arial" w:cs="Arial"/>
              </w:rPr>
            </w:pPr>
            <w:r>
              <w:rPr>
                <w:rFonts w:ascii="Arial" w:hAnsi="Arial" w:cs="Arial"/>
              </w:rPr>
              <w:t xml:space="preserve">The goal of the implementation of the TMDL will be to decrease the concentration of indicator bacteria (Enterococci) in </w:t>
            </w:r>
            <w:r w:rsidR="00372570">
              <w:rPr>
                <w:rFonts w:ascii="Arial" w:hAnsi="Arial" w:cs="Arial"/>
              </w:rPr>
              <w:t xml:space="preserve">Cotton Bayou </w:t>
            </w:r>
            <w:r>
              <w:rPr>
                <w:rFonts w:ascii="Arial" w:hAnsi="Arial" w:cs="Arial"/>
              </w:rPr>
              <w:t xml:space="preserve">Tidal, as the most recent assessment indicates </w:t>
            </w:r>
            <w:r w:rsidR="00372570">
              <w:rPr>
                <w:rFonts w:ascii="Arial" w:hAnsi="Arial" w:cs="Arial"/>
              </w:rPr>
              <w:t xml:space="preserve">the assessment </w:t>
            </w:r>
            <w:r>
              <w:rPr>
                <w:rFonts w:ascii="Arial" w:hAnsi="Arial" w:cs="Arial"/>
              </w:rPr>
              <w:t>unit exceed</w:t>
            </w:r>
            <w:r w:rsidR="00372570">
              <w:rPr>
                <w:rFonts w:ascii="Arial" w:hAnsi="Arial" w:cs="Arial"/>
              </w:rPr>
              <w:t>s</w:t>
            </w:r>
            <w:r>
              <w:rPr>
                <w:rFonts w:ascii="Arial" w:hAnsi="Arial" w:cs="Arial"/>
              </w:rPr>
              <w:t xml:space="preserve"> the criterion </w:t>
            </w:r>
            <w:r w:rsidRPr="00DF6423">
              <w:rPr>
                <w:rFonts w:ascii="Arial" w:hAnsi="Arial" w:cs="Arial"/>
              </w:rPr>
              <w:t>used to evaluate attainment of the primary contact recreation 1 use</w:t>
            </w:r>
            <w:r>
              <w:rPr>
                <w:rFonts w:ascii="Arial" w:hAnsi="Arial" w:cs="Arial"/>
              </w:rPr>
              <w:t xml:space="preserve"> in saltwater (</w:t>
            </w:r>
            <w:r w:rsidRPr="00DF6423">
              <w:rPr>
                <w:rFonts w:ascii="Arial" w:hAnsi="Arial" w:cs="Arial"/>
              </w:rPr>
              <w:t>35 colony forming units of Enterococci per 100 milliliters</w:t>
            </w:r>
            <w:r>
              <w:rPr>
                <w:rFonts w:ascii="Arial" w:hAnsi="Arial" w:cs="Arial"/>
              </w:rPr>
              <w:t>).</w:t>
            </w:r>
          </w:p>
          <w:p w14:paraId="05630751" w14:textId="3A9C6F38" w:rsidR="00342856" w:rsidRDefault="00342856" w:rsidP="00345860">
            <w:pPr>
              <w:pStyle w:val="TableTextBody"/>
              <w:rPr>
                <w:rFonts w:ascii="Arial" w:hAnsi="Arial" w:cs="Arial"/>
              </w:rPr>
            </w:pPr>
          </w:p>
          <w:p w14:paraId="1E639BFA" w14:textId="141878BF" w:rsidR="00342856" w:rsidRDefault="00342856" w:rsidP="00345860">
            <w:pPr>
              <w:pStyle w:val="TableTextBody"/>
              <w:rPr>
                <w:rFonts w:ascii="Arial" w:hAnsi="Arial" w:cs="Arial"/>
              </w:rPr>
            </w:pPr>
            <w:r w:rsidRPr="00342856">
              <w:rPr>
                <w:rFonts w:ascii="Arial" w:hAnsi="Arial" w:cs="Arial"/>
              </w:rPr>
              <w:t>While additional flow from new dischargers or amended, higher flows from existing dischargers could result in an increase to the final TMDL allocation for</w:t>
            </w:r>
            <w:r w:rsidR="00372570">
              <w:rPr>
                <w:rFonts w:ascii="Arial" w:hAnsi="Arial" w:cs="Arial"/>
              </w:rPr>
              <w:t xml:space="preserve"> </w:t>
            </w:r>
            <w:r w:rsidR="0043217D">
              <w:rPr>
                <w:rFonts w:ascii="Arial" w:hAnsi="Arial" w:cs="Arial"/>
              </w:rPr>
              <w:t xml:space="preserve">the </w:t>
            </w:r>
            <w:r w:rsidRPr="00342856">
              <w:rPr>
                <w:rFonts w:ascii="Arial" w:hAnsi="Arial" w:cs="Arial"/>
              </w:rPr>
              <w:t>assessment unit, the new allocation would still be set to meet the applicable water quality standard for the primary contact recreation 1 use.</w:t>
            </w:r>
          </w:p>
          <w:p w14:paraId="1F177FEB" w14:textId="77777777" w:rsidR="00EA68B4" w:rsidRDefault="00EA68B4" w:rsidP="00345860">
            <w:pPr>
              <w:pStyle w:val="TableTextBody"/>
              <w:rPr>
                <w:rFonts w:ascii="Arial" w:hAnsi="Arial" w:cs="Arial"/>
              </w:rPr>
            </w:pPr>
          </w:p>
          <w:p w14:paraId="68395808" w14:textId="2F736A40" w:rsidR="00FA000B" w:rsidRDefault="00B678B9" w:rsidP="00345860">
            <w:pPr>
              <w:pStyle w:val="TableTextBody"/>
              <w:rPr>
                <w:rStyle w:val="cf01"/>
                <w:rFonts w:ascii="Arial" w:hAnsi="Arial" w:cs="Arial"/>
                <w:sz w:val="20"/>
                <w:szCs w:val="20"/>
              </w:rPr>
            </w:pPr>
            <w:r w:rsidRPr="00B678B9">
              <w:rPr>
                <w:rStyle w:val="cf01"/>
                <w:rFonts w:ascii="Arial" w:hAnsi="Arial" w:cs="Arial"/>
                <w:sz w:val="20"/>
                <w:szCs w:val="20"/>
              </w:rPr>
              <w:t xml:space="preserve">This TMDL calculates load allocations based on future growth. This calculation should prevent significant permit discharge regulation changes for WWTFs, if the WWTFs are in compliance with the terms of their </w:t>
            </w:r>
            <w:r w:rsidR="00D2295F">
              <w:rPr>
                <w:rStyle w:val="cf01"/>
                <w:rFonts w:ascii="Arial" w:hAnsi="Arial" w:cs="Arial"/>
                <w:sz w:val="20"/>
                <w:szCs w:val="20"/>
              </w:rPr>
              <w:t xml:space="preserve">current or future </w:t>
            </w:r>
            <w:r w:rsidRPr="00B678B9">
              <w:rPr>
                <w:rStyle w:val="cf01"/>
                <w:rFonts w:ascii="Arial" w:hAnsi="Arial" w:cs="Arial"/>
                <w:sz w:val="20"/>
                <w:szCs w:val="20"/>
              </w:rPr>
              <w:t>permit</w:t>
            </w:r>
            <w:r w:rsidR="00D2295F">
              <w:rPr>
                <w:rStyle w:val="cf01"/>
                <w:rFonts w:ascii="Arial" w:hAnsi="Arial" w:cs="Arial"/>
                <w:sz w:val="20"/>
                <w:szCs w:val="20"/>
              </w:rPr>
              <w:t>s</w:t>
            </w:r>
            <w:r w:rsidRPr="00B678B9">
              <w:rPr>
                <w:rStyle w:val="cf01"/>
                <w:rFonts w:ascii="Arial" w:hAnsi="Arial" w:cs="Arial"/>
                <w:sz w:val="20"/>
                <w:szCs w:val="20"/>
              </w:rPr>
              <w:t>.</w:t>
            </w:r>
            <w:r w:rsidR="000B4272">
              <w:rPr>
                <w:rStyle w:val="cf01"/>
                <w:rFonts w:ascii="Arial" w:hAnsi="Arial" w:cs="Arial"/>
                <w:sz w:val="20"/>
                <w:szCs w:val="20"/>
              </w:rPr>
              <w:t xml:space="preserve"> While the TMDL includes an allocation for existing WWTFs in the watershed, it will not change the discharge limits of those facilities. </w:t>
            </w:r>
          </w:p>
          <w:p w14:paraId="7E180C98" w14:textId="77777777" w:rsidR="00B678B9" w:rsidRPr="00B678B9" w:rsidRDefault="00B678B9" w:rsidP="00345860">
            <w:pPr>
              <w:pStyle w:val="TableTextBody"/>
              <w:rPr>
                <w:rFonts w:ascii="Arial" w:hAnsi="Arial" w:cs="Arial"/>
              </w:rPr>
            </w:pPr>
          </w:p>
          <w:p w14:paraId="529B6875" w14:textId="2DF69831" w:rsidR="00D83575" w:rsidRPr="002F2C66" w:rsidRDefault="005B3130" w:rsidP="00345860">
            <w:pPr>
              <w:pStyle w:val="TableTextBody"/>
              <w:rPr>
                <w:rFonts w:ascii="Arial" w:hAnsi="Arial" w:cs="Arial"/>
              </w:rPr>
            </w:pPr>
            <w:r w:rsidRPr="002F2C66">
              <w:rPr>
                <w:rFonts w:ascii="Arial" w:hAnsi="Arial" w:cs="Arial"/>
              </w:rPr>
              <w:t>No changes were made to the TMDL document based on this comment.</w:t>
            </w:r>
          </w:p>
        </w:tc>
      </w:tr>
    </w:tbl>
    <w:p w14:paraId="243C5EE0" w14:textId="0444B667" w:rsidR="004C11A0" w:rsidRPr="00CA54C7" w:rsidRDefault="004C11A0" w:rsidP="004C11A0">
      <w:pPr>
        <w:widowControl w:val="0"/>
        <w:rPr>
          <w:rFonts w:ascii="Lucida Bright" w:hAnsi="Lucida Bright"/>
          <w:sz w:val="22"/>
          <w:szCs w:val="22"/>
        </w:rPr>
      </w:pPr>
    </w:p>
    <w:p w14:paraId="3B107E1C" w14:textId="77777777" w:rsidR="00A84095" w:rsidRDefault="00A84095">
      <w:pPr>
        <w:widowControl w:val="0"/>
        <w:rPr>
          <w:sz w:val="20"/>
        </w:rPr>
      </w:pPr>
    </w:p>
    <w:sectPr w:rsidR="00A84095" w:rsidSect="00F66CBF">
      <w:headerReference w:type="even" r:id="rId8"/>
      <w:headerReference w:type="default" r:id="rId9"/>
      <w:footerReference w:type="even" r:id="rId10"/>
      <w:footerReference w:type="default" r:id="rId11"/>
      <w:pgSz w:w="12240" w:h="15840" w:code="1"/>
      <w:pgMar w:top="1080" w:right="1080" w:bottom="1080" w:left="1080" w:header="1008"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C172D" w14:textId="77777777" w:rsidR="001D20D2" w:rsidRDefault="001D20D2">
      <w:r>
        <w:separator/>
      </w:r>
    </w:p>
  </w:endnote>
  <w:endnote w:type="continuationSeparator" w:id="0">
    <w:p w14:paraId="4CA078AB" w14:textId="77777777" w:rsidR="001D20D2" w:rsidRDefault="001D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55074" w14:textId="77777777" w:rsidR="00E8676F" w:rsidRPr="005B59E5" w:rsidRDefault="00E8676F">
    <w:pPr>
      <w:framePr w:w="13680" w:h="210" w:hRule="exact" w:wrap="notBeside" w:vAnchor="page" w:hAnchor="text" w:y="11304"/>
      <w:widowControl w:val="0"/>
      <w:spacing w:line="0" w:lineRule="atLeast"/>
      <w:jc w:val="center"/>
      <w:rPr>
        <w:rFonts w:ascii="Lucida Bright" w:hAnsi="Lucida Bright"/>
        <w:vanish/>
      </w:rPr>
    </w:pPr>
    <w:r w:rsidRPr="005B59E5">
      <w:rPr>
        <w:rFonts w:ascii="Lucida Bright" w:hAnsi="Lucida Bright"/>
        <w:sz w:val="18"/>
      </w:rPr>
      <w:t xml:space="preserve">Page </w:t>
    </w:r>
    <w:r w:rsidRPr="005B59E5">
      <w:rPr>
        <w:rFonts w:ascii="Lucida Bright" w:hAnsi="Lucida Bright"/>
        <w:sz w:val="18"/>
      </w:rPr>
      <w:pgNum/>
    </w:r>
    <w:r w:rsidR="006D3270" w:rsidRPr="005B59E5">
      <w:rPr>
        <w:rFonts w:ascii="Lucida Bright" w:hAnsi="Lucida Bright"/>
        <w:sz w:val="18"/>
      </w:rPr>
      <w:t xml:space="preserve"> of </w:t>
    </w:r>
    <w:r w:rsidR="005B59E5" w:rsidRPr="005B59E5">
      <w:rPr>
        <w:rFonts w:ascii="Lucida Bright" w:hAnsi="Lucida Bright"/>
      </w:rPr>
      <w:fldChar w:fldCharType="begin"/>
    </w:r>
    <w:r w:rsidR="005B59E5" w:rsidRPr="005B59E5">
      <w:rPr>
        <w:rFonts w:ascii="Lucida Bright" w:hAnsi="Lucida Bright"/>
      </w:rPr>
      <w:instrText xml:space="preserve"> NUMPAGES \* arabic \* MERGEFORMAT </w:instrText>
    </w:r>
    <w:r w:rsidR="005B59E5" w:rsidRPr="005B59E5">
      <w:rPr>
        <w:rFonts w:ascii="Lucida Bright" w:hAnsi="Lucida Bright"/>
      </w:rPr>
      <w:fldChar w:fldCharType="separate"/>
    </w:r>
    <w:r w:rsidR="005B59E5" w:rsidRPr="005B59E5">
      <w:rPr>
        <w:rFonts w:ascii="Lucida Bright" w:hAnsi="Lucida Bright"/>
        <w:noProof/>
        <w:sz w:val="18"/>
      </w:rPr>
      <w:t>1</w:t>
    </w:r>
    <w:r w:rsidR="005B59E5" w:rsidRPr="005B59E5">
      <w:rPr>
        <w:rFonts w:ascii="Lucida Bright" w:hAnsi="Lucida Bright"/>
        <w:noProof/>
        <w:sz w:val="18"/>
      </w:rPr>
      <w:fldChar w:fldCharType="end"/>
    </w:r>
  </w:p>
  <w:p w14:paraId="65CC58DE" w14:textId="77777777" w:rsidR="00E8676F" w:rsidRPr="005B59E5" w:rsidRDefault="00E8676F">
    <w:pPr>
      <w:widowControl w:val="0"/>
      <w:rPr>
        <w:rFonts w:ascii="Lucida Bright" w:hAnsi="Lucida Brigh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A924" w14:textId="58E8FC62" w:rsidR="00E8676F" w:rsidRPr="005B59E5" w:rsidRDefault="00E8676F" w:rsidP="008F2500">
    <w:pPr>
      <w:pStyle w:val="Footer"/>
      <w:tabs>
        <w:tab w:val="clear" w:pos="4680"/>
        <w:tab w:val="right" w:pos="13680"/>
      </w:tabs>
      <w:rPr>
        <w:rFonts w:ascii="Lucida Bright" w:hAnsi="Lucida Bright"/>
      </w:rPr>
    </w:pPr>
    <w:r w:rsidRPr="005B59E5">
      <w:rPr>
        <w:rFonts w:ascii="Lucida Bright" w:hAnsi="Lucida Bright"/>
      </w:rPr>
      <w:t>Texas Commission on Environmental Quality</w:t>
    </w:r>
    <w:r w:rsidR="00970087" w:rsidRPr="005B59E5">
      <w:rPr>
        <w:rFonts w:ascii="Lucida Bright" w:hAnsi="Lucida Bright"/>
      </w:rPr>
      <w:tab/>
    </w:r>
    <w:r w:rsidR="002F4CD3" w:rsidRPr="005B59E5">
      <w:rPr>
        <w:rFonts w:ascii="Lucida Bright" w:hAnsi="Lucida Bright"/>
      </w:rPr>
      <w:t xml:space="preserve">Page </w:t>
    </w:r>
    <w:r w:rsidR="00B946B4" w:rsidRPr="005B59E5">
      <w:rPr>
        <w:rFonts w:ascii="Lucida Bright" w:hAnsi="Lucida Bright"/>
      </w:rPr>
      <w:fldChar w:fldCharType="begin"/>
    </w:r>
    <w:r w:rsidR="00B946B4" w:rsidRPr="005B59E5">
      <w:rPr>
        <w:rFonts w:ascii="Lucida Bright" w:hAnsi="Lucida Bright"/>
      </w:rPr>
      <w:instrText xml:space="preserve"> PAGE </w:instrText>
    </w:r>
    <w:r w:rsidR="00B946B4" w:rsidRPr="005B59E5">
      <w:rPr>
        <w:rFonts w:ascii="Lucida Bright" w:hAnsi="Lucida Bright"/>
      </w:rPr>
      <w:fldChar w:fldCharType="separate"/>
    </w:r>
    <w:r w:rsidR="00DD0A89">
      <w:rPr>
        <w:rFonts w:ascii="Lucida Bright" w:hAnsi="Lucida Bright"/>
        <w:noProof/>
      </w:rPr>
      <w:t>1</w:t>
    </w:r>
    <w:r w:rsidR="00B946B4" w:rsidRPr="005B59E5">
      <w:rPr>
        <w:rFonts w:ascii="Lucida Bright" w:hAnsi="Lucida Bright"/>
        <w:noProof/>
      </w:rPr>
      <w:fldChar w:fldCharType="end"/>
    </w:r>
    <w:r w:rsidR="002F4CD3" w:rsidRPr="005B59E5">
      <w:rPr>
        <w:rFonts w:ascii="Lucida Bright" w:hAnsi="Lucida Bright"/>
      </w:rPr>
      <w:t xml:space="preserve"> of </w:t>
    </w:r>
    <w:r w:rsidR="005B59E5" w:rsidRPr="005B59E5">
      <w:rPr>
        <w:rFonts w:ascii="Lucida Bright" w:hAnsi="Lucida Bright"/>
      </w:rPr>
      <w:fldChar w:fldCharType="begin"/>
    </w:r>
    <w:r w:rsidR="005B59E5" w:rsidRPr="005B59E5">
      <w:rPr>
        <w:rFonts w:ascii="Lucida Bright" w:hAnsi="Lucida Bright"/>
      </w:rPr>
      <w:instrText xml:space="preserve"> NUMPAGES  </w:instrText>
    </w:r>
    <w:r w:rsidR="005B59E5" w:rsidRPr="005B59E5">
      <w:rPr>
        <w:rFonts w:ascii="Lucida Bright" w:hAnsi="Lucida Bright"/>
      </w:rPr>
      <w:fldChar w:fldCharType="separate"/>
    </w:r>
    <w:r w:rsidR="00DD0A89">
      <w:rPr>
        <w:rFonts w:ascii="Lucida Bright" w:hAnsi="Lucida Bright"/>
        <w:noProof/>
      </w:rPr>
      <w:t>1</w:t>
    </w:r>
    <w:r w:rsidR="005B59E5" w:rsidRPr="005B59E5">
      <w:rPr>
        <w:rFonts w:ascii="Lucida Bright" w:hAnsi="Lucida Bright"/>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15719" w14:textId="77777777" w:rsidR="001D20D2" w:rsidRDefault="001D20D2">
      <w:r>
        <w:separator/>
      </w:r>
    </w:p>
  </w:footnote>
  <w:footnote w:type="continuationSeparator" w:id="0">
    <w:p w14:paraId="334912B7" w14:textId="77777777" w:rsidR="001D20D2" w:rsidRDefault="001D2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370D" w14:textId="77777777" w:rsidR="00E8676F" w:rsidRDefault="00E8676F">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A92FC" w14:textId="77777777" w:rsidR="00E8676F" w:rsidRPr="005B59E5" w:rsidRDefault="00E8676F">
    <w:pPr>
      <w:widowControl w:val="0"/>
      <w:rPr>
        <w:rFonts w:ascii="Lucida Bright" w:hAnsi="Lucida Br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5F52"/>
    <w:multiLevelType w:val="hybridMultilevel"/>
    <w:tmpl w:val="D8E8E5E6"/>
    <w:lvl w:ilvl="0" w:tplc="63EE32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85816"/>
    <w:multiLevelType w:val="hybridMultilevel"/>
    <w:tmpl w:val="B8144CEE"/>
    <w:lvl w:ilvl="0" w:tplc="888037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7A4761"/>
    <w:multiLevelType w:val="hybridMultilevel"/>
    <w:tmpl w:val="8F56839A"/>
    <w:lvl w:ilvl="0" w:tplc="60DC6B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071412"/>
    <w:multiLevelType w:val="hybridMultilevel"/>
    <w:tmpl w:val="050869CE"/>
    <w:lvl w:ilvl="0" w:tplc="79F8B79E">
      <w:start w:val="1"/>
      <w:numFmt w:val="lowerLetter"/>
      <w:lvlText w:val="(%1)"/>
      <w:lvlJc w:val="left"/>
      <w:pPr>
        <w:ind w:left="720" w:hanging="360"/>
      </w:pPr>
      <w:rPr>
        <w:rFonts w:ascii="Georgia" w:eastAsia="Times New Roman" w:hAnsi="Georg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836A5B"/>
    <w:multiLevelType w:val="hybridMultilevel"/>
    <w:tmpl w:val="C608D2A2"/>
    <w:lvl w:ilvl="0" w:tplc="3E70AF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8B30C9"/>
    <w:multiLevelType w:val="hybridMultilevel"/>
    <w:tmpl w:val="840AF0B0"/>
    <w:lvl w:ilvl="0" w:tplc="2848D2AE">
      <w:start w:val="2"/>
      <w:numFmt w:val="lowerLetter"/>
      <w:lvlText w:val="(%1)"/>
      <w:lvlJc w:val="left"/>
      <w:pPr>
        <w:ind w:left="720" w:hanging="360"/>
      </w:pPr>
      <w:rPr>
        <w:rFonts w:ascii="Georgia" w:eastAsia="Times New Roman" w:hAnsi="Georg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2D0F56"/>
    <w:multiLevelType w:val="hybridMultilevel"/>
    <w:tmpl w:val="050869CE"/>
    <w:lvl w:ilvl="0" w:tplc="79F8B79E">
      <w:start w:val="1"/>
      <w:numFmt w:val="lowerLetter"/>
      <w:lvlText w:val="(%1)"/>
      <w:lvlJc w:val="left"/>
      <w:pPr>
        <w:ind w:left="720" w:hanging="360"/>
      </w:pPr>
      <w:rPr>
        <w:rFonts w:ascii="Georgia" w:eastAsia="Times New Roman" w:hAnsi="Georg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0568368">
    <w:abstractNumId w:val="2"/>
  </w:num>
  <w:num w:numId="2" w16cid:durableId="1713992724">
    <w:abstractNumId w:val="3"/>
  </w:num>
  <w:num w:numId="3" w16cid:durableId="1664236867">
    <w:abstractNumId w:val="6"/>
  </w:num>
  <w:num w:numId="4" w16cid:durableId="958993335">
    <w:abstractNumId w:val="5"/>
  </w:num>
  <w:num w:numId="5" w16cid:durableId="1824807130">
    <w:abstractNumId w:val="4"/>
  </w:num>
  <w:num w:numId="6" w16cid:durableId="251815332">
    <w:abstractNumId w:val="0"/>
  </w:num>
  <w:num w:numId="7" w16cid:durableId="856190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clean"/>
  <w:attachedTemplate r:id="rId1"/>
  <w:stylePaneSortMethod w:val="000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4F2"/>
    <w:rsid w:val="00005F51"/>
    <w:rsid w:val="000072A7"/>
    <w:rsid w:val="0001311E"/>
    <w:rsid w:val="000214F2"/>
    <w:rsid w:val="00030680"/>
    <w:rsid w:val="000650FE"/>
    <w:rsid w:val="00077821"/>
    <w:rsid w:val="000B4272"/>
    <w:rsid w:val="000D47FA"/>
    <w:rsid w:val="000F51FC"/>
    <w:rsid w:val="00106E7E"/>
    <w:rsid w:val="00131745"/>
    <w:rsid w:val="0013314A"/>
    <w:rsid w:val="001338ED"/>
    <w:rsid w:val="00144C9B"/>
    <w:rsid w:val="00152A58"/>
    <w:rsid w:val="00155332"/>
    <w:rsid w:val="001D107E"/>
    <w:rsid w:val="001D20D2"/>
    <w:rsid w:val="001D4691"/>
    <w:rsid w:val="001E5595"/>
    <w:rsid w:val="00236620"/>
    <w:rsid w:val="00242752"/>
    <w:rsid w:val="00246243"/>
    <w:rsid w:val="002525ED"/>
    <w:rsid w:val="00261808"/>
    <w:rsid w:val="002636EE"/>
    <w:rsid w:val="002850C8"/>
    <w:rsid w:val="0029574E"/>
    <w:rsid w:val="002A6273"/>
    <w:rsid w:val="002C047E"/>
    <w:rsid w:val="002F2C66"/>
    <w:rsid w:val="002F4CD3"/>
    <w:rsid w:val="00311C05"/>
    <w:rsid w:val="00333F9D"/>
    <w:rsid w:val="00342856"/>
    <w:rsid w:val="00345728"/>
    <w:rsid w:val="00354499"/>
    <w:rsid w:val="00363982"/>
    <w:rsid w:val="0037080A"/>
    <w:rsid w:val="00372570"/>
    <w:rsid w:val="003C26AE"/>
    <w:rsid w:val="003C39AA"/>
    <w:rsid w:val="0040491E"/>
    <w:rsid w:val="00405191"/>
    <w:rsid w:val="00406C57"/>
    <w:rsid w:val="004111D2"/>
    <w:rsid w:val="0043217D"/>
    <w:rsid w:val="00443BD1"/>
    <w:rsid w:val="0045650D"/>
    <w:rsid w:val="00465273"/>
    <w:rsid w:val="00467C1E"/>
    <w:rsid w:val="00483D97"/>
    <w:rsid w:val="00484853"/>
    <w:rsid w:val="004909A3"/>
    <w:rsid w:val="00496B8A"/>
    <w:rsid w:val="004A2709"/>
    <w:rsid w:val="004C11A0"/>
    <w:rsid w:val="005038A2"/>
    <w:rsid w:val="0051110D"/>
    <w:rsid w:val="005132CF"/>
    <w:rsid w:val="00517173"/>
    <w:rsid w:val="005251C0"/>
    <w:rsid w:val="005356CB"/>
    <w:rsid w:val="00546917"/>
    <w:rsid w:val="00546EEA"/>
    <w:rsid w:val="005768FC"/>
    <w:rsid w:val="00580ED0"/>
    <w:rsid w:val="005B3130"/>
    <w:rsid w:val="005B59E5"/>
    <w:rsid w:val="005F5610"/>
    <w:rsid w:val="00612D59"/>
    <w:rsid w:val="0067041E"/>
    <w:rsid w:val="00672527"/>
    <w:rsid w:val="0067397E"/>
    <w:rsid w:val="00674FF5"/>
    <w:rsid w:val="006809F3"/>
    <w:rsid w:val="00681780"/>
    <w:rsid w:val="0068653F"/>
    <w:rsid w:val="00686DE3"/>
    <w:rsid w:val="00697FF9"/>
    <w:rsid w:val="006A1A52"/>
    <w:rsid w:val="006A5272"/>
    <w:rsid w:val="006B19B5"/>
    <w:rsid w:val="006B5A64"/>
    <w:rsid w:val="006D3270"/>
    <w:rsid w:val="006F0DE6"/>
    <w:rsid w:val="006F7A51"/>
    <w:rsid w:val="0073159A"/>
    <w:rsid w:val="00755946"/>
    <w:rsid w:val="00755981"/>
    <w:rsid w:val="00756F1D"/>
    <w:rsid w:val="00773AB0"/>
    <w:rsid w:val="007A3FA2"/>
    <w:rsid w:val="007D3F65"/>
    <w:rsid w:val="00802CF5"/>
    <w:rsid w:val="00817D4D"/>
    <w:rsid w:val="00822662"/>
    <w:rsid w:val="00830A51"/>
    <w:rsid w:val="00857AEA"/>
    <w:rsid w:val="00895DBC"/>
    <w:rsid w:val="008A0C63"/>
    <w:rsid w:val="008F225D"/>
    <w:rsid w:val="008F2500"/>
    <w:rsid w:val="008F5D34"/>
    <w:rsid w:val="00970087"/>
    <w:rsid w:val="009A4A4C"/>
    <w:rsid w:val="009B5778"/>
    <w:rsid w:val="009C38C9"/>
    <w:rsid w:val="009C5F9C"/>
    <w:rsid w:val="009E6937"/>
    <w:rsid w:val="009F2680"/>
    <w:rsid w:val="009F57C2"/>
    <w:rsid w:val="00A045CB"/>
    <w:rsid w:val="00A2474C"/>
    <w:rsid w:val="00A84095"/>
    <w:rsid w:val="00A86C94"/>
    <w:rsid w:val="00AA6C08"/>
    <w:rsid w:val="00AC1DE1"/>
    <w:rsid w:val="00B117C9"/>
    <w:rsid w:val="00B14FB1"/>
    <w:rsid w:val="00B32856"/>
    <w:rsid w:val="00B34937"/>
    <w:rsid w:val="00B3601F"/>
    <w:rsid w:val="00B54FB4"/>
    <w:rsid w:val="00B6386A"/>
    <w:rsid w:val="00B642B3"/>
    <w:rsid w:val="00B653D2"/>
    <w:rsid w:val="00B678B9"/>
    <w:rsid w:val="00B76AF5"/>
    <w:rsid w:val="00B8302A"/>
    <w:rsid w:val="00B946B4"/>
    <w:rsid w:val="00B9601E"/>
    <w:rsid w:val="00BD5DEB"/>
    <w:rsid w:val="00BD6A26"/>
    <w:rsid w:val="00BF1905"/>
    <w:rsid w:val="00BF3A58"/>
    <w:rsid w:val="00C052E4"/>
    <w:rsid w:val="00C111C3"/>
    <w:rsid w:val="00C13911"/>
    <w:rsid w:val="00C144E8"/>
    <w:rsid w:val="00C44792"/>
    <w:rsid w:val="00C71CB6"/>
    <w:rsid w:val="00C72F6F"/>
    <w:rsid w:val="00C74C87"/>
    <w:rsid w:val="00C92BE2"/>
    <w:rsid w:val="00CA48BE"/>
    <w:rsid w:val="00CA54C7"/>
    <w:rsid w:val="00CD4AA7"/>
    <w:rsid w:val="00CD7CE2"/>
    <w:rsid w:val="00CE2BA1"/>
    <w:rsid w:val="00CE5FB2"/>
    <w:rsid w:val="00D049CF"/>
    <w:rsid w:val="00D101DE"/>
    <w:rsid w:val="00D12E2C"/>
    <w:rsid w:val="00D2295F"/>
    <w:rsid w:val="00D43847"/>
    <w:rsid w:val="00D47175"/>
    <w:rsid w:val="00D51403"/>
    <w:rsid w:val="00D83575"/>
    <w:rsid w:val="00D94CDE"/>
    <w:rsid w:val="00D968A1"/>
    <w:rsid w:val="00DA056D"/>
    <w:rsid w:val="00DD0A89"/>
    <w:rsid w:val="00DD2E59"/>
    <w:rsid w:val="00DD757D"/>
    <w:rsid w:val="00DF6423"/>
    <w:rsid w:val="00E2514F"/>
    <w:rsid w:val="00E63EBE"/>
    <w:rsid w:val="00E8676F"/>
    <w:rsid w:val="00E924FD"/>
    <w:rsid w:val="00E9722A"/>
    <w:rsid w:val="00EA68B4"/>
    <w:rsid w:val="00EB2518"/>
    <w:rsid w:val="00EC3C35"/>
    <w:rsid w:val="00EE4BB3"/>
    <w:rsid w:val="00F21C3D"/>
    <w:rsid w:val="00F320B1"/>
    <w:rsid w:val="00F66CBF"/>
    <w:rsid w:val="00F70B3F"/>
    <w:rsid w:val="00F94295"/>
    <w:rsid w:val="00FA000B"/>
    <w:rsid w:val="00FC7BEF"/>
    <w:rsid w:val="00FD1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6CE87"/>
  <w15:docId w15:val="{4D99A5BA-3090-4C55-A58C-C688D66BA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ED0"/>
    <w:rPr>
      <w:rFonts w:ascii="Georgia" w:hAnsi="Georgia"/>
      <w:sz w:val="24"/>
    </w:rPr>
  </w:style>
  <w:style w:type="paragraph" w:styleId="Heading1">
    <w:name w:val="heading 1"/>
    <w:next w:val="BodyText"/>
    <w:link w:val="Heading1Char"/>
    <w:uiPriority w:val="9"/>
    <w:qFormat/>
    <w:rsid w:val="00236620"/>
    <w:pPr>
      <w:widowControl w:val="0"/>
      <w:spacing w:after="240" w:line="360" w:lineRule="auto"/>
      <w:jc w:val="center"/>
      <w:outlineLvl w:val="0"/>
    </w:pPr>
    <w:rPr>
      <w:rFonts w:ascii="Lucida Bright" w:hAnsi="Lucida Bright"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E8676F"/>
    <w:rPr>
      <w:rFonts w:ascii="Tahoma" w:hAnsi="Tahoma" w:cs="Tahoma"/>
      <w:sz w:val="16"/>
      <w:szCs w:val="16"/>
    </w:rPr>
  </w:style>
  <w:style w:type="paragraph" w:customStyle="1" w:styleId="Level1">
    <w:name w:val="Level 1"/>
    <w:basedOn w:val="Normal"/>
    <w:rsid w:val="00756F1D"/>
    <w:pPr>
      <w:widowControl w:val="0"/>
    </w:pPr>
  </w:style>
  <w:style w:type="paragraph" w:customStyle="1" w:styleId="Level2">
    <w:name w:val="Level 2"/>
    <w:basedOn w:val="Normal"/>
    <w:rsid w:val="00756F1D"/>
    <w:pPr>
      <w:widowControl w:val="0"/>
    </w:pPr>
  </w:style>
  <w:style w:type="paragraph" w:customStyle="1" w:styleId="Level3">
    <w:name w:val="Level 3"/>
    <w:basedOn w:val="Normal"/>
    <w:rsid w:val="00756F1D"/>
    <w:pPr>
      <w:widowControl w:val="0"/>
    </w:pPr>
  </w:style>
  <w:style w:type="paragraph" w:customStyle="1" w:styleId="Level4">
    <w:name w:val="Level 4"/>
    <w:basedOn w:val="Normal"/>
    <w:rsid w:val="00756F1D"/>
    <w:pPr>
      <w:widowControl w:val="0"/>
    </w:pPr>
  </w:style>
  <w:style w:type="paragraph" w:customStyle="1" w:styleId="Level5">
    <w:name w:val="Level 5"/>
    <w:basedOn w:val="Normal"/>
    <w:rsid w:val="00756F1D"/>
    <w:pPr>
      <w:widowControl w:val="0"/>
    </w:pPr>
  </w:style>
  <w:style w:type="paragraph" w:customStyle="1" w:styleId="Level6">
    <w:name w:val="Level 6"/>
    <w:basedOn w:val="Normal"/>
    <w:rsid w:val="00756F1D"/>
    <w:pPr>
      <w:widowControl w:val="0"/>
    </w:pPr>
  </w:style>
  <w:style w:type="paragraph" w:customStyle="1" w:styleId="Level7">
    <w:name w:val="Level 7"/>
    <w:basedOn w:val="Normal"/>
    <w:rsid w:val="00756F1D"/>
    <w:pPr>
      <w:widowControl w:val="0"/>
    </w:pPr>
  </w:style>
  <w:style w:type="paragraph" w:customStyle="1" w:styleId="Level8">
    <w:name w:val="Level 8"/>
    <w:basedOn w:val="Normal"/>
    <w:rsid w:val="00756F1D"/>
    <w:pPr>
      <w:widowControl w:val="0"/>
    </w:pPr>
  </w:style>
  <w:style w:type="paragraph" w:customStyle="1" w:styleId="Level9">
    <w:name w:val="Level 9"/>
    <w:basedOn w:val="Normal"/>
    <w:rsid w:val="00756F1D"/>
    <w:pPr>
      <w:widowControl w:val="0"/>
    </w:pPr>
    <w:rPr>
      <w:b/>
    </w:rPr>
  </w:style>
  <w:style w:type="character" w:customStyle="1" w:styleId="DocumentMapChar">
    <w:name w:val="Document Map Char"/>
    <w:basedOn w:val="DefaultParagraphFont"/>
    <w:link w:val="DocumentMap"/>
    <w:uiPriority w:val="99"/>
    <w:semiHidden/>
    <w:rsid w:val="00E8676F"/>
    <w:rPr>
      <w:rFonts w:ascii="Tahoma" w:hAnsi="Tahoma" w:cs="Tahoma"/>
      <w:sz w:val="16"/>
      <w:szCs w:val="16"/>
    </w:rPr>
  </w:style>
  <w:style w:type="character" w:styleId="Strong">
    <w:name w:val="Strong"/>
    <w:basedOn w:val="DefaultParagraphFont"/>
    <w:uiPriority w:val="22"/>
    <w:qFormat/>
    <w:rsid w:val="00E8676F"/>
    <w:rPr>
      <w:b/>
      <w:bCs/>
    </w:rPr>
  </w:style>
  <w:style w:type="character" w:customStyle="1" w:styleId="Heading1Char">
    <w:name w:val="Heading 1 Char"/>
    <w:basedOn w:val="DefaultParagraphFont"/>
    <w:link w:val="Heading1"/>
    <w:uiPriority w:val="9"/>
    <w:rsid w:val="00236620"/>
    <w:rPr>
      <w:rFonts w:ascii="Lucida Bright" w:hAnsi="Lucida Bright" w:cs="Arial"/>
      <w:b/>
      <w:sz w:val="24"/>
    </w:rPr>
  </w:style>
  <w:style w:type="paragraph" w:styleId="Header">
    <w:name w:val="header"/>
    <w:basedOn w:val="Normal"/>
    <w:link w:val="HeaderChar"/>
    <w:uiPriority w:val="99"/>
    <w:unhideWhenUsed/>
    <w:rsid w:val="00E8676F"/>
    <w:pPr>
      <w:tabs>
        <w:tab w:val="center" w:pos="4680"/>
        <w:tab w:val="right" w:pos="9360"/>
      </w:tabs>
    </w:pPr>
  </w:style>
  <w:style w:type="paragraph" w:customStyle="1" w:styleId="TableTextHeaderRow">
    <w:name w:val="Table Text Header Row"/>
    <w:basedOn w:val="BodyText"/>
    <w:qFormat/>
    <w:rsid w:val="00580ED0"/>
    <w:pPr>
      <w:widowControl w:val="0"/>
      <w:spacing w:after="0"/>
      <w:jc w:val="center"/>
    </w:pPr>
    <w:rPr>
      <w:rFonts w:ascii="Arial" w:hAnsi="Arial"/>
      <w:b/>
      <w:sz w:val="20"/>
    </w:rPr>
  </w:style>
  <w:style w:type="paragraph" w:styleId="BodyText">
    <w:name w:val="Body Text"/>
    <w:basedOn w:val="Normal"/>
    <w:link w:val="BodyTextChar"/>
    <w:uiPriority w:val="99"/>
    <w:rsid w:val="00E8676F"/>
    <w:pPr>
      <w:spacing w:after="120"/>
    </w:pPr>
  </w:style>
  <w:style w:type="character" w:customStyle="1" w:styleId="BodyTextChar">
    <w:name w:val="Body Text Char"/>
    <w:basedOn w:val="DefaultParagraphFont"/>
    <w:link w:val="BodyText"/>
    <w:uiPriority w:val="99"/>
    <w:rsid w:val="00E8676F"/>
    <w:rPr>
      <w:sz w:val="24"/>
    </w:rPr>
  </w:style>
  <w:style w:type="paragraph" w:customStyle="1" w:styleId="TableTextBody">
    <w:name w:val="Table Text Body"/>
    <w:basedOn w:val="BodyText"/>
    <w:qFormat/>
    <w:rsid w:val="00E8676F"/>
    <w:pPr>
      <w:widowControl w:val="0"/>
      <w:spacing w:after="0"/>
    </w:pPr>
    <w:rPr>
      <w:sz w:val="20"/>
    </w:rPr>
  </w:style>
  <w:style w:type="character" w:customStyle="1" w:styleId="HeaderChar">
    <w:name w:val="Header Char"/>
    <w:basedOn w:val="DefaultParagraphFont"/>
    <w:link w:val="Header"/>
    <w:uiPriority w:val="99"/>
    <w:rsid w:val="00E8676F"/>
    <w:rPr>
      <w:sz w:val="24"/>
    </w:rPr>
  </w:style>
  <w:style w:type="paragraph" w:styleId="Footer">
    <w:name w:val="footer"/>
    <w:basedOn w:val="Normal"/>
    <w:link w:val="FooterChar"/>
    <w:uiPriority w:val="99"/>
    <w:unhideWhenUsed/>
    <w:rsid w:val="00E8676F"/>
    <w:pPr>
      <w:tabs>
        <w:tab w:val="center" w:pos="4680"/>
        <w:tab w:val="right" w:pos="9360"/>
      </w:tabs>
    </w:pPr>
    <w:rPr>
      <w:rFonts w:ascii="Arial" w:hAnsi="Arial"/>
      <w:sz w:val="18"/>
    </w:rPr>
  </w:style>
  <w:style w:type="character" w:customStyle="1" w:styleId="FooterChar">
    <w:name w:val="Footer Char"/>
    <w:basedOn w:val="DefaultParagraphFont"/>
    <w:link w:val="Footer"/>
    <w:uiPriority w:val="99"/>
    <w:rsid w:val="00E8676F"/>
    <w:rPr>
      <w:rFonts w:ascii="Arial" w:hAnsi="Arial"/>
      <w:sz w:val="18"/>
    </w:rPr>
  </w:style>
  <w:style w:type="paragraph" w:styleId="BalloonText">
    <w:name w:val="Balloon Text"/>
    <w:basedOn w:val="Normal"/>
    <w:link w:val="BalloonTextChar"/>
    <w:uiPriority w:val="99"/>
    <w:semiHidden/>
    <w:unhideWhenUsed/>
    <w:rsid w:val="00A84095"/>
    <w:rPr>
      <w:rFonts w:ascii="Tahoma" w:hAnsi="Tahoma" w:cs="Tahoma"/>
      <w:sz w:val="16"/>
      <w:szCs w:val="16"/>
    </w:rPr>
  </w:style>
  <w:style w:type="character" w:customStyle="1" w:styleId="BalloonTextChar">
    <w:name w:val="Balloon Text Char"/>
    <w:basedOn w:val="DefaultParagraphFont"/>
    <w:link w:val="BalloonText"/>
    <w:uiPriority w:val="99"/>
    <w:semiHidden/>
    <w:rsid w:val="00A84095"/>
    <w:rPr>
      <w:rFonts w:ascii="Tahoma" w:hAnsi="Tahoma" w:cs="Tahoma"/>
      <w:sz w:val="16"/>
      <w:szCs w:val="16"/>
    </w:rPr>
  </w:style>
  <w:style w:type="paragraph" w:styleId="ListParagraph">
    <w:name w:val="List Paragraph"/>
    <w:basedOn w:val="Normal"/>
    <w:uiPriority w:val="34"/>
    <w:qFormat/>
    <w:rsid w:val="00802CF5"/>
    <w:pPr>
      <w:ind w:left="720"/>
      <w:contextualSpacing/>
    </w:pPr>
  </w:style>
  <w:style w:type="character" w:styleId="Hyperlink">
    <w:name w:val="Hyperlink"/>
    <w:basedOn w:val="DefaultParagraphFont"/>
    <w:uiPriority w:val="99"/>
    <w:unhideWhenUsed/>
    <w:rsid w:val="001338ED"/>
    <w:rPr>
      <w:color w:val="0000FF" w:themeColor="hyperlink"/>
      <w:u w:val="single"/>
    </w:rPr>
  </w:style>
  <w:style w:type="character" w:styleId="CommentReference">
    <w:name w:val="annotation reference"/>
    <w:basedOn w:val="DefaultParagraphFont"/>
    <w:uiPriority w:val="99"/>
    <w:semiHidden/>
    <w:unhideWhenUsed/>
    <w:rsid w:val="00DA056D"/>
    <w:rPr>
      <w:sz w:val="16"/>
      <w:szCs w:val="16"/>
    </w:rPr>
  </w:style>
  <w:style w:type="paragraph" w:styleId="CommentText">
    <w:name w:val="annotation text"/>
    <w:basedOn w:val="Normal"/>
    <w:link w:val="CommentTextChar"/>
    <w:uiPriority w:val="99"/>
    <w:unhideWhenUsed/>
    <w:rsid w:val="00DA056D"/>
    <w:rPr>
      <w:sz w:val="20"/>
    </w:rPr>
  </w:style>
  <w:style w:type="character" w:customStyle="1" w:styleId="CommentTextChar">
    <w:name w:val="Comment Text Char"/>
    <w:basedOn w:val="DefaultParagraphFont"/>
    <w:link w:val="CommentText"/>
    <w:uiPriority w:val="99"/>
    <w:rsid w:val="00DA056D"/>
    <w:rPr>
      <w:rFonts w:ascii="Georgia" w:hAnsi="Georgia"/>
    </w:rPr>
  </w:style>
  <w:style w:type="paragraph" w:styleId="CommentSubject">
    <w:name w:val="annotation subject"/>
    <w:basedOn w:val="CommentText"/>
    <w:next w:val="CommentText"/>
    <w:link w:val="CommentSubjectChar"/>
    <w:uiPriority w:val="99"/>
    <w:semiHidden/>
    <w:unhideWhenUsed/>
    <w:rsid w:val="00DA056D"/>
    <w:rPr>
      <w:b/>
      <w:bCs/>
    </w:rPr>
  </w:style>
  <w:style w:type="character" w:customStyle="1" w:styleId="CommentSubjectChar">
    <w:name w:val="Comment Subject Char"/>
    <w:basedOn w:val="CommentTextChar"/>
    <w:link w:val="CommentSubject"/>
    <w:uiPriority w:val="99"/>
    <w:semiHidden/>
    <w:rsid w:val="00DA056D"/>
    <w:rPr>
      <w:rFonts w:ascii="Georgia" w:hAnsi="Georgia"/>
      <w:b/>
      <w:bCs/>
    </w:rPr>
  </w:style>
  <w:style w:type="paragraph" w:styleId="Revision">
    <w:name w:val="Revision"/>
    <w:hidden/>
    <w:uiPriority w:val="99"/>
    <w:semiHidden/>
    <w:rsid w:val="002C047E"/>
    <w:rPr>
      <w:rFonts w:ascii="Georgia" w:hAnsi="Georgia"/>
      <w:sz w:val="24"/>
    </w:rPr>
  </w:style>
  <w:style w:type="character" w:customStyle="1" w:styleId="cf01">
    <w:name w:val="cf01"/>
    <w:basedOn w:val="DefaultParagraphFont"/>
    <w:rsid w:val="00B678B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545955">
      <w:bodyDiv w:val="1"/>
      <w:marLeft w:val="0"/>
      <w:marRight w:val="0"/>
      <w:marTop w:val="0"/>
      <w:marBottom w:val="0"/>
      <w:divBdr>
        <w:top w:val="none" w:sz="0" w:space="0" w:color="auto"/>
        <w:left w:val="none" w:sz="0" w:space="0" w:color="auto"/>
        <w:bottom w:val="none" w:sz="0" w:space="0" w:color="auto"/>
        <w:right w:val="none" w:sz="0" w:space="0" w:color="auto"/>
      </w:divBdr>
    </w:div>
    <w:div w:id="115029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jones\AppData\Roaming\Microsoft\Templates\03_Response_to_Com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1173C-6DAA-4FFD-9375-8D9B1E555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03_Response_to_Comment.dotx</Template>
  <TotalTime>1</TotalTime>
  <Pages>1</Pages>
  <Words>279</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TCEQ Response to Public Comments</vt:lpstr>
    </vt:vector>
  </TitlesOfParts>
  <Company>TCEQ</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TCEQ Response to Public Comments</dc:title>
  <dc:subject>public participation</dc:subject>
  <dc:creator>Texas Commission on Environmental Quality (TCEQ)</dc:creator>
  <cp:lastModifiedBy>TCEQ</cp:lastModifiedBy>
  <cp:revision>3</cp:revision>
  <cp:lastPrinted>2017-11-03T20:48:00Z</cp:lastPrinted>
  <dcterms:created xsi:type="dcterms:W3CDTF">2024-03-14T18:24:00Z</dcterms:created>
  <dcterms:modified xsi:type="dcterms:W3CDTF">2024-03-14T18:24:00Z</dcterms:modified>
</cp:coreProperties>
</file>