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47089B8E" w14:textId="03A3C1CD"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7580659F" w14:textId="5A7BA087" w:rsidR="00140A1A" w:rsidRPr="00DB580A" w:rsidRDefault="00140A1A" w:rsidP="00140A1A">
      <w:pPr>
        <w:pStyle w:val="paragraph"/>
        <w:textAlignment w:val="baseline"/>
        <w:rPr>
          <w:rFonts w:ascii="Lucida Bright" w:hAnsi="Lucida Bright" w:cs="Segoe UI"/>
          <w:sz w:val="22"/>
          <w:szCs w:val="22"/>
          <w:lang w:val="es-US"/>
        </w:rPr>
      </w:pPr>
      <w:r>
        <w:rPr>
          <w:rFonts w:ascii="Lucida Bright" w:hAnsi="Lucida Bright" w:cs="Segoe UI"/>
          <w:sz w:val="22"/>
          <w:szCs w:val="22"/>
          <w:lang w:val="es-US"/>
        </w:rPr>
        <w:t>I-30 Greenville Servicios Utilitario, LLC</w:t>
      </w:r>
      <w:r w:rsidRPr="00DB580A">
        <w:rPr>
          <w:rFonts w:ascii="Lucida Bright" w:hAnsi="Lucida Bright" w:cs="Segoe UI"/>
          <w:sz w:val="22"/>
          <w:szCs w:val="22"/>
          <w:lang w:val="es-US"/>
        </w:rPr>
        <w:t xml:space="preserve"> </w:t>
      </w:r>
      <w:r w:rsidRPr="00D217AD">
        <w:rPr>
          <w:rFonts w:ascii="Lucida Bright" w:hAnsi="Lucida Bright" w:cs="Segoe UI"/>
          <w:sz w:val="22"/>
          <w:szCs w:val="22"/>
          <w:lang w:val="es-US"/>
        </w:rPr>
        <w:t>(CN</w:t>
      </w:r>
      <w:r w:rsidR="00387DED">
        <w:rPr>
          <w:rFonts w:ascii="Lucida Bright" w:hAnsi="Lucida Bright" w:cs="Segoe UI"/>
          <w:sz w:val="22"/>
          <w:szCs w:val="22"/>
          <w:lang w:val="es-US"/>
        </w:rPr>
        <w:t>606218923</w:t>
      </w:r>
      <w:r>
        <w:rPr>
          <w:rFonts w:ascii="Lucida Bright" w:hAnsi="Lucida Bright" w:cs="Segoe UI"/>
          <w:sz w:val="22"/>
          <w:szCs w:val="22"/>
          <w:lang w:val="es-US"/>
        </w:rPr>
        <w:t xml:space="preserve">) </w:t>
      </w:r>
      <w:r w:rsidRPr="00DB580A">
        <w:rPr>
          <w:rFonts w:ascii="Lucida Bright" w:hAnsi="Lucida Bright" w:cs="Segoe UI"/>
          <w:sz w:val="22"/>
          <w:szCs w:val="22"/>
          <w:lang w:val="es-US"/>
        </w:rPr>
        <w:t xml:space="preserve">propone operar la Planta de Tratamiento de Aguas Residuales </w:t>
      </w:r>
      <w:r>
        <w:rPr>
          <w:rFonts w:ascii="Lucida Bright" w:hAnsi="Lucida Bright" w:cs="Segoe UI"/>
          <w:sz w:val="22"/>
          <w:szCs w:val="22"/>
          <w:lang w:val="es-US"/>
        </w:rPr>
        <w:t xml:space="preserve">de Servicios </w:t>
      </w:r>
      <w:r w:rsidRPr="00660080">
        <w:rPr>
          <w:rFonts w:ascii="Lucida Bright" w:hAnsi="Lucida Bright" w:cs="Segoe UI"/>
          <w:sz w:val="22"/>
          <w:szCs w:val="22"/>
          <w:lang w:val="es-US"/>
        </w:rPr>
        <w:t>Públicos de Greenville I-30</w:t>
      </w:r>
      <w:r>
        <w:rPr>
          <w:rFonts w:ascii="Lucida Bright" w:hAnsi="Lucida Bright" w:cs="Segoe UI"/>
          <w:sz w:val="22"/>
          <w:szCs w:val="22"/>
          <w:lang w:val="es-US"/>
        </w:rPr>
        <w:t xml:space="preserve"> </w:t>
      </w:r>
      <w:r w:rsidRPr="003177B2">
        <w:rPr>
          <w:rFonts w:ascii="Lucida Bright" w:hAnsi="Lucida Bright" w:cs="Segoe UI"/>
          <w:sz w:val="22"/>
          <w:szCs w:val="22"/>
          <w:lang w:val="es-US"/>
        </w:rPr>
        <w:t>(RN</w:t>
      </w:r>
      <w:r w:rsidR="00387DED">
        <w:rPr>
          <w:rFonts w:ascii="Lucida Bright" w:hAnsi="Lucida Bright" w:cs="Segoe UI"/>
          <w:sz w:val="22"/>
          <w:szCs w:val="22"/>
          <w:lang w:val="es-US"/>
        </w:rPr>
        <w:t>111876074</w:t>
      </w:r>
      <w:r w:rsidRPr="003177B2">
        <w:rPr>
          <w:rFonts w:ascii="Lucida Bright" w:hAnsi="Lucida Bright" w:cs="Segoe UI"/>
          <w:sz w:val="22"/>
          <w:szCs w:val="22"/>
          <w:lang w:val="es-US"/>
        </w:rPr>
        <w:t>)</w:t>
      </w:r>
      <w:r w:rsidRPr="00DB580A">
        <w:rPr>
          <w:rFonts w:ascii="Lucida Bright" w:hAnsi="Lucida Bright" w:cs="Segoe UI"/>
          <w:sz w:val="22"/>
          <w:szCs w:val="22"/>
          <w:lang w:val="es-US"/>
        </w:rPr>
        <w:t xml:space="preserve">, </w:t>
      </w:r>
      <w:r w:rsidRPr="00660080">
        <w:rPr>
          <w:rFonts w:ascii="Lucida Bright" w:hAnsi="Lucida Bright" w:cs="Segoe UI"/>
          <w:sz w:val="22"/>
          <w:szCs w:val="22"/>
          <w:lang w:val="es-US"/>
        </w:rPr>
        <w:t>una planta de proceso de lodos activados operada en modo de mezcla completa</w:t>
      </w:r>
      <w:r>
        <w:rPr>
          <w:rFonts w:ascii="Lucida Bright" w:hAnsi="Lucida Bright" w:cs="Segoe UI"/>
          <w:sz w:val="22"/>
          <w:szCs w:val="22"/>
          <w:lang w:val="es-US"/>
        </w:rPr>
        <w:t>.</w:t>
      </w:r>
      <w:r w:rsidRPr="00DB580A">
        <w:rPr>
          <w:rFonts w:ascii="Lucida Bright" w:hAnsi="Lucida Bright" w:cs="Segoe UI"/>
          <w:sz w:val="22"/>
          <w:szCs w:val="22"/>
          <w:lang w:val="es-US"/>
        </w:rPr>
        <w:t xml:space="preserve"> </w:t>
      </w:r>
      <w:r w:rsidRPr="00660080">
        <w:rPr>
          <w:rFonts w:ascii="Lucida Bright" w:hAnsi="Lucida Bright" w:cs="Segoe UI"/>
          <w:sz w:val="22"/>
          <w:szCs w:val="22"/>
          <w:lang w:val="es-US"/>
        </w:rPr>
        <w:t>La instalación estará ubicada aproximadamente 1,000 pies al noreste de la intersección de Farm-to-Market Road 499 y I-30 Frontage Road, en Greenville, condado de Hunt, Texas 75401.</w:t>
      </w:r>
    </w:p>
    <w:p w14:paraId="59C78C3B" w14:textId="77777777" w:rsidR="00140A1A" w:rsidRDefault="00140A1A" w:rsidP="00140A1A">
      <w:pPr>
        <w:pStyle w:val="BodyText"/>
        <w:rPr>
          <w:rFonts w:eastAsia="Times New Roman" w:cs="Segoe UI"/>
          <w:sz w:val="22"/>
          <w:szCs w:val="22"/>
          <w:lang w:val="es-US"/>
        </w:rPr>
      </w:pPr>
      <w:r w:rsidRPr="00660080">
        <w:rPr>
          <w:rFonts w:eastAsia="Times New Roman" w:cs="Segoe UI"/>
          <w:sz w:val="22"/>
          <w:szCs w:val="22"/>
          <w:lang w:val="es-US"/>
        </w:rPr>
        <w:t>Esta solicitud es para un nuevo permiso para descargar a un flujo promedio diario que no exceda los 240,000 galones por día de aguas residuales domésticas tratadas.</w:t>
      </w:r>
    </w:p>
    <w:p w14:paraId="575B9CDB" w14:textId="77777777" w:rsidR="00140A1A" w:rsidRPr="005F0AAD" w:rsidRDefault="00140A1A" w:rsidP="00140A1A">
      <w:pPr>
        <w:pStyle w:val="BodyText"/>
        <w:rPr>
          <w:sz w:val="22"/>
          <w:szCs w:val="22"/>
          <w:lang w:val="es-US"/>
        </w:rPr>
      </w:pPr>
      <w:r w:rsidRPr="00A647F7">
        <w:rPr>
          <w:rFonts w:eastAsia="Times New Roman" w:cs="Segoe UI"/>
          <w:sz w:val="22"/>
          <w:szCs w:val="22"/>
          <w:lang w:val="es-US"/>
        </w:rPr>
        <w:t xml:space="preserve">Se espera que las descargas de la instalación contengan demanda bioquímica carbonosa de oxígeno </w:t>
      </w:r>
      <w:r w:rsidRPr="00A647F7">
        <w:rPr>
          <w:rFonts w:eastAsia="Times New Roman" w:cs="Segoe UI"/>
          <w:sz w:val="22"/>
          <w:szCs w:val="22"/>
        </w:rPr>
        <w:t>(CBOD</w:t>
      </w:r>
      <w:r w:rsidRPr="00A647F7">
        <w:rPr>
          <w:rFonts w:eastAsia="Times New Roman" w:cs="Segoe UI"/>
          <w:sz w:val="22"/>
          <w:szCs w:val="22"/>
          <w:vertAlign w:val="subscript"/>
        </w:rPr>
        <w:t>5</w:t>
      </w:r>
      <w:r w:rsidRPr="00A647F7">
        <w:rPr>
          <w:rFonts w:eastAsia="Times New Roman" w:cs="Segoe UI"/>
          <w:sz w:val="22"/>
          <w:szCs w:val="22"/>
        </w:rPr>
        <w:t>)</w:t>
      </w:r>
      <w:r w:rsidRPr="00A647F7">
        <w:rPr>
          <w:rFonts w:eastAsia="Times New Roman" w:cs="Segoe UI"/>
          <w:sz w:val="22"/>
          <w:szCs w:val="22"/>
          <w:lang w:val="es-US"/>
        </w:rPr>
        <w:t xml:space="preserve"> de cinco días, sólidos suspendidos totales (</w:t>
      </w:r>
      <w:r>
        <w:rPr>
          <w:rFonts w:eastAsia="Times New Roman" w:cs="Segoe UI"/>
          <w:sz w:val="22"/>
          <w:szCs w:val="22"/>
          <w:lang w:val="es-US"/>
        </w:rPr>
        <w:t>TSS</w:t>
      </w:r>
      <w:r w:rsidRPr="00A647F7">
        <w:rPr>
          <w:rFonts w:eastAsia="Times New Roman" w:cs="Segoe UI"/>
          <w:sz w:val="22"/>
          <w:szCs w:val="22"/>
          <w:lang w:val="es-US"/>
        </w:rPr>
        <w:t xml:space="preserve">), nitrógeno amoniacal </w:t>
      </w:r>
      <w:r w:rsidRPr="00A647F7">
        <w:rPr>
          <w:rFonts w:eastAsia="Times New Roman" w:cs="Segoe UI"/>
          <w:sz w:val="22"/>
          <w:szCs w:val="22"/>
        </w:rPr>
        <w:t>(NH</w:t>
      </w:r>
      <w:r w:rsidRPr="00A647F7">
        <w:rPr>
          <w:rFonts w:eastAsia="Times New Roman" w:cs="Segoe UI"/>
          <w:sz w:val="22"/>
          <w:szCs w:val="22"/>
          <w:vertAlign w:val="subscript"/>
        </w:rPr>
        <w:t>3</w:t>
      </w:r>
      <w:r w:rsidRPr="00A647F7">
        <w:rPr>
          <w:rFonts w:eastAsia="Times New Roman" w:cs="Segoe UI"/>
          <w:sz w:val="22"/>
          <w:szCs w:val="22"/>
        </w:rPr>
        <w:t>-N)</w:t>
      </w:r>
      <w:r>
        <w:rPr>
          <w:rFonts w:eastAsia="Times New Roman" w:cs="Segoe UI"/>
          <w:sz w:val="22"/>
          <w:szCs w:val="22"/>
        </w:rPr>
        <w:t xml:space="preserve"> </w:t>
      </w:r>
      <w:r w:rsidRPr="00A647F7">
        <w:rPr>
          <w:rFonts w:eastAsia="Times New Roman" w:cs="Segoe UI"/>
          <w:sz w:val="22"/>
          <w:szCs w:val="22"/>
          <w:lang w:val="es-US"/>
        </w:rPr>
        <w:t xml:space="preserve">y </w:t>
      </w:r>
      <w:r w:rsidRPr="00A647F7">
        <w:rPr>
          <w:rFonts w:eastAsia="Times New Roman" w:cs="Segoe UI"/>
          <w:i/>
          <w:iCs/>
          <w:sz w:val="22"/>
          <w:szCs w:val="22"/>
          <w:lang w:val="es-US"/>
        </w:rPr>
        <w:t>Escherichia coli</w:t>
      </w:r>
      <w:r w:rsidRPr="00A647F7">
        <w:rPr>
          <w:rFonts w:eastAsia="Times New Roman" w:cs="Segoe UI"/>
          <w:sz w:val="22"/>
          <w:szCs w:val="22"/>
          <w:lang w:val="es-US"/>
        </w:rPr>
        <w:t xml:space="preserve">. Las aguas residuales domésticas </w:t>
      </w:r>
      <w:r w:rsidRPr="00660080">
        <w:rPr>
          <w:rFonts w:eastAsia="Times New Roman" w:cs="Segoe UI"/>
          <w:sz w:val="22"/>
          <w:szCs w:val="22"/>
          <w:lang w:val="es-US"/>
        </w:rPr>
        <w:t>serán tratadas mediante una planta de proceso de lodos activados y las unidades de tratamiento incluirán balsas de aireación, clarificadores, digestores aeróbicos</w:t>
      </w:r>
      <w:r>
        <w:rPr>
          <w:rFonts w:eastAsia="Times New Roman" w:cs="Segoe UI"/>
          <w:sz w:val="22"/>
          <w:szCs w:val="22"/>
          <w:lang w:val="es-US"/>
        </w:rPr>
        <w:t xml:space="preserve"> y</w:t>
      </w:r>
      <w:r w:rsidRPr="00660080">
        <w:rPr>
          <w:rFonts w:eastAsia="Times New Roman" w:cs="Segoe UI"/>
          <w:sz w:val="22"/>
          <w:szCs w:val="22"/>
          <w:lang w:val="es-US"/>
        </w:rPr>
        <w:t xml:space="preserve"> una cámara de contacto de cloro</w:t>
      </w:r>
      <w:r>
        <w:rPr>
          <w:rFonts w:eastAsia="Times New Roman" w:cs="Segoe UI"/>
          <w:sz w:val="22"/>
          <w:szCs w:val="22"/>
          <w:lang w:val="es-U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69260123">
    <w:abstractNumId w:val="9"/>
  </w:num>
  <w:num w:numId="2" w16cid:durableId="1940675251">
    <w:abstractNumId w:val="8"/>
  </w:num>
  <w:num w:numId="3" w16cid:durableId="801702149">
    <w:abstractNumId w:val="7"/>
  </w:num>
  <w:num w:numId="4" w16cid:durableId="1384020102">
    <w:abstractNumId w:val="6"/>
  </w:num>
  <w:num w:numId="5" w16cid:durableId="1974827682">
    <w:abstractNumId w:val="5"/>
  </w:num>
  <w:num w:numId="6" w16cid:durableId="1393428417">
    <w:abstractNumId w:val="4"/>
  </w:num>
  <w:num w:numId="7" w16cid:durableId="858087374">
    <w:abstractNumId w:val="3"/>
  </w:num>
  <w:num w:numId="8" w16cid:durableId="2104565293">
    <w:abstractNumId w:val="2"/>
  </w:num>
  <w:num w:numId="9" w16cid:durableId="143087618">
    <w:abstractNumId w:val="1"/>
  </w:num>
  <w:num w:numId="10" w16cid:durableId="1990670879">
    <w:abstractNumId w:val="0"/>
  </w:num>
  <w:num w:numId="11" w16cid:durableId="686366086">
    <w:abstractNumId w:val="12"/>
  </w:num>
  <w:num w:numId="12" w16cid:durableId="1818447273">
    <w:abstractNumId w:val="11"/>
  </w:num>
  <w:num w:numId="13" w16cid:durableId="279655984">
    <w:abstractNumId w:val="10"/>
  </w:num>
  <w:num w:numId="14" w16cid:durableId="925190718">
    <w:abstractNumId w:val="9"/>
  </w:num>
  <w:num w:numId="15" w16cid:durableId="1556114949">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40A1A"/>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674DF"/>
    <w:rsid w:val="00387DED"/>
    <w:rsid w:val="00393C75"/>
    <w:rsid w:val="003B41DF"/>
    <w:rsid w:val="003D7D1F"/>
    <w:rsid w:val="003E737A"/>
    <w:rsid w:val="003F5ABB"/>
    <w:rsid w:val="00417619"/>
    <w:rsid w:val="0046089F"/>
    <w:rsid w:val="004A726B"/>
    <w:rsid w:val="004D2CA6"/>
    <w:rsid w:val="004E06EB"/>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B421E"/>
    <w:rsid w:val="008E33DD"/>
    <w:rsid w:val="008E6CA0"/>
    <w:rsid w:val="008F4441"/>
    <w:rsid w:val="0094541B"/>
    <w:rsid w:val="0097286B"/>
    <w:rsid w:val="00996B99"/>
    <w:rsid w:val="00A03680"/>
    <w:rsid w:val="00A2193F"/>
    <w:rsid w:val="00A75BA9"/>
    <w:rsid w:val="00A872D7"/>
    <w:rsid w:val="00A9263D"/>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D03DB"/>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2024-03-18T20:27:00Z</dcterms:created>
  <dcterms:modified xsi:type="dcterms:W3CDTF">2024-03-18T20:27:00Z</dcterms:modified>
  <cp:category/>
</cp:coreProperties>
</file>